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spacing w:before="192" w:beforeLines="80" w:line="240" w:lineRule="auto"/>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rPr>
          <w:rFonts w:eastAsia="仿宋"/>
          <w:sz w:val="44"/>
          <w:szCs w:val="44"/>
        </w:rPr>
      </w:pPr>
    </w:p>
    <w:p>
      <w:pPr>
        <w:rPr>
          <w:rFonts w:eastAsia="仿宋"/>
          <w:sz w:val="44"/>
          <w:szCs w:val="44"/>
        </w:rPr>
      </w:pPr>
    </w:p>
    <w:p>
      <w:pPr>
        <w:rPr>
          <w:rFonts w:eastAsia="仿宋"/>
          <w:sz w:val="44"/>
          <w:szCs w:val="44"/>
        </w:rPr>
      </w:pPr>
    </w:p>
    <w:p>
      <w:pPr>
        <w:adjustRightInd w:val="0"/>
        <w:snapToGrid w:val="0"/>
        <w:spacing w:line="288" w:lineRule="auto"/>
        <w:ind w:left="2160" w:hanging="2160" w:hangingChars="600"/>
        <w:rPr>
          <w:rFonts w:eastAsia="仿宋_GB2312"/>
          <w:sz w:val="36"/>
          <w:szCs w:val="36"/>
          <w:u w:val="single"/>
        </w:rPr>
      </w:pPr>
      <w:r>
        <w:rPr>
          <w:rFonts w:eastAsia="仿宋_GB2312"/>
          <w:sz w:val="36"/>
          <w:szCs w:val="36"/>
        </w:rPr>
        <w:t xml:space="preserve">项目名称： </w:t>
      </w:r>
      <w:r>
        <w:rPr>
          <w:rFonts w:hint="eastAsia" w:eastAsia="仿宋_GB2312"/>
          <w:sz w:val="36"/>
          <w:szCs w:val="36"/>
          <w:u w:val="single"/>
          <w:lang w:eastAsia="zh-CN"/>
        </w:rPr>
        <w:t>微创介植入医疗器械及介植入微精部件</w:t>
      </w:r>
      <w:r>
        <w:rPr>
          <w:rFonts w:hint="eastAsia" w:eastAsia="仿宋_GB2312"/>
          <w:sz w:val="36"/>
          <w:szCs w:val="36"/>
          <w:u w:val="single"/>
        </w:rPr>
        <w:t xml:space="preserve"> </w:t>
      </w:r>
      <w:r>
        <w:rPr>
          <w:rFonts w:eastAsia="仿宋_GB2312"/>
          <w:sz w:val="36"/>
          <w:szCs w:val="36"/>
          <w:u w:val="single"/>
        </w:rPr>
        <w:t xml:space="preserve">    </w:t>
      </w:r>
      <w:r>
        <w:rPr>
          <w:rFonts w:hint="eastAsia" w:eastAsia="仿宋_GB2312"/>
          <w:sz w:val="36"/>
          <w:szCs w:val="36"/>
          <w:u w:val="single"/>
        </w:rPr>
        <w:t>扩建项目</w:t>
      </w:r>
      <w:r>
        <w:rPr>
          <w:rFonts w:eastAsia="仿宋_GB2312"/>
          <w:sz w:val="36"/>
          <w:szCs w:val="36"/>
          <w:u w:val="single"/>
        </w:rPr>
        <w:t xml:space="preserve">     </w:t>
      </w:r>
    </w:p>
    <w:p>
      <w:pPr>
        <w:adjustRightInd w:val="0"/>
        <w:snapToGrid w:val="0"/>
        <w:spacing w:line="288" w:lineRule="auto"/>
        <w:rPr>
          <w:rFonts w:eastAsia="仿宋_GB2312"/>
          <w:sz w:val="36"/>
          <w:szCs w:val="36"/>
          <w:u w:val="single"/>
        </w:rPr>
      </w:pPr>
      <w:r>
        <w:rPr>
          <w:rFonts w:eastAsia="仿宋_GB2312"/>
          <w:sz w:val="36"/>
          <w:szCs w:val="36"/>
        </w:rPr>
        <w:t>建设单位（盖章）：</w:t>
      </w:r>
      <w:r>
        <w:rPr>
          <w:rFonts w:hint="eastAsia" w:eastAsia="仿宋_GB2312"/>
          <w:sz w:val="36"/>
          <w:szCs w:val="36"/>
          <w:u w:val="single"/>
        </w:rPr>
        <w:t>苏州</w:t>
      </w:r>
      <w:r>
        <w:rPr>
          <w:rFonts w:hint="eastAsia" w:eastAsia="仿宋_GB2312"/>
          <w:sz w:val="36"/>
          <w:szCs w:val="36"/>
          <w:u w:val="single"/>
          <w:lang w:eastAsia="zh-CN"/>
        </w:rPr>
        <w:t>真懿精密器械</w:t>
      </w:r>
      <w:r>
        <w:rPr>
          <w:rFonts w:hint="eastAsia" w:eastAsia="仿宋_GB2312"/>
          <w:sz w:val="36"/>
          <w:szCs w:val="36"/>
          <w:u w:val="single"/>
        </w:rPr>
        <w:t>有限公司</w:t>
      </w:r>
      <w:r>
        <w:rPr>
          <w:rFonts w:eastAsia="仿宋_GB2312"/>
          <w:sz w:val="36"/>
          <w:szCs w:val="36"/>
          <w:u w:val="single"/>
        </w:rPr>
        <w:t xml:space="preserve">            </w:t>
      </w:r>
    </w:p>
    <w:p>
      <w:pPr>
        <w:adjustRightInd w:val="0"/>
        <w:snapToGrid w:val="0"/>
        <w:spacing w:line="288" w:lineRule="auto"/>
        <w:rPr>
          <w:rFonts w:eastAsia="仿宋_GB2312"/>
          <w:sz w:val="36"/>
          <w:szCs w:val="36"/>
          <w:u w:val="single"/>
        </w:rPr>
      </w:pPr>
      <w:r>
        <w:rPr>
          <w:rFonts w:eastAsia="仿宋_GB2312"/>
          <w:sz w:val="36"/>
          <w:szCs w:val="36"/>
        </w:rPr>
        <w:t>编制日期：</w:t>
      </w:r>
      <w:r>
        <w:rPr>
          <w:rFonts w:eastAsia="仿宋_GB2312"/>
          <w:sz w:val="36"/>
          <w:szCs w:val="36"/>
          <w:u w:val="single"/>
        </w:rPr>
        <w:t xml:space="preserve">          2022</w:t>
      </w:r>
      <w:r>
        <w:rPr>
          <w:rFonts w:hint="eastAsia" w:eastAsia="仿宋_GB2312"/>
          <w:sz w:val="36"/>
          <w:szCs w:val="36"/>
          <w:u w:val="single"/>
        </w:rPr>
        <w:t>年</w:t>
      </w:r>
      <w:r>
        <w:rPr>
          <w:rFonts w:hint="eastAsia" w:eastAsia="仿宋_GB2312"/>
          <w:sz w:val="36"/>
          <w:szCs w:val="36"/>
          <w:u w:val="single"/>
          <w:lang w:val="en-US" w:eastAsia="zh-CN"/>
        </w:rPr>
        <w:t>9</w:t>
      </w:r>
      <w:r>
        <w:rPr>
          <w:rFonts w:hint="eastAsia" w:eastAsia="仿宋_GB2312"/>
          <w:sz w:val="36"/>
          <w:szCs w:val="36"/>
          <w:u w:val="single"/>
        </w:rPr>
        <w:t>月</w:t>
      </w:r>
      <w:r>
        <w:rPr>
          <w:rFonts w:eastAsia="仿宋_GB2312"/>
          <w:sz w:val="36"/>
          <w:szCs w:val="36"/>
          <w:u w:val="single"/>
        </w:rPr>
        <w:t xml:space="preserve">                  </w:t>
      </w:r>
    </w:p>
    <w:p>
      <w:pPr>
        <w:adjustRightInd w:val="0"/>
        <w:snapToGrid w:val="0"/>
        <w:spacing w:line="288" w:lineRule="auto"/>
        <w:rPr>
          <w:rFonts w:eastAsia="仿宋_GB2312"/>
          <w:sz w:val="36"/>
          <w:szCs w:val="36"/>
          <w:u w:val="single"/>
        </w:rPr>
      </w:pPr>
      <w:bookmarkStart w:id="0" w:name="_Hlk57884087"/>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p>
      <w:pPr>
        <w:adjustRightInd w:val="0"/>
        <w:snapToGrid w:val="0"/>
        <w:spacing w:line="288" w:lineRule="auto"/>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rPr>
          <w:rFonts w:eastAsia="仿宋_GB2312"/>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pPr>
        <w:widowControl/>
        <w:adjustRightInd w:val="0"/>
        <w:snapToGrid w:val="0"/>
        <w:jc w:val="center"/>
        <w:rPr>
          <w:b/>
          <w:kern w:val="0"/>
          <w:sz w:val="28"/>
          <w:szCs w:val="28"/>
        </w:rPr>
      </w:pPr>
      <w:r>
        <w:rPr>
          <w:b/>
          <w:kern w:val="0"/>
          <w:sz w:val="28"/>
          <w:szCs w:val="28"/>
        </w:rPr>
        <w:t>目录</w:t>
      </w:r>
    </w:p>
    <w:p>
      <w:pPr>
        <w:pStyle w:val="11"/>
        <w:tabs>
          <w:tab w:val="right" w:leader="dot" w:pos="8834"/>
        </w:tabs>
        <w:rPr>
          <w:sz w:val="21"/>
          <w:szCs w:val="22"/>
        </w:rPr>
      </w:pPr>
      <w:r>
        <w:rPr>
          <w:bCs/>
          <w:kern w:val="0"/>
        </w:rPr>
        <w:fldChar w:fldCharType="begin"/>
      </w:r>
      <w:r>
        <w:rPr>
          <w:bCs/>
          <w:kern w:val="0"/>
        </w:rPr>
        <w:instrText xml:space="preserve">TOC \o "1-3" \h \u </w:instrText>
      </w:r>
      <w:r>
        <w:rPr>
          <w:bCs/>
          <w:kern w:val="0"/>
        </w:rPr>
        <w:fldChar w:fldCharType="separate"/>
      </w:r>
      <w:r>
        <w:fldChar w:fldCharType="begin"/>
      </w:r>
      <w:r>
        <w:instrText xml:space="preserve"> HYPERLINK \l "_Toc101518921" </w:instrText>
      </w:r>
      <w:r>
        <w:fldChar w:fldCharType="separate"/>
      </w:r>
      <w:r>
        <w:rPr>
          <w:rStyle w:val="21"/>
          <w:snapToGrid w:val="0"/>
          <w:color w:val="auto"/>
        </w:rPr>
        <w:t>一、建设项目基本情况</w:t>
      </w:r>
      <w:r>
        <w:tab/>
      </w:r>
      <w:r>
        <w:fldChar w:fldCharType="begin"/>
      </w:r>
      <w:r>
        <w:instrText xml:space="preserve"> PAGEREF _Toc101518921 \h </w:instrText>
      </w:r>
      <w:r>
        <w:fldChar w:fldCharType="separate"/>
      </w:r>
      <w:r>
        <w:t>1</w:t>
      </w:r>
      <w:r>
        <w:fldChar w:fldCharType="end"/>
      </w:r>
      <w:r>
        <w:fldChar w:fldCharType="end"/>
      </w:r>
    </w:p>
    <w:p>
      <w:pPr>
        <w:pStyle w:val="11"/>
        <w:tabs>
          <w:tab w:val="right" w:leader="dot" w:pos="8834"/>
        </w:tabs>
        <w:rPr>
          <w:sz w:val="21"/>
          <w:szCs w:val="22"/>
        </w:rPr>
      </w:pPr>
      <w:r>
        <w:fldChar w:fldCharType="begin"/>
      </w:r>
      <w:r>
        <w:instrText xml:space="preserve"> HYPERLINK \l "_Toc101518922" </w:instrText>
      </w:r>
      <w:r>
        <w:fldChar w:fldCharType="separate"/>
      </w:r>
      <w:r>
        <w:rPr>
          <w:rStyle w:val="21"/>
          <w:snapToGrid w:val="0"/>
          <w:color w:val="auto"/>
        </w:rPr>
        <w:t>二、建设项目工程分析</w:t>
      </w:r>
      <w:r>
        <w:tab/>
      </w:r>
      <w:r>
        <w:fldChar w:fldCharType="begin"/>
      </w:r>
      <w:r>
        <w:instrText xml:space="preserve"> PAGEREF _Toc101518922 \h </w:instrText>
      </w:r>
      <w:r>
        <w:fldChar w:fldCharType="separate"/>
      </w:r>
      <w:r>
        <w:t>18</w:t>
      </w:r>
      <w:r>
        <w:fldChar w:fldCharType="end"/>
      </w:r>
      <w:r>
        <w:fldChar w:fldCharType="end"/>
      </w:r>
    </w:p>
    <w:p>
      <w:pPr>
        <w:pStyle w:val="11"/>
        <w:tabs>
          <w:tab w:val="right" w:leader="dot" w:pos="8834"/>
        </w:tabs>
        <w:rPr>
          <w:sz w:val="21"/>
          <w:szCs w:val="22"/>
        </w:rPr>
      </w:pPr>
      <w:r>
        <w:fldChar w:fldCharType="begin"/>
      </w:r>
      <w:r>
        <w:instrText xml:space="preserve"> HYPERLINK \l "_Toc101518923" </w:instrText>
      </w:r>
      <w:r>
        <w:fldChar w:fldCharType="separate"/>
      </w:r>
      <w:r>
        <w:rPr>
          <w:rStyle w:val="21"/>
          <w:snapToGrid w:val="0"/>
          <w:color w:val="auto"/>
        </w:rPr>
        <w:t>三、区域环境质量现状、环境保护目标及评价标准</w:t>
      </w:r>
      <w:r>
        <w:tab/>
      </w:r>
      <w:r>
        <w:fldChar w:fldCharType="begin"/>
      </w:r>
      <w:r>
        <w:instrText xml:space="preserve"> PAGEREF _Toc101518923 \h </w:instrText>
      </w:r>
      <w:r>
        <w:fldChar w:fldCharType="separate"/>
      </w:r>
      <w:r>
        <w:t>32</w:t>
      </w:r>
      <w:r>
        <w:fldChar w:fldCharType="end"/>
      </w:r>
      <w:r>
        <w:fldChar w:fldCharType="end"/>
      </w:r>
    </w:p>
    <w:p>
      <w:pPr>
        <w:pStyle w:val="11"/>
        <w:tabs>
          <w:tab w:val="right" w:leader="dot" w:pos="8834"/>
        </w:tabs>
        <w:rPr>
          <w:sz w:val="21"/>
          <w:szCs w:val="22"/>
        </w:rPr>
      </w:pPr>
      <w:r>
        <w:fldChar w:fldCharType="begin"/>
      </w:r>
      <w:r>
        <w:instrText xml:space="preserve"> HYPERLINK \l "_Toc101518924" </w:instrText>
      </w:r>
      <w:r>
        <w:fldChar w:fldCharType="separate"/>
      </w:r>
      <w:r>
        <w:rPr>
          <w:rStyle w:val="21"/>
          <w:snapToGrid w:val="0"/>
          <w:color w:val="auto"/>
        </w:rPr>
        <w:t>四、主要环境影响和保护措施</w:t>
      </w:r>
      <w:r>
        <w:tab/>
      </w:r>
      <w:r>
        <w:fldChar w:fldCharType="begin"/>
      </w:r>
      <w:r>
        <w:instrText xml:space="preserve"> PAGEREF _Toc101518924 \h </w:instrText>
      </w:r>
      <w:r>
        <w:fldChar w:fldCharType="separate"/>
      </w:r>
      <w:r>
        <w:t>39</w:t>
      </w:r>
      <w:r>
        <w:fldChar w:fldCharType="end"/>
      </w:r>
      <w:r>
        <w:fldChar w:fldCharType="end"/>
      </w:r>
    </w:p>
    <w:p>
      <w:pPr>
        <w:pStyle w:val="11"/>
        <w:tabs>
          <w:tab w:val="right" w:leader="dot" w:pos="8834"/>
        </w:tabs>
        <w:rPr>
          <w:sz w:val="21"/>
          <w:szCs w:val="22"/>
        </w:rPr>
      </w:pPr>
      <w:r>
        <w:fldChar w:fldCharType="begin"/>
      </w:r>
      <w:r>
        <w:instrText xml:space="preserve"> HYPERLINK \l "_Toc101518925" </w:instrText>
      </w:r>
      <w:r>
        <w:fldChar w:fldCharType="separate"/>
      </w:r>
      <w:r>
        <w:rPr>
          <w:rStyle w:val="21"/>
          <w:snapToGrid w:val="0"/>
          <w:color w:val="auto"/>
        </w:rPr>
        <w:t>五、环境保护措施监督检查清单</w:t>
      </w:r>
      <w:r>
        <w:tab/>
      </w:r>
      <w:r>
        <w:fldChar w:fldCharType="begin"/>
      </w:r>
      <w:r>
        <w:instrText xml:space="preserve"> PAGEREF _Toc101518925 \h </w:instrText>
      </w:r>
      <w:r>
        <w:fldChar w:fldCharType="separate"/>
      </w:r>
      <w:r>
        <w:t>60</w:t>
      </w:r>
      <w:r>
        <w:fldChar w:fldCharType="end"/>
      </w:r>
      <w:r>
        <w:fldChar w:fldCharType="end"/>
      </w:r>
    </w:p>
    <w:p>
      <w:pPr>
        <w:pStyle w:val="11"/>
        <w:tabs>
          <w:tab w:val="right" w:leader="dot" w:pos="8834"/>
        </w:tabs>
        <w:rPr>
          <w:sz w:val="21"/>
          <w:szCs w:val="22"/>
        </w:rPr>
      </w:pPr>
      <w:r>
        <w:fldChar w:fldCharType="begin"/>
      </w:r>
      <w:r>
        <w:instrText xml:space="preserve"> HYPERLINK \l "_Toc101518926" </w:instrText>
      </w:r>
      <w:r>
        <w:fldChar w:fldCharType="separate"/>
      </w:r>
      <w:r>
        <w:rPr>
          <w:rStyle w:val="21"/>
          <w:snapToGrid w:val="0"/>
          <w:color w:val="auto"/>
        </w:rPr>
        <w:t>六、结论</w:t>
      </w:r>
      <w:r>
        <w:tab/>
      </w:r>
      <w:r>
        <w:fldChar w:fldCharType="begin"/>
      </w:r>
      <w:r>
        <w:instrText xml:space="preserve"> PAGEREF _Toc101518926 \h </w:instrText>
      </w:r>
      <w:r>
        <w:fldChar w:fldCharType="separate"/>
      </w:r>
      <w:r>
        <w:t>62</w:t>
      </w:r>
      <w:r>
        <w:fldChar w:fldCharType="end"/>
      </w:r>
      <w:r>
        <w:fldChar w:fldCharType="end"/>
      </w:r>
    </w:p>
    <w:p>
      <w:pPr>
        <w:pStyle w:val="11"/>
        <w:tabs>
          <w:tab w:val="right" w:leader="dot" w:pos="8834"/>
        </w:tabs>
        <w:rPr>
          <w:sz w:val="21"/>
          <w:szCs w:val="22"/>
        </w:rPr>
      </w:pPr>
      <w:r>
        <w:fldChar w:fldCharType="begin"/>
      </w:r>
      <w:r>
        <w:instrText xml:space="preserve"> HYPERLINK \l "_Toc101518927" </w:instrText>
      </w:r>
      <w:r>
        <w:fldChar w:fldCharType="separate"/>
      </w:r>
      <w:r>
        <w:rPr>
          <w:rStyle w:val="21"/>
          <w:snapToGrid w:val="0"/>
          <w:color w:val="auto"/>
        </w:rPr>
        <w:t>附表</w:t>
      </w:r>
      <w:r>
        <w:tab/>
      </w:r>
      <w:r>
        <w:fldChar w:fldCharType="begin"/>
      </w:r>
      <w:r>
        <w:instrText xml:space="preserve"> PAGEREF _Toc101518927 \h </w:instrText>
      </w:r>
      <w:r>
        <w:fldChar w:fldCharType="separate"/>
      </w:r>
      <w:r>
        <w:t>63</w:t>
      </w:r>
      <w:r>
        <w:fldChar w:fldCharType="end"/>
      </w:r>
      <w:r>
        <w:fldChar w:fldCharType="end"/>
      </w:r>
    </w:p>
    <w:p>
      <w:pPr>
        <w:pStyle w:val="11"/>
        <w:tabs>
          <w:tab w:val="right" w:leader="dot" w:pos="8834"/>
        </w:tabs>
        <w:rPr>
          <w:sz w:val="21"/>
          <w:szCs w:val="22"/>
        </w:rPr>
      </w:pPr>
      <w:r>
        <w:fldChar w:fldCharType="begin"/>
      </w:r>
      <w:r>
        <w:instrText xml:space="preserve"> HYPERLINK \l "_Toc101518928" </w:instrText>
      </w:r>
      <w:r>
        <w:fldChar w:fldCharType="separate"/>
      </w:r>
      <w:r>
        <w:rPr>
          <w:rStyle w:val="21"/>
          <w:snapToGrid w:val="0"/>
          <w:color w:val="auto"/>
        </w:rPr>
        <w:t>建设项目污染物排放量汇总表</w:t>
      </w:r>
      <w:r>
        <w:tab/>
      </w:r>
      <w:r>
        <w:fldChar w:fldCharType="begin"/>
      </w:r>
      <w:r>
        <w:instrText xml:space="preserve"> PAGEREF _Toc101518928 \h </w:instrText>
      </w:r>
      <w:r>
        <w:fldChar w:fldCharType="separate"/>
      </w:r>
      <w:r>
        <w:t>63</w:t>
      </w:r>
      <w:r>
        <w:fldChar w:fldCharType="end"/>
      </w:r>
      <w:r>
        <w:fldChar w:fldCharType="end"/>
      </w:r>
    </w:p>
    <w:p>
      <w:pPr>
        <w:adjustRightInd w:val="0"/>
        <w:snapToGrid w:val="0"/>
        <w:spacing w:line="288" w:lineRule="auto"/>
        <w:rPr>
          <w:rFonts w:eastAsia="仿宋_GB2312"/>
          <w:sz w:val="36"/>
          <w:szCs w:val="36"/>
        </w:rPr>
        <w:sectPr>
          <w:pgSz w:w="11906" w:h="16838"/>
          <w:pgMar w:top="1701" w:right="1531" w:bottom="1701" w:left="1531" w:header="851" w:footer="1077" w:gutter="0"/>
          <w:pgNumType w:start="3"/>
          <w:cols w:space="720" w:num="1"/>
          <w:docGrid w:linePitch="312" w:charSpace="0"/>
        </w:sectPr>
      </w:pPr>
      <w:r>
        <w:rPr>
          <w:kern w:val="0"/>
        </w:rPr>
        <w:fldChar w:fldCharType="end"/>
      </w:r>
    </w:p>
    <w:p>
      <w:pPr>
        <w:pStyle w:val="13"/>
        <w:spacing w:line="240" w:lineRule="auto"/>
        <w:jc w:val="center"/>
        <w:outlineLvl w:val="0"/>
        <w:rPr>
          <w:rFonts w:ascii="Times New Roman" w:hAnsi="Times New Roman" w:cs="Times New Roman"/>
          <w:b/>
          <w:bCs/>
          <w:snapToGrid w:val="0"/>
          <w:sz w:val="30"/>
          <w:szCs w:val="30"/>
        </w:rPr>
      </w:pPr>
      <w:bookmarkStart w:id="1" w:name="_Toc101518921"/>
      <w:r>
        <w:rPr>
          <w:rFonts w:ascii="Times New Roman" w:hAnsi="Times New Roman" w:cs="Times New Roman"/>
          <w:b/>
          <w:bCs/>
          <w:snapToGrid w:val="0"/>
          <w:sz w:val="30"/>
          <w:szCs w:val="30"/>
        </w:rPr>
        <w:t>一、建设项目基本情况</w:t>
      </w:r>
      <w:bookmarkEnd w:id="1"/>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2"/>
        <w:gridCol w:w="1134"/>
        <w:gridCol w:w="2163"/>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建设项目名称</w:t>
            </w:r>
          </w:p>
        </w:tc>
        <w:tc>
          <w:tcPr>
            <w:tcW w:w="7014" w:type="dxa"/>
            <w:gridSpan w:val="3"/>
            <w:vAlign w:val="center"/>
          </w:tcPr>
          <w:p>
            <w:pPr>
              <w:adjustRightInd w:val="0"/>
              <w:snapToGrid w:val="0"/>
              <w:spacing w:line="240" w:lineRule="auto"/>
              <w:jc w:val="center"/>
              <w:rPr>
                <w:szCs w:val="21"/>
              </w:rPr>
            </w:pPr>
            <w:r>
              <w:rPr>
                <w:rFonts w:hint="eastAsia"/>
                <w:szCs w:val="21"/>
                <w:lang w:eastAsia="zh-CN"/>
              </w:rPr>
              <w:t>微创介植入医疗器械及介植入微精部件</w:t>
            </w:r>
            <w:r>
              <w:rPr>
                <w:rFonts w:hint="eastAsia"/>
                <w:szCs w:val="21"/>
              </w:rPr>
              <w:t>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项目代码</w:t>
            </w:r>
          </w:p>
        </w:tc>
        <w:tc>
          <w:tcPr>
            <w:tcW w:w="7014" w:type="dxa"/>
            <w:gridSpan w:val="3"/>
            <w:vAlign w:val="center"/>
          </w:tcPr>
          <w:p>
            <w:pPr>
              <w:adjustRightInd w:val="0"/>
              <w:snapToGrid w:val="0"/>
              <w:spacing w:line="240" w:lineRule="auto"/>
              <w:jc w:val="center"/>
              <w:rPr>
                <w:szCs w:val="21"/>
              </w:rPr>
            </w:pPr>
            <w:r>
              <w:rPr>
                <w:rFonts w:hint="eastAsia"/>
                <w:szCs w:val="21"/>
                <w:lang w:val="en-US" w:eastAsia="zh-CN"/>
              </w:rPr>
              <w:t>2020-320505-35-03-527823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建设单位联系人</w:t>
            </w:r>
          </w:p>
        </w:tc>
        <w:tc>
          <w:tcPr>
            <w:tcW w:w="2163" w:type="dxa"/>
            <w:vAlign w:val="center"/>
          </w:tcPr>
          <w:p>
            <w:pPr>
              <w:adjustRightInd w:val="0"/>
              <w:snapToGrid w:val="0"/>
              <w:spacing w:line="240" w:lineRule="auto"/>
              <w:jc w:val="center"/>
              <w:rPr>
                <w:szCs w:val="21"/>
              </w:rPr>
            </w:pPr>
            <w:r>
              <w:rPr>
                <w:rFonts w:hint="eastAsia"/>
                <w:szCs w:val="21"/>
                <w:lang w:eastAsia="zh-CN"/>
              </w:rPr>
              <w:t>刘敬晖</w:t>
            </w:r>
          </w:p>
        </w:tc>
        <w:tc>
          <w:tcPr>
            <w:tcW w:w="2212" w:type="dxa"/>
            <w:vAlign w:val="center"/>
          </w:tcPr>
          <w:p>
            <w:pPr>
              <w:adjustRightInd w:val="0"/>
              <w:snapToGrid w:val="0"/>
              <w:spacing w:line="240" w:lineRule="auto"/>
              <w:jc w:val="center"/>
              <w:rPr>
                <w:szCs w:val="21"/>
              </w:rPr>
            </w:pPr>
            <w:r>
              <w:rPr>
                <w:szCs w:val="21"/>
              </w:rPr>
              <w:t>联系方式</w:t>
            </w:r>
          </w:p>
        </w:tc>
        <w:tc>
          <w:tcPr>
            <w:tcW w:w="2639" w:type="dxa"/>
            <w:vAlign w:val="center"/>
          </w:tcPr>
          <w:p>
            <w:pPr>
              <w:adjustRightInd w:val="0"/>
              <w:snapToGrid w:val="0"/>
              <w:spacing w:line="240" w:lineRule="auto"/>
              <w:jc w:val="center"/>
              <w:rPr>
                <w:rFonts w:hint="default" w:eastAsia="宋体"/>
                <w:szCs w:val="21"/>
                <w:lang w:val="en-US" w:eastAsia="zh-CN"/>
              </w:rPr>
            </w:pPr>
            <w:r>
              <w:rPr>
                <w:rFonts w:hint="eastAsia"/>
                <w:szCs w:val="21"/>
                <w:lang w:val="en-US" w:eastAsia="zh-CN"/>
              </w:rPr>
              <w:t>15262476505</w:t>
            </w:r>
            <w:bookmarkStart w:id="17" w:name="_GoBack"/>
            <w:bookmarkEnd w:id="1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建设地点</w:t>
            </w:r>
          </w:p>
        </w:tc>
        <w:tc>
          <w:tcPr>
            <w:tcW w:w="7014" w:type="dxa"/>
            <w:gridSpan w:val="3"/>
            <w:vAlign w:val="center"/>
          </w:tcPr>
          <w:p>
            <w:pPr>
              <w:adjustRightInd w:val="0"/>
              <w:snapToGrid w:val="0"/>
              <w:spacing w:line="240" w:lineRule="auto"/>
              <w:jc w:val="center"/>
              <w:rPr>
                <w:rFonts w:hint="eastAsia"/>
                <w:szCs w:val="21"/>
                <w:u w:val="single"/>
                <w:lang w:eastAsia="zh-CN"/>
              </w:rPr>
            </w:pPr>
            <w:r>
              <w:rPr>
                <w:rFonts w:hint="eastAsia"/>
                <w:szCs w:val="21"/>
                <w:u w:val="single"/>
              </w:rPr>
              <w:t>江苏</w:t>
            </w:r>
            <w:r>
              <w:rPr>
                <w:szCs w:val="21"/>
              </w:rPr>
              <w:t>省</w:t>
            </w:r>
            <w:r>
              <w:rPr>
                <w:rFonts w:hint="eastAsia"/>
                <w:szCs w:val="21"/>
                <w:u w:val="single"/>
              </w:rPr>
              <w:t>苏州</w:t>
            </w:r>
            <w:r>
              <w:rPr>
                <w:szCs w:val="21"/>
              </w:rPr>
              <w:t>市</w:t>
            </w:r>
            <w:r>
              <w:rPr>
                <w:rFonts w:hint="eastAsia"/>
                <w:szCs w:val="21"/>
                <w:u w:val="single"/>
              </w:rPr>
              <w:t>高新</w:t>
            </w:r>
            <w:r>
              <w:rPr>
                <w:szCs w:val="21"/>
              </w:rPr>
              <w:t>区</w:t>
            </w:r>
            <w:r>
              <w:rPr>
                <w:rFonts w:hint="eastAsia"/>
                <w:szCs w:val="21"/>
                <w:u w:val="single"/>
              </w:rPr>
              <w:t>科技城</w:t>
            </w:r>
            <w:r>
              <w:rPr>
                <w:rFonts w:hint="eastAsia"/>
                <w:szCs w:val="21"/>
                <w:u w:val="single"/>
                <w:lang w:eastAsia="zh-CN"/>
              </w:rPr>
              <w:t>五台山</w:t>
            </w:r>
            <w:r>
              <w:rPr>
                <w:rFonts w:hint="eastAsia"/>
                <w:szCs w:val="21"/>
                <w:u w:val="single"/>
              </w:rPr>
              <w:t>路5</w:t>
            </w:r>
            <w:r>
              <w:rPr>
                <w:rFonts w:hint="eastAsia"/>
                <w:szCs w:val="21"/>
                <w:u w:val="single"/>
                <w:lang w:val="en-US" w:eastAsia="zh-CN"/>
              </w:rPr>
              <w:t>88</w:t>
            </w:r>
            <w:r>
              <w:rPr>
                <w:rFonts w:hint="eastAsia"/>
                <w:szCs w:val="21"/>
                <w:u w:val="single"/>
              </w:rPr>
              <w:t>号</w:t>
            </w:r>
            <w:r>
              <w:rPr>
                <w:rFonts w:hint="eastAsia"/>
                <w:szCs w:val="21"/>
                <w:u w:val="single"/>
                <w:lang w:eastAsia="zh-CN"/>
              </w:rPr>
              <w:t>科技城工业坊</w:t>
            </w:r>
          </w:p>
          <w:p>
            <w:pPr>
              <w:adjustRightInd w:val="0"/>
              <w:snapToGrid w:val="0"/>
              <w:spacing w:line="240" w:lineRule="auto"/>
              <w:jc w:val="center"/>
              <w:rPr>
                <w:szCs w:val="21"/>
              </w:rPr>
            </w:pPr>
            <w:r>
              <w:rPr>
                <w:rFonts w:hint="eastAsia"/>
                <w:szCs w:val="21"/>
                <w:u w:val="single"/>
                <w:lang w:val="en-US" w:eastAsia="zh-CN"/>
              </w:rPr>
              <w:t>C区4号楼2-201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地理坐标</w:t>
            </w:r>
          </w:p>
        </w:tc>
        <w:tc>
          <w:tcPr>
            <w:tcW w:w="7014" w:type="dxa"/>
            <w:gridSpan w:val="3"/>
            <w:vAlign w:val="center"/>
          </w:tcPr>
          <w:p>
            <w:pPr>
              <w:spacing w:line="240" w:lineRule="auto"/>
              <w:jc w:val="center"/>
              <w:rPr>
                <w:szCs w:val="21"/>
              </w:rPr>
            </w:pPr>
            <w:r>
              <w:rPr>
                <w:szCs w:val="21"/>
              </w:rPr>
              <w:t>（</w:t>
            </w:r>
            <w:r>
              <w:rPr>
                <w:rFonts w:hint="eastAsia"/>
                <w:szCs w:val="21"/>
              </w:rPr>
              <w:t>东经</w:t>
            </w:r>
            <w:r>
              <w:rPr>
                <w:szCs w:val="21"/>
                <w:u w:val="single"/>
              </w:rPr>
              <w:t>120</w:t>
            </w:r>
            <w:r>
              <w:rPr>
                <w:szCs w:val="21"/>
              </w:rPr>
              <w:t>度</w:t>
            </w:r>
            <w:r>
              <w:rPr>
                <w:szCs w:val="21"/>
                <w:u w:val="single"/>
              </w:rPr>
              <w:t>2</w:t>
            </w:r>
            <w:r>
              <w:rPr>
                <w:rFonts w:hint="eastAsia"/>
                <w:szCs w:val="21"/>
                <w:u w:val="single"/>
                <w:lang w:val="en-US" w:eastAsia="zh-CN"/>
              </w:rPr>
              <w:t>5</w:t>
            </w:r>
            <w:r>
              <w:rPr>
                <w:szCs w:val="21"/>
              </w:rPr>
              <w:t>分</w:t>
            </w:r>
            <w:r>
              <w:rPr>
                <w:rFonts w:hint="eastAsia"/>
                <w:szCs w:val="21"/>
                <w:u w:val="single"/>
                <w:lang w:val="en-US" w:eastAsia="zh-CN"/>
              </w:rPr>
              <w:t>7.37</w:t>
            </w:r>
            <w:r>
              <w:rPr>
                <w:szCs w:val="21"/>
              </w:rPr>
              <w:t>秒，</w:t>
            </w:r>
            <w:r>
              <w:rPr>
                <w:rFonts w:hint="eastAsia"/>
                <w:szCs w:val="21"/>
              </w:rPr>
              <w:t>北纬</w:t>
            </w:r>
            <w:r>
              <w:rPr>
                <w:szCs w:val="21"/>
                <w:u w:val="single"/>
              </w:rPr>
              <w:t>31</w:t>
            </w:r>
            <w:r>
              <w:rPr>
                <w:szCs w:val="21"/>
              </w:rPr>
              <w:t>度</w:t>
            </w:r>
            <w:r>
              <w:rPr>
                <w:szCs w:val="21"/>
                <w:u w:val="single"/>
              </w:rPr>
              <w:t>22</w:t>
            </w:r>
            <w:r>
              <w:rPr>
                <w:szCs w:val="21"/>
              </w:rPr>
              <w:t>分</w:t>
            </w:r>
            <w:r>
              <w:rPr>
                <w:rFonts w:hint="eastAsia"/>
                <w:szCs w:val="21"/>
                <w:u w:val="single"/>
                <w:lang w:val="en-US" w:eastAsia="zh-CN"/>
              </w:rPr>
              <w:t>41.99</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国民经济</w:t>
            </w:r>
          </w:p>
          <w:p>
            <w:pPr>
              <w:adjustRightInd w:val="0"/>
              <w:snapToGrid w:val="0"/>
              <w:spacing w:line="240" w:lineRule="auto"/>
              <w:jc w:val="center"/>
              <w:rPr>
                <w:szCs w:val="21"/>
              </w:rPr>
            </w:pPr>
            <w:r>
              <w:rPr>
                <w:szCs w:val="21"/>
              </w:rPr>
              <w:t>行业类别</w:t>
            </w:r>
          </w:p>
        </w:tc>
        <w:tc>
          <w:tcPr>
            <w:tcW w:w="2163" w:type="dxa"/>
            <w:vAlign w:val="center"/>
          </w:tcPr>
          <w:p>
            <w:pPr>
              <w:adjustRightInd w:val="0"/>
              <w:snapToGrid w:val="0"/>
              <w:spacing w:line="240" w:lineRule="auto"/>
              <w:jc w:val="center"/>
              <w:rPr>
                <w:szCs w:val="21"/>
              </w:rPr>
            </w:pPr>
            <w:r>
              <w:rPr>
                <w:rFonts w:hint="eastAsia"/>
                <w:szCs w:val="21"/>
              </w:rPr>
              <w:t>C</w:t>
            </w:r>
            <w:r>
              <w:rPr>
                <w:rFonts w:hint="eastAsia"/>
                <w:szCs w:val="21"/>
                <w:lang w:val="en-US" w:eastAsia="zh-CN"/>
              </w:rPr>
              <w:t>3589 其他医疗设备及器械制造</w:t>
            </w:r>
          </w:p>
        </w:tc>
        <w:tc>
          <w:tcPr>
            <w:tcW w:w="2212" w:type="dxa"/>
            <w:vAlign w:val="center"/>
          </w:tcPr>
          <w:p>
            <w:pPr>
              <w:adjustRightInd w:val="0"/>
              <w:snapToGrid w:val="0"/>
              <w:spacing w:line="240" w:lineRule="auto"/>
              <w:jc w:val="center"/>
              <w:rPr>
                <w:color w:val="auto"/>
                <w:szCs w:val="21"/>
              </w:rPr>
            </w:pPr>
            <w:bookmarkStart w:id="2" w:name="_Hlk49843745"/>
            <w:r>
              <w:rPr>
                <w:color w:val="auto"/>
                <w:szCs w:val="21"/>
              </w:rPr>
              <w:t>建设项目</w:t>
            </w:r>
          </w:p>
          <w:p>
            <w:pPr>
              <w:adjustRightInd w:val="0"/>
              <w:snapToGrid w:val="0"/>
              <w:spacing w:line="240" w:lineRule="auto"/>
              <w:jc w:val="center"/>
              <w:rPr>
                <w:color w:val="auto"/>
                <w:szCs w:val="21"/>
              </w:rPr>
            </w:pPr>
            <w:r>
              <w:rPr>
                <w:color w:val="auto"/>
                <w:szCs w:val="21"/>
              </w:rPr>
              <w:t>行业类别</w:t>
            </w:r>
            <w:bookmarkEnd w:id="2"/>
          </w:p>
        </w:tc>
        <w:tc>
          <w:tcPr>
            <w:tcW w:w="2639" w:type="dxa"/>
            <w:vAlign w:val="center"/>
          </w:tcPr>
          <w:p>
            <w:pPr>
              <w:adjustRightInd w:val="0"/>
              <w:snapToGrid w:val="0"/>
              <w:spacing w:line="240" w:lineRule="auto"/>
              <w:jc w:val="center"/>
              <w:rPr>
                <w:rFonts w:hint="eastAsia" w:eastAsia="宋体"/>
                <w:color w:val="auto"/>
                <w:szCs w:val="21"/>
                <w:lang w:eastAsia="zh-CN"/>
              </w:rPr>
            </w:pPr>
            <w:r>
              <w:rPr>
                <w:rFonts w:hint="eastAsia"/>
                <w:color w:val="auto"/>
                <w:szCs w:val="21"/>
              </w:rPr>
              <w:t>三十</w:t>
            </w:r>
            <w:r>
              <w:rPr>
                <w:rFonts w:hint="eastAsia"/>
                <w:color w:val="auto"/>
                <w:szCs w:val="21"/>
                <w:lang w:eastAsia="zh-CN"/>
              </w:rPr>
              <w:t>一</w:t>
            </w:r>
            <w:r>
              <w:rPr>
                <w:rFonts w:hint="eastAsia"/>
                <w:color w:val="auto"/>
                <w:szCs w:val="21"/>
              </w:rPr>
              <w:t>、</w:t>
            </w:r>
            <w:r>
              <w:rPr>
                <w:rFonts w:hint="eastAsia"/>
                <w:color w:val="auto"/>
                <w:szCs w:val="21"/>
                <w:lang w:eastAsia="zh-CN"/>
              </w:rPr>
              <w:t>通用设备</w:t>
            </w:r>
            <w:r>
              <w:rPr>
                <w:rFonts w:hint="eastAsia"/>
                <w:color w:val="auto"/>
                <w:szCs w:val="21"/>
              </w:rPr>
              <w:t>制造业；</w:t>
            </w:r>
            <w:r>
              <w:rPr>
                <w:rFonts w:hint="eastAsia"/>
                <w:color w:val="auto"/>
                <w:szCs w:val="21"/>
                <w:lang w:val="en-US" w:eastAsia="zh-CN"/>
              </w:rPr>
              <w:t>347</w:t>
            </w:r>
            <w:r>
              <w:rPr>
                <w:rFonts w:hint="eastAsia"/>
                <w:color w:val="auto"/>
                <w:szCs w:val="21"/>
              </w:rPr>
              <w:t>、</w:t>
            </w:r>
            <w:r>
              <w:rPr>
                <w:rFonts w:hint="eastAsia"/>
                <w:color w:val="auto"/>
                <w:szCs w:val="21"/>
                <w:lang w:eastAsia="zh-CN"/>
              </w:rPr>
              <w:t>通用零部件制造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建设性质</w:t>
            </w:r>
          </w:p>
        </w:tc>
        <w:tc>
          <w:tcPr>
            <w:tcW w:w="2163" w:type="dxa"/>
            <w:vAlign w:val="center"/>
          </w:tcPr>
          <w:p>
            <w:pPr>
              <w:spacing w:line="240" w:lineRule="auto"/>
              <w:jc w:val="left"/>
              <w:rPr>
                <w:szCs w:val="21"/>
              </w:rPr>
            </w:pPr>
            <w:r>
              <w:rPr>
                <w:szCs w:val="21"/>
              </w:rPr>
              <w:t>□新建（迁建）</w:t>
            </w:r>
          </w:p>
          <w:p>
            <w:pPr>
              <w:spacing w:line="240" w:lineRule="auto"/>
              <w:jc w:val="left"/>
              <w:rPr>
                <w:szCs w:val="21"/>
              </w:rPr>
            </w:pPr>
            <w:r>
              <w:rPr>
                <w:szCs w:val="21"/>
              </w:rPr>
              <w:t>□改建</w:t>
            </w:r>
          </w:p>
          <w:p>
            <w:pPr>
              <w:spacing w:line="240" w:lineRule="auto"/>
              <w:jc w:val="left"/>
              <w:rPr>
                <w:szCs w:val="21"/>
              </w:rPr>
            </w:pPr>
            <w:r>
              <w:rPr/>
              <w:sym w:font="Wingdings 2" w:char="0052"/>
            </w:r>
            <w:r>
              <w:rPr>
                <w:szCs w:val="21"/>
              </w:rPr>
              <w:t>扩建</w:t>
            </w:r>
          </w:p>
          <w:p>
            <w:pPr>
              <w:spacing w:line="240" w:lineRule="auto"/>
              <w:jc w:val="left"/>
              <w:rPr>
                <w:szCs w:val="21"/>
              </w:rPr>
            </w:pPr>
            <w:r>
              <w:rPr>
                <w:szCs w:val="21"/>
              </w:rPr>
              <w:t>□技术改造</w:t>
            </w:r>
          </w:p>
        </w:tc>
        <w:tc>
          <w:tcPr>
            <w:tcW w:w="2212" w:type="dxa"/>
            <w:vAlign w:val="center"/>
          </w:tcPr>
          <w:p>
            <w:pPr>
              <w:adjustRightInd w:val="0"/>
              <w:snapToGrid w:val="0"/>
              <w:spacing w:line="240" w:lineRule="auto"/>
              <w:jc w:val="center"/>
              <w:rPr>
                <w:szCs w:val="21"/>
              </w:rPr>
            </w:pPr>
            <w:r>
              <w:rPr>
                <w:szCs w:val="21"/>
              </w:rPr>
              <w:t>建设项目</w:t>
            </w:r>
          </w:p>
          <w:p>
            <w:pPr>
              <w:adjustRightInd w:val="0"/>
              <w:snapToGrid w:val="0"/>
              <w:spacing w:line="240" w:lineRule="auto"/>
              <w:jc w:val="center"/>
              <w:rPr>
                <w:szCs w:val="21"/>
              </w:rPr>
            </w:pPr>
            <w:r>
              <w:rPr>
                <w:szCs w:val="21"/>
              </w:rPr>
              <w:t>申报情形</w:t>
            </w:r>
          </w:p>
        </w:tc>
        <w:tc>
          <w:tcPr>
            <w:tcW w:w="2639" w:type="dxa"/>
            <w:vAlign w:val="center"/>
          </w:tcPr>
          <w:p>
            <w:pPr>
              <w:spacing w:line="240" w:lineRule="auto"/>
              <w:jc w:val="left"/>
              <w:rPr>
                <w:szCs w:val="21"/>
              </w:rPr>
            </w:pPr>
            <w:r>
              <w:rPr/>
              <w:sym w:font="Wingdings 2" w:char="0052"/>
            </w:r>
            <w:r>
              <w:rPr>
                <w:szCs w:val="21"/>
              </w:rPr>
              <w:t>首次申报项目</w:t>
            </w:r>
          </w:p>
          <w:p>
            <w:pPr>
              <w:spacing w:line="240" w:lineRule="auto"/>
              <w:jc w:val="left"/>
              <w:rPr>
                <w:szCs w:val="21"/>
              </w:rPr>
            </w:pPr>
            <w:r>
              <w:rPr>
                <w:szCs w:val="21"/>
              </w:rPr>
              <w:t>□不予批准后再次申报项目</w:t>
            </w:r>
          </w:p>
          <w:p>
            <w:pPr>
              <w:spacing w:line="240" w:lineRule="auto"/>
              <w:jc w:val="left"/>
              <w:rPr>
                <w:szCs w:val="21"/>
              </w:rPr>
            </w:pPr>
            <w:r>
              <w:rPr>
                <w:szCs w:val="21"/>
              </w:rPr>
              <w:t xml:space="preserve">□超五年重新审核项目     </w:t>
            </w:r>
          </w:p>
          <w:p>
            <w:pPr>
              <w:spacing w:line="240" w:lineRule="auto"/>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项目备案部门</w:t>
            </w:r>
          </w:p>
        </w:tc>
        <w:tc>
          <w:tcPr>
            <w:tcW w:w="2163" w:type="dxa"/>
            <w:vAlign w:val="center"/>
          </w:tcPr>
          <w:p>
            <w:pPr>
              <w:adjustRightInd w:val="0"/>
              <w:snapToGrid w:val="0"/>
              <w:spacing w:line="240" w:lineRule="auto"/>
              <w:jc w:val="center"/>
              <w:rPr>
                <w:szCs w:val="21"/>
              </w:rPr>
            </w:pPr>
            <w:r>
              <w:rPr>
                <w:rFonts w:hint="eastAsia"/>
                <w:szCs w:val="21"/>
              </w:rPr>
              <w:t>苏州高新区(虎丘区)行政审批局</w:t>
            </w:r>
          </w:p>
        </w:tc>
        <w:tc>
          <w:tcPr>
            <w:tcW w:w="2212" w:type="dxa"/>
            <w:vAlign w:val="center"/>
          </w:tcPr>
          <w:p>
            <w:pPr>
              <w:adjustRightInd w:val="0"/>
              <w:snapToGrid w:val="0"/>
              <w:spacing w:line="240" w:lineRule="auto"/>
              <w:jc w:val="center"/>
              <w:rPr>
                <w:szCs w:val="21"/>
              </w:rPr>
            </w:pPr>
            <w:r>
              <w:rPr>
                <w:szCs w:val="21"/>
              </w:rPr>
              <w:t>项目备案文号</w:t>
            </w:r>
          </w:p>
        </w:tc>
        <w:tc>
          <w:tcPr>
            <w:tcW w:w="2639" w:type="dxa"/>
            <w:vAlign w:val="center"/>
          </w:tcPr>
          <w:p>
            <w:pPr>
              <w:adjustRightInd w:val="0"/>
              <w:snapToGrid w:val="0"/>
              <w:spacing w:line="240" w:lineRule="auto"/>
              <w:jc w:val="center"/>
              <w:rPr>
                <w:szCs w:val="21"/>
              </w:rPr>
            </w:pPr>
            <w:r>
              <w:rPr>
                <w:rFonts w:hint="eastAsia"/>
                <w:szCs w:val="21"/>
              </w:rPr>
              <w:t>苏高新项备〔20</w:t>
            </w:r>
            <w:r>
              <w:rPr>
                <w:rFonts w:hint="eastAsia"/>
                <w:szCs w:val="21"/>
                <w:lang w:val="en-US" w:eastAsia="zh-CN"/>
              </w:rPr>
              <w:t>20</w:t>
            </w:r>
            <w:r>
              <w:rPr>
                <w:rFonts w:hint="eastAsia"/>
                <w:szCs w:val="21"/>
              </w:rPr>
              <w:t>〕1</w:t>
            </w:r>
            <w:r>
              <w:rPr>
                <w:rFonts w:hint="eastAsia"/>
                <w:szCs w:val="21"/>
                <w:lang w:val="en-US" w:eastAsia="zh-CN"/>
              </w:rPr>
              <w:t>65</w:t>
            </w:r>
            <w:r>
              <w:rPr>
                <w:rFonts w:hint="eastAsia"/>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总投资（万元）</w:t>
            </w:r>
          </w:p>
        </w:tc>
        <w:tc>
          <w:tcPr>
            <w:tcW w:w="2163" w:type="dxa"/>
            <w:vAlign w:val="center"/>
          </w:tcPr>
          <w:p>
            <w:pPr>
              <w:adjustRightInd w:val="0"/>
              <w:snapToGrid w:val="0"/>
              <w:spacing w:line="240" w:lineRule="auto"/>
              <w:jc w:val="center"/>
              <w:rPr>
                <w:szCs w:val="21"/>
              </w:rPr>
            </w:pPr>
            <w:r>
              <w:rPr>
                <w:szCs w:val="21"/>
              </w:rPr>
              <w:t>1000</w:t>
            </w:r>
          </w:p>
        </w:tc>
        <w:tc>
          <w:tcPr>
            <w:tcW w:w="2212" w:type="dxa"/>
            <w:tcMar>
              <w:top w:w="16" w:type="dxa"/>
              <w:left w:w="16" w:type="dxa"/>
              <w:right w:w="16" w:type="dxa"/>
            </w:tcMar>
            <w:vAlign w:val="center"/>
          </w:tcPr>
          <w:p>
            <w:pPr>
              <w:adjustRightInd w:val="0"/>
              <w:snapToGrid w:val="0"/>
              <w:spacing w:line="240" w:lineRule="auto"/>
              <w:jc w:val="center"/>
              <w:rPr>
                <w:szCs w:val="21"/>
              </w:rPr>
            </w:pPr>
            <w:r>
              <w:rPr>
                <w:szCs w:val="21"/>
              </w:rPr>
              <w:t>环保投资（万元）</w:t>
            </w:r>
          </w:p>
        </w:tc>
        <w:tc>
          <w:tcPr>
            <w:tcW w:w="2639" w:type="dxa"/>
            <w:vAlign w:val="center"/>
          </w:tcPr>
          <w:p>
            <w:pPr>
              <w:adjustRightInd w:val="0"/>
              <w:snapToGrid w:val="0"/>
              <w:spacing w:line="240" w:lineRule="auto"/>
              <w:jc w:val="center"/>
              <w:rPr>
                <w:szCs w:val="21"/>
              </w:rPr>
            </w:pPr>
            <w:r>
              <w:rPr>
                <w:rFonts w:hint="eastAsia"/>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环保投资占比（%）</w:t>
            </w:r>
          </w:p>
        </w:tc>
        <w:tc>
          <w:tcPr>
            <w:tcW w:w="2163" w:type="dxa"/>
            <w:vAlign w:val="center"/>
          </w:tcPr>
          <w:p>
            <w:pPr>
              <w:adjustRightInd w:val="0"/>
              <w:snapToGrid w:val="0"/>
              <w:spacing w:line="240" w:lineRule="auto"/>
              <w:jc w:val="center"/>
              <w:rPr>
                <w:szCs w:val="21"/>
              </w:rPr>
            </w:pPr>
            <w:r>
              <w:rPr>
                <w:rFonts w:hint="eastAsia"/>
                <w:szCs w:val="21"/>
              </w:rPr>
              <w:t>0</w:t>
            </w:r>
            <w:r>
              <w:rPr>
                <w:szCs w:val="21"/>
              </w:rPr>
              <w:t>.5</w:t>
            </w:r>
            <w:r>
              <w:rPr>
                <w:rFonts w:hint="eastAsia"/>
                <w:szCs w:val="21"/>
              </w:rPr>
              <w:t>%</w:t>
            </w:r>
          </w:p>
        </w:tc>
        <w:tc>
          <w:tcPr>
            <w:tcW w:w="2212" w:type="dxa"/>
            <w:tcMar>
              <w:top w:w="16" w:type="dxa"/>
              <w:left w:w="16" w:type="dxa"/>
              <w:right w:w="16" w:type="dxa"/>
            </w:tcMar>
            <w:vAlign w:val="center"/>
          </w:tcPr>
          <w:p>
            <w:pPr>
              <w:adjustRightInd w:val="0"/>
              <w:snapToGrid w:val="0"/>
              <w:spacing w:line="240" w:lineRule="auto"/>
              <w:jc w:val="center"/>
              <w:rPr>
                <w:szCs w:val="21"/>
              </w:rPr>
            </w:pPr>
            <w:r>
              <w:rPr>
                <w:szCs w:val="21"/>
              </w:rPr>
              <w:t>施工工期</w:t>
            </w:r>
          </w:p>
        </w:tc>
        <w:tc>
          <w:tcPr>
            <w:tcW w:w="2639" w:type="dxa"/>
            <w:vAlign w:val="center"/>
          </w:tcPr>
          <w:p>
            <w:pPr>
              <w:adjustRightInd w:val="0"/>
              <w:snapToGrid w:val="0"/>
              <w:spacing w:line="240" w:lineRule="auto"/>
              <w:jc w:val="center"/>
              <w:rPr>
                <w:szCs w:val="21"/>
              </w:rPr>
            </w:pPr>
            <w: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gridSpan w:val="2"/>
            <w:tcMar>
              <w:top w:w="16" w:type="dxa"/>
              <w:left w:w="16" w:type="dxa"/>
              <w:right w:w="16" w:type="dxa"/>
            </w:tcMar>
            <w:vAlign w:val="center"/>
          </w:tcPr>
          <w:p>
            <w:pPr>
              <w:adjustRightInd w:val="0"/>
              <w:snapToGrid w:val="0"/>
              <w:spacing w:line="240" w:lineRule="auto"/>
              <w:jc w:val="center"/>
              <w:rPr>
                <w:szCs w:val="21"/>
              </w:rPr>
            </w:pPr>
            <w:r>
              <w:rPr>
                <w:szCs w:val="21"/>
              </w:rPr>
              <w:t>是否开工建设</w:t>
            </w:r>
          </w:p>
        </w:tc>
        <w:tc>
          <w:tcPr>
            <w:tcW w:w="2163" w:type="dxa"/>
            <w:vAlign w:val="center"/>
          </w:tcPr>
          <w:p>
            <w:pPr>
              <w:adjustRightInd w:val="0"/>
              <w:snapToGrid w:val="0"/>
              <w:spacing w:line="240" w:lineRule="auto"/>
              <w:rPr>
                <w:szCs w:val="21"/>
              </w:rPr>
            </w:pPr>
            <w:r>
              <w:rPr/>
              <w:sym w:font="Wingdings 2" w:char="0052"/>
            </w:r>
            <w:r>
              <w:rPr>
                <w:szCs w:val="21"/>
              </w:rPr>
              <w:t>否</w:t>
            </w:r>
          </w:p>
          <w:p>
            <w:pPr>
              <w:adjustRightInd w:val="0"/>
              <w:snapToGrid w:val="0"/>
              <w:spacing w:line="240" w:lineRule="auto"/>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pPr>
              <w:adjustRightInd w:val="0"/>
              <w:snapToGrid w:val="0"/>
              <w:spacing w:line="240" w:lineRule="auto"/>
              <w:jc w:val="center"/>
              <w:rPr>
                <w:color w:val="auto"/>
                <w:spacing w:val="-6"/>
                <w:szCs w:val="21"/>
              </w:rPr>
            </w:pPr>
            <w:r>
              <w:rPr>
                <w:color w:val="auto"/>
                <w:spacing w:val="-6"/>
                <w:szCs w:val="21"/>
              </w:rPr>
              <w:t>用地（用海）</w:t>
            </w:r>
          </w:p>
          <w:p>
            <w:pPr>
              <w:adjustRightInd w:val="0"/>
              <w:snapToGrid w:val="0"/>
              <w:spacing w:line="240" w:lineRule="auto"/>
              <w:jc w:val="center"/>
              <w:rPr>
                <w:color w:val="auto"/>
                <w:szCs w:val="21"/>
              </w:rPr>
            </w:pPr>
            <w:r>
              <w:rPr>
                <w:color w:val="auto"/>
                <w:spacing w:val="-6"/>
                <w:szCs w:val="21"/>
              </w:rPr>
              <w:t>面积（m</w:t>
            </w:r>
            <w:r>
              <w:rPr>
                <w:color w:val="auto"/>
                <w:spacing w:val="-6"/>
                <w:szCs w:val="21"/>
                <w:vertAlign w:val="superscript"/>
              </w:rPr>
              <w:t>2</w:t>
            </w:r>
            <w:r>
              <w:rPr>
                <w:color w:val="auto"/>
                <w:spacing w:val="-6"/>
                <w:szCs w:val="21"/>
              </w:rPr>
              <w:t>）</w:t>
            </w:r>
          </w:p>
        </w:tc>
        <w:tc>
          <w:tcPr>
            <w:tcW w:w="2639" w:type="dxa"/>
            <w:vAlign w:val="center"/>
          </w:tcPr>
          <w:p>
            <w:pPr>
              <w:adjustRightInd w:val="0"/>
              <w:snapToGrid w:val="0"/>
              <w:spacing w:line="240" w:lineRule="auto"/>
              <w:jc w:val="center"/>
              <w:rPr>
                <w:rFonts w:hint="eastAsia" w:eastAsia="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gridSpan w:val="2"/>
            <w:vAlign w:val="center"/>
          </w:tcPr>
          <w:p>
            <w:pPr>
              <w:autoSpaceDE w:val="0"/>
              <w:autoSpaceDN w:val="0"/>
              <w:adjustRightInd w:val="0"/>
              <w:snapToGrid w:val="0"/>
              <w:spacing w:line="240" w:lineRule="auto"/>
              <w:jc w:val="center"/>
              <w:rPr>
                <w:kern w:val="0"/>
                <w:szCs w:val="21"/>
              </w:rPr>
            </w:pPr>
            <w:r>
              <w:rPr>
                <w:kern w:val="0"/>
                <w:szCs w:val="21"/>
              </w:rPr>
              <w:t>专项评价设置情况</w:t>
            </w:r>
          </w:p>
        </w:tc>
        <w:tc>
          <w:tcPr>
            <w:tcW w:w="7014" w:type="dxa"/>
            <w:gridSpan w:val="3"/>
            <w:vAlign w:val="center"/>
          </w:tcPr>
          <w:p>
            <w:pPr>
              <w:autoSpaceDE w:val="0"/>
              <w:autoSpaceDN w:val="0"/>
              <w:adjustRightInd w:val="0"/>
              <w:snapToGrid w:val="0"/>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gridSpan w:val="2"/>
            <w:vAlign w:val="center"/>
          </w:tcPr>
          <w:p>
            <w:pPr>
              <w:autoSpaceDE w:val="0"/>
              <w:autoSpaceDN w:val="0"/>
              <w:adjustRightInd w:val="0"/>
              <w:snapToGrid w:val="0"/>
              <w:spacing w:line="240" w:lineRule="auto"/>
              <w:jc w:val="center"/>
              <w:rPr>
                <w:kern w:val="0"/>
                <w:szCs w:val="21"/>
              </w:rPr>
            </w:pPr>
            <w:r>
              <w:rPr>
                <w:szCs w:val="21"/>
              </w:rPr>
              <w:t>规划情况</w:t>
            </w:r>
          </w:p>
        </w:tc>
        <w:tc>
          <w:tcPr>
            <w:tcW w:w="7014" w:type="dxa"/>
            <w:gridSpan w:val="3"/>
            <w:vAlign w:val="center"/>
          </w:tcPr>
          <w:p>
            <w:pPr>
              <w:pStyle w:val="29"/>
              <w:ind w:firstLine="480"/>
            </w:pPr>
            <w:r>
              <w:rPr>
                <w:rFonts w:hint="eastAsia"/>
              </w:rPr>
              <w:t>《苏州高新区开发建设规划（2015-2030年）》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56" w:type="dxa"/>
            <w:gridSpan w:val="2"/>
            <w:vAlign w:val="center"/>
          </w:tcPr>
          <w:p>
            <w:pPr>
              <w:adjustRightInd w:val="0"/>
              <w:snapToGrid w:val="0"/>
              <w:spacing w:line="240" w:lineRule="auto"/>
              <w:jc w:val="center"/>
              <w:rPr>
                <w:szCs w:val="21"/>
              </w:rPr>
            </w:pPr>
            <w:r>
              <w:rPr>
                <w:szCs w:val="21"/>
              </w:rPr>
              <w:t>规划环境影响</w:t>
            </w:r>
          </w:p>
          <w:p>
            <w:pPr>
              <w:adjustRightInd w:val="0"/>
              <w:snapToGrid w:val="0"/>
              <w:spacing w:line="240" w:lineRule="auto"/>
              <w:jc w:val="center"/>
              <w:rPr>
                <w:kern w:val="0"/>
                <w:szCs w:val="21"/>
              </w:rPr>
            </w:pPr>
            <w:r>
              <w:rPr>
                <w:szCs w:val="21"/>
              </w:rPr>
              <w:t>评价情况</w:t>
            </w:r>
          </w:p>
        </w:tc>
        <w:tc>
          <w:tcPr>
            <w:tcW w:w="7014" w:type="dxa"/>
            <w:gridSpan w:val="3"/>
            <w:vAlign w:val="center"/>
          </w:tcPr>
          <w:p>
            <w:pPr>
              <w:pStyle w:val="29"/>
              <w:ind w:firstLine="480"/>
            </w:pPr>
            <w:r>
              <w:rPr>
                <w:rFonts w:hint="eastAsia"/>
              </w:rPr>
              <w:t>1、《苏州国家高新技术产业开发区开发建设规划（2015-2030年）环境影响报告书》于2016年11月29日取得了环境保护部的审查意见，批文号：环审[2016]158号。</w:t>
            </w:r>
          </w:p>
          <w:p>
            <w:pPr>
              <w:pStyle w:val="29"/>
              <w:ind w:firstLine="480"/>
            </w:pPr>
            <w:r>
              <w:t>2</w:t>
            </w:r>
            <w:r>
              <w:rPr>
                <w:rFonts w:hint="eastAsia"/>
              </w:rPr>
              <w:t>、《苏州国家高新技术产业开发区环境影响区域评估报告》已于2021年12月在苏州市生态环境局备案。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pPr>
              <w:autoSpaceDE w:val="0"/>
              <w:autoSpaceDN w:val="0"/>
              <w:adjustRightInd w:val="0"/>
              <w:snapToGrid w:val="0"/>
              <w:spacing w:line="240" w:lineRule="auto"/>
              <w:jc w:val="center"/>
              <w:rPr>
                <w:kern w:val="0"/>
                <w:szCs w:val="21"/>
              </w:rPr>
            </w:pPr>
            <w:r>
              <w:rPr>
                <w:kern w:val="0"/>
                <w:szCs w:val="21"/>
              </w:rPr>
              <w:t>规划及规划环境影响评价符合性分析</w:t>
            </w:r>
          </w:p>
        </w:tc>
        <w:tc>
          <w:tcPr>
            <w:tcW w:w="8148" w:type="dxa"/>
            <w:gridSpan w:val="4"/>
          </w:tcPr>
          <w:p>
            <w:pPr>
              <w:pStyle w:val="14"/>
            </w:pPr>
            <w:r>
              <w:rPr>
                <w:rFonts w:hint="eastAsia"/>
              </w:rPr>
              <w:t>1、与《苏州高新区开发建设规划（2015-2030年）》相符性</w:t>
            </w:r>
          </w:p>
          <w:p>
            <w:pPr>
              <w:pStyle w:val="29"/>
              <w:ind w:firstLine="480"/>
            </w:pPr>
            <w:r>
              <w:rPr>
                <w:rFonts w:hint="eastAsia"/>
              </w:rPr>
              <w:t>苏州高新区于1995年编制了《苏州高新区总体规划》，规划面积为52.06km</w:t>
            </w:r>
            <w:r>
              <w:rPr>
                <w:rFonts w:hint="eastAsia"/>
                <w:vertAlign w:val="superscript"/>
              </w:rPr>
              <w:t>2</w:t>
            </w:r>
            <w:r>
              <w:rPr>
                <w:rFonts w:hint="eastAsia"/>
              </w:rPr>
              <w:t>，规划范围为当时的整个辖区范围。2002年区划调整后，苏州高新区于2003年适时编制了《苏州高新区协调发展规划》，规划面积为223km</w:t>
            </w:r>
            <w:r>
              <w:rPr>
                <w:rFonts w:hint="eastAsia"/>
                <w:vertAlign w:val="superscript"/>
              </w:rPr>
              <w:t>2</w:t>
            </w:r>
            <w:r>
              <w:rPr>
                <w:rFonts w:hint="eastAsia"/>
              </w:rPr>
              <w:t>，规划范围为整个辖区。为进一步促进苏州高新区城乡协调发展，推进国家创新型园区建设，保障高新区山水生态格局，指导苏州高新区二次创业的城乡建设与发展。</w:t>
            </w:r>
          </w:p>
          <w:p>
            <w:pPr>
              <w:pStyle w:val="29"/>
              <w:ind w:firstLine="480"/>
            </w:pPr>
            <w:r>
              <w:rPr>
                <w:rFonts w:hint="eastAsia"/>
              </w:rPr>
              <w:t>2015年苏州高新区对2003年的规划做了修订和完善，编制了《苏州国家高新技术产业开发区开发建设规划（2015-2030年）环境影响报告书》，2016年11月29日获得国家环保部审查意见，批复号：环审[2016]158号。</w:t>
            </w:r>
          </w:p>
          <w:p>
            <w:pPr>
              <w:pStyle w:val="29"/>
              <w:ind w:firstLine="480"/>
            </w:pPr>
            <w:r>
              <w:rPr>
                <w:rFonts w:hint="eastAsia"/>
              </w:rPr>
              <w:t>（1）规划范围</w:t>
            </w:r>
          </w:p>
          <w:p>
            <w:pPr>
              <w:pStyle w:val="29"/>
              <w:ind w:firstLine="480"/>
            </w:pPr>
            <w:r>
              <w:rPr>
                <w:rFonts w:hint="eastAsia"/>
              </w:rPr>
              <w:t>北至相城区交界处，南至与吴中区交界处，西至太湖大堤，东至京杭运河，规划范围内用地面积约为223 平方公里。</w:t>
            </w:r>
          </w:p>
          <w:p>
            <w:pPr>
              <w:pStyle w:val="29"/>
              <w:ind w:firstLine="480"/>
            </w:pPr>
            <w:r>
              <w:rPr>
                <w:rFonts w:hint="eastAsia"/>
              </w:rPr>
              <w:t>（2）规划时段</w:t>
            </w:r>
          </w:p>
          <w:p>
            <w:pPr>
              <w:pStyle w:val="29"/>
              <w:ind w:firstLine="480"/>
            </w:pPr>
            <w:r>
              <w:rPr>
                <w:rFonts w:hint="eastAsia"/>
              </w:rPr>
              <w:t>本次规划年限为：2015年～2030年。规划近期至2020年，远期至2030年。</w:t>
            </w:r>
          </w:p>
          <w:p>
            <w:pPr>
              <w:pStyle w:val="29"/>
              <w:ind w:firstLine="480"/>
            </w:pPr>
            <w:r>
              <w:rPr>
                <w:rFonts w:hint="eastAsia"/>
              </w:rPr>
              <w:t>（3）规划结构</w:t>
            </w:r>
          </w:p>
          <w:p>
            <w:pPr>
              <w:pStyle w:val="29"/>
              <w:ind w:firstLine="480"/>
            </w:pPr>
            <w:r>
              <w:rPr>
                <w:rFonts w:hint="eastAsia"/>
              </w:rPr>
              <w:t>总体空间结构：“一核、一心、双轴、三片”。</w:t>
            </w:r>
          </w:p>
          <w:p>
            <w:pPr>
              <w:pStyle w:val="29"/>
              <w:ind w:firstLine="480"/>
            </w:pPr>
            <w:r>
              <w:rPr>
                <w:rFonts w:hint="eastAsia"/>
              </w:rPr>
              <w:t>一核：以狮山路城市中心为整个高新区的公共之“核”，为高新区塑造一个与古城紧密联系的展现魅力与活力的公共生活集聚区，成为中心城区“发展极”。</w:t>
            </w:r>
          </w:p>
          <w:p>
            <w:pPr>
              <w:pStyle w:val="29"/>
              <w:ind w:firstLine="480"/>
            </w:pPr>
            <w:r>
              <w:rPr>
                <w:rFonts w:hint="eastAsia"/>
              </w:rPr>
              <w:t>一心：以阳山森林公园为绿色之心，将山体屏障转化为生态绿环，作为各个独立组团间生态廊道的汇聚点。</w:t>
            </w:r>
          </w:p>
          <w:p>
            <w:pPr>
              <w:pStyle w:val="29"/>
              <w:ind w:firstLine="480"/>
            </w:pPr>
            <w:r>
              <w:rPr>
                <w:rFonts w:hint="eastAsia"/>
              </w:rPr>
              <w:t>双轴：①太湖大道发展主轴：是高新区“二次创业”的活力之轴，展现科技、人文、生态的融合。②京杭运河发展主轴：展现运河文化的精华，是城市滨河风貌的集中体现，是公共功能与滨水风光的有机融合。</w:t>
            </w:r>
          </w:p>
          <w:p>
            <w:pPr>
              <w:pStyle w:val="29"/>
              <w:ind w:firstLine="480"/>
            </w:pPr>
            <w:r>
              <w:rPr>
                <w:rFonts w:hint="eastAsia"/>
              </w:rPr>
              <w:t>三片：规划将苏州高新区划分为“三个功能相对完整，产居相对平衡，空间相对集中”的独立片区：中心城区片区、浒通片区、湖滨片区。</w:t>
            </w:r>
          </w:p>
          <w:p>
            <w:pPr>
              <w:pStyle w:val="29"/>
              <w:ind w:firstLine="480"/>
            </w:pPr>
            <w:r>
              <w:rPr>
                <w:rFonts w:hint="eastAsia"/>
              </w:rPr>
              <w:t>（4）功能分区</w:t>
            </w:r>
          </w:p>
          <w:p>
            <w:pPr>
              <w:pStyle w:val="29"/>
              <w:ind w:firstLine="480"/>
            </w:pPr>
            <w:r>
              <w:rPr>
                <w:rFonts w:hint="eastAsia"/>
              </w:rPr>
              <w:t>规划依托中心城区片区、浒通片区、湖滨片区三大片区与阳山“绿心”划分出狮山组团、浒通组团、横塘组团、科技城组团、生态城组团和阳山组团，形成六个独立组团空间，并对各组团的形态构建与功能组织进行引导。</w:t>
            </w:r>
          </w:p>
          <w:p>
            <w:pPr>
              <w:pStyle w:val="29"/>
              <w:ind w:firstLine="480"/>
            </w:pPr>
            <w:r>
              <w:rPr>
                <w:rFonts w:hint="eastAsia"/>
              </w:rPr>
              <w:t>（5）用地布局规划</w:t>
            </w:r>
          </w:p>
          <w:p>
            <w:pPr>
              <w:pStyle w:val="29"/>
              <w:ind w:firstLine="480"/>
            </w:pPr>
            <w:r>
              <w:rPr>
                <w:rFonts w:hint="eastAsia"/>
              </w:rPr>
              <w:t>规划工业用地3643.3公顷，占规划城市建设用地的25.31%。规划形成6个工业片区，为高新区发展工业的重要集中区域。</w:t>
            </w:r>
          </w:p>
          <w:p>
            <w:pPr>
              <w:pStyle w:val="29"/>
              <w:ind w:firstLine="480"/>
            </w:pPr>
            <w:r>
              <w:rPr>
                <w:rFonts w:hint="eastAsia"/>
              </w:rPr>
              <w:t>①枫桥工业区：面积约1539公顷。重点发展电子信息、精密机械产业。</w:t>
            </w:r>
          </w:p>
          <w:p>
            <w:pPr>
              <w:pStyle w:val="29"/>
              <w:ind w:firstLine="480"/>
            </w:pPr>
            <w:r>
              <w:rPr>
                <w:rFonts w:hint="eastAsia"/>
              </w:rPr>
              <w:t>②浒通工业区：面积约1286公顷。重点发展电子产品及元件的制造和装配产业。其中包含出口加工区和保税物流园，面积分别为270公顷和50公顷。</w:t>
            </w:r>
          </w:p>
          <w:p>
            <w:pPr>
              <w:pStyle w:val="29"/>
              <w:ind w:firstLine="480"/>
            </w:pPr>
            <w:r>
              <w:rPr>
                <w:rFonts w:hint="eastAsia"/>
              </w:rPr>
              <w:t>③浒关工业区：面积约762公顷。重点发展装备制造、化工。其中化工集中区面积279公顷，主要发展化工产业，包括专用化学品产业、日用化学品产业、新材料产业、生物技术及医药等。</w:t>
            </w:r>
          </w:p>
          <w:p>
            <w:pPr>
              <w:pStyle w:val="29"/>
              <w:ind w:firstLine="480"/>
            </w:pPr>
            <w:r>
              <w:rPr>
                <w:rFonts w:hint="eastAsia"/>
              </w:rPr>
              <w:t>④苏钢工业区：面积约450公顷。结合企业转型形成金属零部件生产与设计中心。</w:t>
            </w:r>
          </w:p>
          <w:p>
            <w:pPr>
              <w:pStyle w:val="29"/>
              <w:ind w:firstLine="480"/>
            </w:pPr>
            <w:r>
              <w:rPr>
                <w:rFonts w:hint="eastAsia"/>
              </w:rPr>
              <w:t>⑤通安工业区：面积约355公顷。重点发展电子信息产业。</w:t>
            </w:r>
          </w:p>
          <w:p>
            <w:pPr>
              <w:pStyle w:val="29"/>
              <w:ind w:firstLine="480"/>
            </w:pPr>
            <w:r>
              <w:rPr>
                <w:rFonts w:hint="eastAsia"/>
              </w:rPr>
              <w:t>⑥科技城工业区：面积约717.6公顷。重点发展新一代信息技术、轨道交通、新能源、医疗器械研发与制造等。</w:t>
            </w:r>
          </w:p>
          <w:p>
            <w:pPr>
              <w:pStyle w:val="29"/>
              <w:ind w:firstLine="480"/>
            </w:pPr>
            <w:r>
              <w:rPr>
                <w:rFonts w:hint="eastAsia"/>
              </w:rPr>
              <w:t>（6）产业发展规划</w:t>
            </w:r>
          </w:p>
          <w:p>
            <w:pPr>
              <w:pStyle w:val="29"/>
              <w:ind w:firstLine="480"/>
            </w:pPr>
            <w:r>
              <w:rPr>
                <w:rFonts w:hint="eastAsia"/>
              </w:rPr>
              <w:t>各重点组团中原有主导产业均以工业为主，未来随着高新区城市功能的增加，产业的选择在立足于原有的工业基础的同时要逐步增添各类现代服务业和生产性服务业。</w:t>
            </w:r>
          </w:p>
          <w:p>
            <w:pPr>
              <w:pStyle w:val="29"/>
              <w:ind w:firstLine="480"/>
            </w:pPr>
            <w:r>
              <w:rPr>
                <w:rFonts w:hint="eastAsia"/>
              </w:rPr>
              <w:t>狮山组团中原狮山街道地区是承担着建设城市中心的重任，未来对原有传统类服务产业进行经营模式的更新，并加大对现代服务业和生产性服务业的培育力度；原枫桥街道地区要在承担对高新区工业发展的支撑功能的同时加强与浒通组团的生产协调，与狮山组团的服务协调以及与阳山组团的生态环境协调，实现同而不重，功能互补。</w:t>
            </w:r>
          </w:p>
          <w:p>
            <w:pPr>
              <w:pStyle w:val="29"/>
              <w:ind w:firstLine="480"/>
            </w:pPr>
            <w:r>
              <w:rPr>
                <w:rFonts w:hint="eastAsia"/>
              </w:rPr>
              <w:t>浒通组团要对原有的工业进行升级改造，并增添生产性服务业，在带动地区经济发展的同时实现生产性服务体系的完善。</w:t>
            </w:r>
          </w:p>
          <w:p>
            <w:pPr>
              <w:pStyle w:val="29"/>
              <w:ind w:firstLine="480"/>
            </w:pPr>
            <w:r>
              <w:rPr>
                <w:rFonts w:hint="eastAsia"/>
              </w:rPr>
              <w:t>科技城组团借助周边地区的环境和景观资源，以生态、科技为发展理念大力发展清洁型和科技型产业，并引入现代商务产业。</w:t>
            </w:r>
          </w:p>
          <w:p>
            <w:pPr>
              <w:pStyle w:val="29"/>
              <w:ind w:firstLine="480"/>
            </w:pPr>
            <w:r>
              <w:rPr>
                <w:rFonts w:hint="eastAsia"/>
              </w:rPr>
              <w:t>生态城组团拥有滨临太湖的天然优势，是苏州高新区宜居地区建设的典范，大力发展现代旅游业和休闲服务业。同时，把发展现代农业与发展生态休闲农业相结合，注重经济作物和农作物的规模经营，整治低效的家畜和渔业养殖。</w:t>
            </w:r>
          </w:p>
          <w:p>
            <w:pPr>
              <w:pStyle w:val="29"/>
              <w:ind w:firstLine="480"/>
            </w:pPr>
            <w:r>
              <w:rPr>
                <w:rFonts w:hint="eastAsia"/>
              </w:rPr>
              <w:t>阳山组团作为体现高新区魅力的生态之核，要尽快将原有的工业产业进行替换，建成以生态旅游和科技研发功能为主、彰显城市活力的绿色环保区。</w:t>
            </w:r>
          </w:p>
          <w:p>
            <w:pPr>
              <w:pStyle w:val="29"/>
              <w:ind w:firstLine="480"/>
            </w:pPr>
            <w:r>
              <w:rPr>
                <w:rFonts w:hint="eastAsia"/>
              </w:rPr>
              <w:t>横塘组团以特色市场服务（装饰市场）和科技服务为主打，注重经营模式的创新以及规模效益的发挥。</w:t>
            </w:r>
          </w:p>
          <w:p>
            <w:pPr>
              <w:pStyle w:val="29"/>
              <w:ind w:firstLine="480"/>
              <w:rPr>
                <w:rFonts w:hint="eastAsia"/>
              </w:rPr>
            </w:pPr>
            <w:r>
              <w:rPr>
                <w:rFonts w:hint="eastAsia"/>
              </w:rPr>
              <w:t>本项目位于江苏省苏州市高新区科技城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rPr>
              <w:t>，属于科技城组团。根据企业不动产证，土地用途为工业用地。根据苏州高新区区域规划图，公司所在地为规划工业用地，符合苏州高新区的用地规划。</w:t>
            </w:r>
          </w:p>
          <w:p>
            <w:pPr>
              <w:pStyle w:val="29"/>
              <w:ind w:firstLine="480"/>
            </w:pPr>
            <w:r>
              <w:rPr>
                <w:rFonts w:hint="eastAsia"/>
              </w:rPr>
              <w:t>科技城组团未来主要引导产业为轨道交通、新一代信息技术、新能源、医疗器械研发制造、科技研发、商务服务、金融保险。</w:t>
            </w:r>
          </w:p>
          <w:p>
            <w:pPr>
              <w:pStyle w:val="29"/>
              <w:ind w:firstLine="480"/>
            </w:pPr>
            <w:r>
              <w:rPr>
                <w:rFonts w:hint="eastAsia"/>
              </w:rPr>
              <w:t>本项目行业类别为</w:t>
            </w:r>
            <w:r>
              <w:rPr>
                <w:rFonts w:hint="eastAsia"/>
                <w:szCs w:val="21"/>
              </w:rPr>
              <w:t>C</w:t>
            </w:r>
            <w:r>
              <w:rPr>
                <w:rFonts w:hint="eastAsia"/>
                <w:szCs w:val="21"/>
                <w:lang w:val="en-US" w:eastAsia="zh-CN"/>
              </w:rPr>
              <w:t>3589 其他医疗设备及器械制造</w:t>
            </w:r>
            <w:r>
              <w:rPr>
                <w:rFonts w:hint="eastAsia"/>
              </w:rPr>
              <w:t>，</w:t>
            </w:r>
            <w:r>
              <w:t>属于科技型产业</w:t>
            </w:r>
            <w:r>
              <w:rPr>
                <w:rFonts w:hint="eastAsia"/>
              </w:rPr>
              <w:t>，满足科技城组团的产业定位。</w:t>
            </w:r>
          </w:p>
          <w:p>
            <w:pPr>
              <w:pStyle w:val="14"/>
            </w:pPr>
            <w:r>
              <w:t>2、与《苏州国家高新技术产业开发区开发建设规划（2015-2030年）环境影响报告书》审查意见相符性</w:t>
            </w:r>
          </w:p>
          <w:p>
            <w:pPr>
              <w:pStyle w:val="29"/>
              <w:ind w:firstLine="480"/>
            </w:pPr>
            <w:r>
              <w:rPr>
                <w:rFonts w:hint="eastAsia"/>
              </w:rPr>
              <w:t>《苏州国家高新技术产业开发区开发建设规划（2015-2030年）环境影响报告书》于2016年11月29日取得了环境保护部的审查意见（环审[2016]158号），本项目与审查意见相关内容的相符性分析见下表。</w:t>
            </w:r>
          </w:p>
          <w:p>
            <w:pPr>
              <w:pStyle w:val="12"/>
            </w:pPr>
            <w:r>
              <w:t>表1-1  本项目与《规划环评报告书》审查意见相符性分析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4638"/>
              <w:gridCol w:w="2001"/>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08" w:type="pct"/>
                  <w:vAlign w:val="center"/>
                </w:tcPr>
                <w:p>
                  <w:pPr>
                    <w:pStyle w:val="35"/>
                  </w:pPr>
                  <w:r>
                    <w:rPr>
                      <w:rFonts w:hint="eastAsia"/>
                    </w:rPr>
                    <w:t>序号</w:t>
                  </w:r>
                </w:p>
              </w:tc>
              <w:tc>
                <w:tcPr>
                  <w:tcW w:w="2927" w:type="pct"/>
                  <w:vAlign w:val="center"/>
                </w:tcPr>
                <w:p>
                  <w:pPr>
                    <w:pStyle w:val="35"/>
                  </w:pPr>
                  <w:r>
                    <w:rPr>
                      <w:rFonts w:hint="eastAsia"/>
                    </w:rPr>
                    <w:t>审查意见（环审[2016]158号）主要内容</w:t>
                  </w:r>
                </w:p>
              </w:tc>
              <w:tc>
                <w:tcPr>
                  <w:tcW w:w="1263" w:type="pct"/>
                  <w:vAlign w:val="center"/>
                </w:tcPr>
                <w:p>
                  <w:pPr>
                    <w:pStyle w:val="35"/>
                  </w:pPr>
                  <w:r>
                    <w:rPr>
                      <w:rFonts w:hint="eastAsia"/>
                    </w:rPr>
                    <w:t>本项目情况</w:t>
                  </w:r>
                </w:p>
              </w:tc>
              <w:tc>
                <w:tcPr>
                  <w:tcW w:w="502" w:type="pct"/>
                  <w:vAlign w:val="center"/>
                </w:tcPr>
                <w:p>
                  <w:pPr>
                    <w:pStyle w:val="35"/>
                  </w:pPr>
                  <w:r>
                    <w:rPr>
                      <w:rFonts w:hint="eastAsi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08" w:type="pct"/>
                  <w:vAlign w:val="center"/>
                </w:tcPr>
                <w:p>
                  <w:pPr>
                    <w:pStyle w:val="35"/>
                  </w:pPr>
                  <w:r>
                    <w:rPr>
                      <w:rFonts w:hint="eastAsia"/>
                    </w:rPr>
                    <w:t>1</w:t>
                  </w:r>
                </w:p>
              </w:tc>
              <w:tc>
                <w:tcPr>
                  <w:tcW w:w="2927" w:type="pct"/>
                  <w:vAlign w:val="center"/>
                </w:tcPr>
                <w:p>
                  <w:pPr>
                    <w:pStyle w:val="35"/>
                  </w:pPr>
                  <w:r>
                    <w:rPr>
                      <w:rFonts w:hint="eastAsia"/>
                    </w:rPr>
                    <w:t>逐步减少化工、钢铁等产业规模和用地规模，对位于化工集中区外的29家化工企业逐步整合到化工集中区域或转移淘汰。</w:t>
                  </w:r>
                </w:p>
              </w:tc>
              <w:tc>
                <w:tcPr>
                  <w:tcW w:w="1263" w:type="pct"/>
                  <w:vAlign w:val="center"/>
                </w:tcPr>
                <w:p>
                  <w:pPr>
                    <w:pStyle w:val="35"/>
                  </w:pPr>
                  <w:r>
                    <w:rPr>
                      <w:rFonts w:hint="eastAsia"/>
                    </w:rPr>
                    <w:t>不属于化工、钢铁企业</w:t>
                  </w:r>
                </w:p>
              </w:tc>
              <w:tc>
                <w:tcPr>
                  <w:tcW w:w="502" w:type="pct"/>
                  <w:vAlign w:val="center"/>
                </w:tcPr>
                <w:p>
                  <w:pPr>
                    <w:pStyle w:val="35"/>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08" w:type="pct"/>
                  <w:vAlign w:val="center"/>
                </w:tcPr>
                <w:p>
                  <w:pPr>
                    <w:pStyle w:val="35"/>
                  </w:pPr>
                  <w:r>
                    <w:rPr>
                      <w:rFonts w:hint="eastAsia"/>
                    </w:rPr>
                    <w:t>2</w:t>
                  </w:r>
                </w:p>
              </w:tc>
              <w:tc>
                <w:tcPr>
                  <w:tcW w:w="2927" w:type="pct"/>
                  <w:vAlign w:val="center"/>
                </w:tcPr>
                <w:p>
                  <w:pPr>
                    <w:pStyle w:val="35"/>
                  </w:pPr>
                  <w:r>
                    <w:rPr>
                      <w:rFonts w:hint="eastAsia"/>
                    </w:rPr>
                    <w:t>加快推进区内产业转型升级，制定实施方案，逐步淘汰现有不符合区域发展定位和环境保护要求的企业。</w:t>
                  </w:r>
                </w:p>
              </w:tc>
              <w:tc>
                <w:tcPr>
                  <w:tcW w:w="1263" w:type="pct"/>
                  <w:vAlign w:val="center"/>
                </w:tcPr>
                <w:p>
                  <w:pPr>
                    <w:pStyle w:val="35"/>
                  </w:pPr>
                  <w:r>
                    <w:rPr>
                      <w:rFonts w:hint="eastAsia"/>
                    </w:rPr>
                    <w:t>符合区域发展定位和环境保护要求</w:t>
                  </w:r>
                </w:p>
              </w:tc>
              <w:tc>
                <w:tcPr>
                  <w:tcW w:w="502" w:type="pct"/>
                  <w:vAlign w:val="center"/>
                </w:tcPr>
                <w:p>
                  <w:pPr>
                    <w:pStyle w:val="35"/>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308" w:type="pct"/>
                  <w:vAlign w:val="center"/>
                </w:tcPr>
                <w:p>
                  <w:pPr>
                    <w:pStyle w:val="35"/>
                  </w:pPr>
                  <w:r>
                    <w:rPr>
                      <w:rFonts w:hint="eastAsia"/>
                    </w:rPr>
                    <w:t>3</w:t>
                  </w:r>
                </w:p>
              </w:tc>
              <w:tc>
                <w:tcPr>
                  <w:tcW w:w="2927" w:type="pct"/>
                  <w:vAlign w:val="center"/>
                </w:tcPr>
                <w:p>
                  <w:pPr>
                    <w:pStyle w:val="35"/>
                  </w:pPr>
                  <w:r>
                    <w:rPr>
                      <w:rFonts w:hint="eastAsia"/>
                    </w:rPr>
                    <w:t>严格入区项目环境准入，引进项目的生产工艺、设备、污染治理技术，以及单位产品能耗、物耗、污染物排放和资源利用率等均需达到同行业国际先进水平。</w:t>
                  </w:r>
                </w:p>
              </w:tc>
              <w:tc>
                <w:tcPr>
                  <w:tcW w:w="1263" w:type="pct"/>
                  <w:vAlign w:val="center"/>
                </w:tcPr>
                <w:p>
                  <w:pPr>
                    <w:pStyle w:val="35"/>
                  </w:pPr>
                  <w:r>
                    <w:rPr>
                      <w:rFonts w:hint="eastAsia"/>
                    </w:rPr>
                    <w:t>企业积极贯彻清洁生产，相应内容能够达到同行业国际先进水平。</w:t>
                  </w:r>
                </w:p>
              </w:tc>
              <w:tc>
                <w:tcPr>
                  <w:tcW w:w="502" w:type="pct"/>
                  <w:vAlign w:val="center"/>
                </w:tcPr>
                <w:p>
                  <w:pPr>
                    <w:pStyle w:val="35"/>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308" w:type="pct"/>
                  <w:vAlign w:val="center"/>
                </w:tcPr>
                <w:p>
                  <w:pPr>
                    <w:pStyle w:val="35"/>
                  </w:pPr>
                </w:p>
              </w:tc>
              <w:tc>
                <w:tcPr>
                  <w:tcW w:w="2927" w:type="pct"/>
                  <w:vAlign w:val="center"/>
                </w:tcPr>
                <w:p>
                  <w:pPr>
                    <w:pStyle w:val="35"/>
                  </w:pPr>
                  <w:r>
                    <w:rPr>
                      <w:rFonts w:hint="eastAsia"/>
                    </w:rPr>
                    <w:t>落实污染物排放总量控制要求，采取有效措施减少二氧化硫、氮氧化物、挥发性有机物、化学需氧量、氨氮、总磷、总氮、重金属等污染物的排放量，切实改善区域环境质量。</w:t>
                  </w:r>
                </w:p>
              </w:tc>
              <w:tc>
                <w:tcPr>
                  <w:tcW w:w="1263" w:type="pct"/>
                  <w:vAlign w:val="center"/>
                </w:tcPr>
                <w:p>
                  <w:pPr>
                    <w:pStyle w:val="35"/>
                  </w:pPr>
                  <w:r>
                    <w:rPr>
                      <w:rFonts w:hint="eastAsia"/>
                    </w:rPr>
                    <w:t>项目建成后废气</w:t>
                  </w:r>
                  <w:r>
                    <w:t>经处理措施处理后达标排放，能有效</w:t>
                  </w:r>
                  <w:r>
                    <w:rPr>
                      <w:rFonts w:hint="eastAsia"/>
                    </w:rPr>
                    <w:t>减少</w:t>
                  </w:r>
                  <w:r>
                    <w:t>污染物排放</w:t>
                  </w:r>
                  <w:r>
                    <w:rPr>
                      <w:rFonts w:hint="eastAsia"/>
                    </w:rPr>
                    <w:t>量。</w:t>
                  </w:r>
                </w:p>
              </w:tc>
              <w:tc>
                <w:tcPr>
                  <w:tcW w:w="502" w:type="pct"/>
                  <w:vAlign w:val="center"/>
                </w:tcPr>
                <w:p>
                  <w:pPr>
                    <w:pStyle w:val="35"/>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8" w:type="pct"/>
                  <w:vAlign w:val="center"/>
                </w:tcPr>
                <w:p>
                  <w:pPr>
                    <w:pStyle w:val="35"/>
                  </w:pPr>
                  <w:r>
                    <w:rPr>
                      <w:rFonts w:hint="eastAsia"/>
                    </w:rPr>
                    <w:t>5</w:t>
                  </w:r>
                </w:p>
              </w:tc>
              <w:tc>
                <w:tcPr>
                  <w:tcW w:w="2927" w:type="pct"/>
                  <w:vAlign w:val="center"/>
                </w:tcPr>
                <w:p>
                  <w:pPr>
                    <w:pStyle w:val="35"/>
                  </w:pPr>
                  <w:r>
                    <w:rPr>
                      <w:rFonts w:hint="eastAsia"/>
                    </w:rPr>
                    <w:t>建立健全区域环境风险防范体系和生态安全保障体系，加强区内重要环境风险源的管控</w:t>
                  </w:r>
                </w:p>
              </w:tc>
              <w:tc>
                <w:tcPr>
                  <w:tcW w:w="1263" w:type="pct"/>
                  <w:vAlign w:val="center"/>
                </w:tcPr>
                <w:p>
                  <w:pPr>
                    <w:pStyle w:val="35"/>
                  </w:pPr>
                  <w:r>
                    <w:rPr>
                      <w:rFonts w:hint="eastAsia"/>
                    </w:rPr>
                    <w:t>不属于重要环境风险源，企业加强落实风险防范要求</w:t>
                  </w:r>
                </w:p>
              </w:tc>
              <w:tc>
                <w:tcPr>
                  <w:tcW w:w="502" w:type="pct"/>
                  <w:vAlign w:val="center"/>
                </w:tcPr>
                <w:p>
                  <w:pPr>
                    <w:pStyle w:val="35"/>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08" w:type="pct"/>
                  <w:vAlign w:val="center"/>
                </w:tcPr>
                <w:p>
                  <w:pPr>
                    <w:pStyle w:val="35"/>
                  </w:pPr>
                  <w:r>
                    <w:rPr>
                      <w:rFonts w:hint="eastAsia"/>
                    </w:rPr>
                    <w:t>6</w:t>
                  </w:r>
                </w:p>
              </w:tc>
              <w:tc>
                <w:tcPr>
                  <w:tcW w:w="2927" w:type="pct"/>
                  <w:vAlign w:val="center"/>
                </w:tcPr>
                <w:p>
                  <w:pPr>
                    <w:pStyle w:val="35"/>
                  </w:pPr>
                  <w:r>
                    <w:rPr>
                      <w:rFonts w:hint="eastAsia"/>
                    </w:rPr>
                    <w:t>完善区域环境基础设施建设，加快推进建设热电厂超低排放改造工程、污水处理厂中水回用工程等；加强固体废弃物的集中处理处置，危险废物交由有资质的单位统一收集处理。</w:t>
                  </w:r>
                </w:p>
              </w:tc>
              <w:tc>
                <w:tcPr>
                  <w:tcW w:w="1263" w:type="pct"/>
                  <w:vAlign w:val="center"/>
                </w:tcPr>
                <w:p>
                  <w:pPr>
                    <w:pStyle w:val="35"/>
                  </w:pPr>
                  <w:r>
                    <w:rPr>
                      <w:rFonts w:hint="eastAsia"/>
                    </w:rPr>
                    <w:t>项目所在地</w:t>
                  </w:r>
                  <w:r>
                    <w:t>已配套完善的</w:t>
                  </w:r>
                  <w:r>
                    <w:rPr>
                      <w:rFonts w:hint="eastAsia"/>
                    </w:rPr>
                    <w:t>基础设施。</w:t>
                  </w:r>
                </w:p>
              </w:tc>
              <w:tc>
                <w:tcPr>
                  <w:tcW w:w="502" w:type="pct"/>
                  <w:vAlign w:val="center"/>
                </w:tcPr>
                <w:p>
                  <w:pPr>
                    <w:pStyle w:val="35"/>
                  </w:pPr>
                  <w:r>
                    <w:rPr>
                      <w:rFonts w:hint="eastAsia"/>
                    </w:rPr>
                    <w:t>符合</w:t>
                  </w:r>
                </w:p>
              </w:tc>
            </w:tr>
          </w:tbl>
          <w:p>
            <w:pPr>
              <w:pStyle w:val="29"/>
              <w:ind w:firstLine="480"/>
            </w:pPr>
            <w:r>
              <w:t>综上，本项目符合《苏州国家高新技术产业开发区开发建设规划（2015-2030年）环境影响报告书》审查意见要求。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pPr>
              <w:autoSpaceDE w:val="0"/>
              <w:autoSpaceDN w:val="0"/>
              <w:adjustRightInd w:val="0"/>
              <w:snapToGrid w:val="0"/>
              <w:spacing w:line="240" w:lineRule="auto"/>
              <w:jc w:val="center"/>
              <w:rPr>
                <w:kern w:val="0"/>
                <w:szCs w:val="21"/>
              </w:rPr>
            </w:pPr>
            <w:r>
              <w:rPr>
                <w:kern w:val="0"/>
                <w:szCs w:val="21"/>
              </w:rPr>
              <w:t>其他符合性分析</w:t>
            </w:r>
          </w:p>
        </w:tc>
        <w:tc>
          <w:tcPr>
            <w:tcW w:w="8148" w:type="dxa"/>
            <w:gridSpan w:val="4"/>
            <w:vAlign w:val="center"/>
          </w:tcPr>
          <w:p>
            <w:pPr>
              <w:pStyle w:val="14"/>
            </w:pPr>
            <w:r>
              <w:t>1、三线一单相符性</w:t>
            </w:r>
          </w:p>
          <w:p>
            <w:pPr>
              <w:pStyle w:val="29"/>
              <w:ind w:firstLine="0" w:firstLineChars="0"/>
            </w:pPr>
            <w:r>
              <w:rPr>
                <w:rFonts w:hint="eastAsia"/>
              </w:rPr>
              <w:t>（1）生态红线</w:t>
            </w:r>
          </w:p>
          <w:p>
            <w:pPr>
              <w:pStyle w:val="29"/>
              <w:ind w:firstLine="480"/>
            </w:pPr>
            <w:r>
              <w:rPr>
                <w:rFonts w:hint="eastAsia"/>
              </w:rPr>
              <w:t>本项目位于江苏省苏州市高新区科技城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rPr>
              <w:t>，根据《省政府关于印发江苏省生态空间管控区域规划的通知》（苏政发[2020]1号）、《江苏省国家级生态保护红线规划》（苏政发[2018]74号），项目所在地不在生态空间管控区域和国家级生态保护红线范围内。项目所在地附近生态空间管控区域情况见下表。</w:t>
            </w:r>
          </w:p>
          <w:p>
            <w:pPr>
              <w:pStyle w:val="12"/>
            </w:pPr>
            <w:r>
              <w:rPr>
                <w:rFonts w:hint="eastAsia"/>
              </w:rPr>
              <w:t>表1-</w:t>
            </w:r>
            <w:r>
              <w:t xml:space="preserve">2   </w:t>
            </w:r>
            <w:r>
              <w:rPr>
                <w:rFonts w:hint="eastAsia"/>
              </w:rPr>
              <w:t>本项目与附近生态空间管控区域相对位置及距离</w:t>
            </w:r>
          </w:p>
          <w:tbl>
            <w:tblPr>
              <w:tblStyle w:val="16"/>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795"/>
              <w:gridCol w:w="577"/>
              <w:gridCol w:w="2040"/>
              <w:gridCol w:w="1443"/>
              <w:gridCol w:w="772"/>
              <w:gridCol w:w="906"/>
              <w:gridCol w:w="388"/>
              <w:gridCol w:w="474"/>
              <w:gridCol w:w="52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Merge w:val="restart"/>
                  <w:vAlign w:val="center"/>
                </w:tcPr>
                <w:p>
                  <w:pPr>
                    <w:pStyle w:val="35"/>
                  </w:pPr>
                  <w:r>
                    <w:t>生态空间管控区域名称</w:t>
                  </w:r>
                </w:p>
              </w:tc>
              <w:tc>
                <w:tcPr>
                  <w:tcW w:w="364" w:type="pct"/>
                  <w:vMerge w:val="restart"/>
                  <w:vAlign w:val="center"/>
                </w:tcPr>
                <w:p>
                  <w:pPr>
                    <w:pStyle w:val="35"/>
                  </w:pPr>
                  <w:r>
                    <w:t>主导生态功能</w:t>
                  </w:r>
                </w:p>
              </w:tc>
              <w:tc>
                <w:tcPr>
                  <w:tcW w:w="1288" w:type="pct"/>
                  <w:vMerge w:val="restart"/>
                  <w:vAlign w:val="center"/>
                </w:tcPr>
                <w:p>
                  <w:pPr>
                    <w:pStyle w:val="35"/>
                  </w:pPr>
                  <w:r>
                    <w:t>国家级生态保护红线范围</w:t>
                  </w:r>
                </w:p>
              </w:tc>
              <w:tc>
                <w:tcPr>
                  <w:tcW w:w="911" w:type="pct"/>
                  <w:vMerge w:val="restart"/>
                  <w:vAlign w:val="center"/>
                </w:tcPr>
                <w:p>
                  <w:pPr>
                    <w:pStyle w:val="35"/>
                  </w:pPr>
                  <w:r>
                    <w:t>生态空间管控区域范围</w:t>
                  </w:r>
                </w:p>
              </w:tc>
              <w:tc>
                <w:tcPr>
                  <w:tcW w:w="487" w:type="pct"/>
                  <w:vMerge w:val="restart"/>
                  <w:vAlign w:val="center"/>
                </w:tcPr>
                <w:p>
                  <w:pPr>
                    <w:pStyle w:val="35"/>
                  </w:pPr>
                  <w:r>
                    <w:t>国家级生态保护红线面积</w:t>
                  </w:r>
                </w:p>
              </w:tc>
              <w:tc>
                <w:tcPr>
                  <w:tcW w:w="572" w:type="pct"/>
                  <w:vMerge w:val="restart"/>
                  <w:vAlign w:val="center"/>
                </w:tcPr>
                <w:p>
                  <w:pPr>
                    <w:pStyle w:val="35"/>
                  </w:pPr>
                  <w:r>
                    <w:t>生态空间管控区域面积（km</w:t>
                  </w:r>
                  <w:r>
                    <w:rPr>
                      <w:vertAlign w:val="superscript"/>
                    </w:rPr>
                    <w:t>2</w:t>
                  </w:r>
                  <w:r>
                    <w:t>）</w:t>
                  </w:r>
                </w:p>
              </w:tc>
              <w:tc>
                <w:tcPr>
                  <w:tcW w:w="876" w:type="pct"/>
                  <w:gridSpan w:val="3"/>
                  <w:vAlign w:val="center"/>
                </w:tcPr>
                <w:p>
                  <w:pPr>
                    <w:pStyle w:val="35"/>
                  </w:pPr>
                  <w:r>
                    <w:t>与本项目关系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724" w:hRule="atLeast"/>
                <w:jc w:val="center"/>
              </w:trPr>
              <w:tc>
                <w:tcPr>
                  <w:tcW w:w="502" w:type="pct"/>
                  <w:vMerge w:val="continue"/>
                  <w:vAlign w:val="center"/>
                </w:tcPr>
                <w:p>
                  <w:pPr>
                    <w:pStyle w:val="35"/>
                  </w:pPr>
                </w:p>
              </w:tc>
              <w:tc>
                <w:tcPr>
                  <w:tcW w:w="364" w:type="pct"/>
                  <w:vMerge w:val="continue"/>
                  <w:vAlign w:val="center"/>
                </w:tcPr>
                <w:p>
                  <w:pPr>
                    <w:pStyle w:val="35"/>
                  </w:pPr>
                </w:p>
              </w:tc>
              <w:tc>
                <w:tcPr>
                  <w:tcW w:w="1288" w:type="pct"/>
                  <w:vMerge w:val="continue"/>
                  <w:vAlign w:val="center"/>
                </w:tcPr>
                <w:p>
                  <w:pPr>
                    <w:pStyle w:val="35"/>
                  </w:pPr>
                </w:p>
              </w:tc>
              <w:tc>
                <w:tcPr>
                  <w:tcW w:w="911" w:type="pct"/>
                  <w:vMerge w:val="continue"/>
                  <w:vAlign w:val="center"/>
                </w:tcPr>
                <w:p>
                  <w:pPr>
                    <w:pStyle w:val="35"/>
                  </w:pPr>
                </w:p>
              </w:tc>
              <w:tc>
                <w:tcPr>
                  <w:tcW w:w="487" w:type="pct"/>
                  <w:vMerge w:val="continue"/>
                  <w:vAlign w:val="center"/>
                </w:tcPr>
                <w:p>
                  <w:pPr>
                    <w:pStyle w:val="35"/>
                  </w:pPr>
                </w:p>
              </w:tc>
              <w:tc>
                <w:tcPr>
                  <w:tcW w:w="572" w:type="pct"/>
                  <w:vMerge w:val="continue"/>
                  <w:vAlign w:val="center"/>
                </w:tcPr>
                <w:p>
                  <w:pPr>
                    <w:pStyle w:val="35"/>
                  </w:pPr>
                </w:p>
              </w:tc>
              <w:tc>
                <w:tcPr>
                  <w:tcW w:w="245" w:type="pct"/>
                  <w:vAlign w:val="center"/>
                </w:tcPr>
                <w:p>
                  <w:pPr>
                    <w:pStyle w:val="35"/>
                  </w:pPr>
                  <w:r>
                    <w:t>方位</w:t>
                  </w:r>
                </w:p>
              </w:tc>
              <w:tc>
                <w:tcPr>
                  <w:tcW w:w="299" w:type="pct"/>
                  <w:vAlign w:val="center"/>
                </w:tcPr>
                <w:p>
                  <w:pPr>
                    <w:pStyle w:val="35"/>
                  </w:pPr>
                  <w:r>
                    <w:t>距离</w:t>
                  </w:r>
                  <w:r>
                    <w:rPr>
                      <w:rFonts w:hint="eastAsia"/>
                    </w:rPr>
                    <w:t>k</w:t>
                  </w:r>
                  <w:r>
                    <w:t>m</w:t>
                  </w:r>
                </w:p>
              </w:tc>
              <w:tc>
                <w:tcPr>
                  <w:tcW w:w="332" w:type="pct"/>
                  <w:vAlign w:val="center"/>
                </w:tcPr>
                <w:p>
                  <w:pPr>
                    <w:pStyle w:val="35"/>
                  </w:pPr>
                  <w:r>
                    <w:t>是否在</w:t>
                  </w:r>
                  <w:r>
                    <w:rPr>
                      <w:rFonts w:hint="eastAsia"/>
                    </w:rPr>
                    <w:t>管控区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Align w:val="center"/>
                </w:tcPr>
                <w:p>
                  <w:pPr>
                    <w:pStyle w:val="35"/>
                    <w:rPr>
                      <w:lang w:bidi="ar"/>
                    </w:rPr>
                  </w:pPr>
                  <w:r>
                    <w:rPr>
                      <w:lang w:bidi="ar"/>
                    </w:rPr>
                    <w:t>太湖金墅港饮用水水源保护区</w:t>
                  </w:r>
                </w:p>
              </w:tc>
              <w:tc>
                <w:tcPr>
                  <w:tcW w:w="364" w:type="pct"/>
                  <w:vAlign w:val="center"/>
                </w:tcPr>
                <w:p>
                  <w:pPr>
                    <w:pStyle w:val="35"/>
                    <w:rPr>
                      <w:lang w:bidi="ar"/>
                    </w:rPr>
                  </w:pPr>
                  <w:r>
                    <w:rPr>
                      <w:lang w:bidi="ar"/>
                    </w:rPr>
                    <w:t>水源水质保护</w:t>
                  </w:r>
                </w:p>
              </w:tc>
              <w:tc>
                <w:tcPr>
                  <w:tcW w:w="1288" w:type="pct"/>
                  <w:vAlign w:val="center"/>
                </w:tcPr>
                <w:p>
                  <w:pPr>
                    <w:pStyle w:val="35"/>
                    <w:rPr>
                      <w:lang w:bidi="ar"/>
                    </w:rPr>
                  </w:pPr>
                  <w:r>
                    <w:rPr>
                      <w:lang w:bidi="ar"/>
                    </w:rPr>
                    <w:t>一级保护区：以2个水厂取水口（120°22'31.198"E，31°22'49.644"N；120°22'37.642"E，31°22'42.122"N）为中心，半径为500米的区域范围。二级保护区：一级保护区外延2000米的水域范围和一级保护区边界到太湖防洪大堤陆域范围</w:t>
                  </w:r>
                </w:p>
              </w:tc>
              <w:tc>
                <w:tcPr>
                  <w:tcW w:w="911" w:type="pct"/>
                  <w:vAlign w:val="center"/>
                </w:tcPr>
                <w:p>
                  <w:pPr>
                    <w:pStyle w:val="35"/>
                  </w:pPr>
                  <w:r>
                    <w:t>/</w:t>
                  </w:r>
                </w:p>
              </w:tc>
              <w:tc>
                <w:tcPr>
                  <w:tcW w:w="487" w:type="pct"/>
                  <w:vAlign w:val="center"/>
                </w:tcPr>
                <w:p>
                  <w:pPr>
                    <w:pStyle w:val="35"/>
                  </w:pPr>
                  <w:r>
                    <w:t>14.84</w:t>
                  </w:r>
                </w:p>
              </w:tc>
              <w:tc>
                <w:tcPr>
                  <w:tcW w:w="572" w:type="pct"/>
                  <w:vAlign w:val="center"/>
                </w:tcPr>
                <w:p>
                  <w:pPr>
                    <w:pStyle w:val="35"/>
                  </w:pPr>
                  <w:r>
                    <w:t>/</w:t>
                  </w:r>
                </w:p>
              </w:tc>
              <w:tc>
                <w:tcPr>
                  <w:tcW w:w="245" w:type="pct"/>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29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332" w:type="pct"/>
                  <w:vAlign w:val="center"/>
                </w:tcPr>
                <w:p>
                  <w:pPr>
                    <w:pStyle w:val="35"/>
                  </w:pPr>
                  <w:r>
                    <w:t>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Align w:val="center"/>
                </w:tcPr>
                <w:p>
                  <w:pPr>
                    <w:pStyle w:val="35"/>
                  </w:pPr>
                  <w:r>
                    <w:rPr>
                      <w:lang w:bidi="ar"/>
                    </w:rPr>
                    <w:t>江苏大阳山国家级森林公园</w:t>
                  </w:r>
                </w:p>
              </w:tc>
              <w:tc>
                <w:tcPr>
                  <w:tcW w:w="364" w:type="pct"/>
                  <w:vAlign w:val="center"/>
                </w:tcPr>
                <w:p>
                  <w:pPr>
                    <w:pStyle w:val="35"/>
                  </w:pPr>
                  <w:r>
                    <w:rPr>
                      <w:lang w:bidi="ar"/>
                    </w:rPr>
                    <w:t>自然与人文景观保护</w:t>
                  </w:r>
                </w:p>
              </w:tc>
              <w:tc>
                <w:tcPr>
                  <w:tcW w:w="1288" w:type="pct"/>
                  <w:vAlign w:val="center"/>
                </w:tcPr>
                <w:p>
                  <w:pPr>
                    <w:pStyle w:val="35"/>
                    <w:rPr>
                      <w:lang w:bidi="ar"/>
                    </w:rPr>
                  </w:pPr>
                  <w:r>
                    <w:rPr>
                      <w:lang w:bidi="ar"/>
                    </w:rPr>
                    <w:t>江苏大阳山国家级森林公园总体规划中确定的范围（包括生态保育区和核心景观区等）</w:t>
                  </w:r>
                </w:p>
              </w:tc>
              <w:tc>
                <w:tcPr>
                  <w:tcW w:w="911" w:type="pct"/>
                  <w:vAlign w:val="center"/>
                </w:tcPr>
                <w:p>
                  <w:pPr>
                    <w:pStyle w:val="35"/>
                  </w:pPr>
                  <w:r>
                    <w:t>/</w:t>
                  </w:r>
                </w:p>
              </w:tc>
              <w:tc>
                <w:tcPr>
                  <w:tcW w:w="487" w:type="pct"/>
                  <w:vAlign w:val="center"/>
                </w:tcPr>
                <w:p>
                  <w:pPr>
                    <w:pStyle w:val="35"/>
                  </w:pPr>
                  <w:r>
                    <w:t>10.30</w:t>
                  </w:r>
                </w:p>
              </w:tc>
              <w:tc>
                <w:tcPr>
                  <w:tcW w:w="572" w:type="pct"/>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w:t>
                  </w:r>
                </w:p>
              </w:tc>
              <w:tc>
                <w:tcPr>
                  <w:tcW w:w="245" w:type="pct"/>
                  <w:vAlign w:val="center"/>
                </w:tcPr>
                <w:p>
                  <w:pPr>
                    <w:pStyle w:val="35"/>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东</w:t>
                  </w:r>
                  <w:r>
                    <w:rPr>
                      <w:rFonts w:hint="eastAsia"/>
                      <w:color w:val="000000" w:themeColor="text1"/>
                      <w:lang w:eastAsia="zh-CN"/>
                      <w14:textFill>
                        <w14:solidFill>
                          <w14:schemeClr w14:val="tx1"/>
                        </w14:solidFill>
                      </w14:textFill>
                    </w:rPr>
                    <w:t>南</w:t>
                  </w:r>
                </w:p>
              </w:tc>
              <w:tc>
                <w:tcPr>
                  <w:tcW w:w="29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332" w:type="pct"/>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Align w:val="center"/>
                </w:tcPr>
                <w:p>
                  <w:pPr>
                    <w:pStyle w:val="35"/>
                  </w:pPr>
                  <w:r>
                    <w:rPr>
                      <w:lang w:bidi="ar"/>
                    </w:rPr>
                    <w:t>太湖（高新区）重要保护区</w:t>
                  </w:r>
                </w:p>
              </w:tc>
              <w:tc>
                <w:tcPr>
                  <w:tcW w:w="364" w:type="pct"/>
                  <w:vAlign w:val="center"/>
                </w:tcPr>
                <w:p>
                  <w:pPr>
                    <w:pStyle w:val="35"/>
                  </w:pPr>
                  <w:r>
                    <w:rPr>
                      <w:lang w:bidi="ar"/>
                    </w:rPr>
                    <w:t>湿地生态系统保护</w:t>
                  </w:r>
                </w:p>
              </w:tc>
              <w:tc>
                <w:tcPr>
                  <w:tcW w:w="1288" w:type="pct"/>
                  <w:vAlign w:val="center"/>
                </w:tcPr>
                <w:p>
                  <w:pPr>
                    <w:pStyle w:val="35"/>
                    <w:rPr>
                      <w:lang w:bidi="ar"/>
                    </w:rPr>
                  </w:pPr>
                  <w:r>
                    <w:rPr>
                      <w:lang w:bidi="ar"/>
                    </w:rPr>
                    <w:t>/</w:t>
                  </w:r>
                </w:p>
              </w:tc>
              <w:tc>
                <w:tcPr>
                  <w:tcW w:w="911" w:type="pct"/>
                  <w:vAlign w:val="center"/>
                </w:tcPr>
                <w:p>
                  <w:pPr>
                    <w:pStyle w:val="35"/>
                  </w:pPr>
                  <w:r>
                    <w:rPr>
                      <w:lang w:bidi="ar"/>
                    </w:rPr>
                    <w:t>分为两部分：湖体和湖岸。湖体为高新区内太湖水体（不包括金墅港、镇湖饮用水源保护区和太湖梅鲚河蚬国家级水产种质资源保护区的核心区）。湖岸部分为高新区太湖大堤以东1公里生态林带范围</w:t>
                  </w:r>
                </w:p>
              </w:tc>
              <w:tc>
                <w:tcPr>
                  <w:tcW w:w="487" w:type="pct"/>
                  <w:vAlign w:val="center"/>
                </w:tcPr>
                <w:p>
                  <w:pPr>
                    <w:pStyle w:val="35"/>
                    <w:rPr>
                      <w:lang w:bidi="ar"/>
                    </w:rPr>
                  </w:pPr>
                  <w:r>
                    <w:rPr>
                      <w:lang w:bidi="ar"/>
                    </w:rPr>
                    <w:t>/</w:t>
                  </w:r>
                </w:p>
              </w:tc>
              <w:tc>
                <w:tcPr>
                  <w:tcW w:w="572" w:type="pct"/>
                  <w:vAlign w:val="center"/>
                </w:tcPr>
                <w:p>
                  <w:pPr>
                    <w:pStyle w:val="35"/>
                  </w:pPr>
                  <w:r>
                    <w:rPr>
                      <w:lang w:bidi="ar"/>
                    </w:rPr>
                    <w:t>126.62</w:t>
                  </w:r>
                </w:p>
              </w:tc>
              <w:tc>
                <w:tcPr>
                  <w:tcW w:w="245" w:type="pct"/>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29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332" w:type="pct"/>
                  <w:vAlign w:val="center"/>
                </w:tcPr>
                <w:p>
                  <w:pPr>
                    <w:pStyle w:val="35"/>
                  </w:pPr>
                  <w:r>
                    <w:t>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Align w:val="center"/>
                </w:tcPr>
                <w:p>
                  <w:pPr>
                    <w:pStyle w:val="35"/>
                    <w:rPr>
                      <w:lang w:bidi="ar"/>
                    </w:rPr>
                  </w:pPr>
                  <w:r>
                    <w:rPr>
                      <w:lang w:bidi="ar"/>
                    </w:rPr>
                    <w:t>太湖重要湿地（高新区）</w:t>
                  </w:r>
                </w:p>
              </w:tc>
              <w:tc>
                <w:tcPr>
                  <w:tcW w:w="364" w:type="pct"/>
                  <w:vAlign w:val="center"/>
                </w:tcPr>
                <w:p>
                  <w:pPr>
                    <w:pStyle w:val="35"/>
                  </w:pPr>
                  <w:r>
                    <w:rPr>
                      <w:lang w:bidi="ar"/>
                    </w:rPr>
                    <w:t>湿地生态系统保护</w:t>
                  </w:r>
                </w:p>
              </w:tc>
              <w:tc>
                <w:tcPr>
                  <w:tcW w:w="1288" w:type="pct"/>
                  <w:vAlign w:val="center"/>
                </w:tcPr>
                <w:p>
                  <w:pPr>
                    <w:pStyle w:val="35"/>
                  </w:pPr>
                  <w:r>
                    <w:rPr>
                      <w:lang w:bidi="ar"/>
                    </w:rPr>
                    <w:t>太湖湖体水域</w:t>
                  </w:r>
                </w:p>
              </w:tc>
              <w:tc>
                <w:tcPr>
                  <w:tcW w:w="911" w:type="pct"/>
                  <w:vAlign w:val="center"/>
                </w:tcPr>
                <w:p>
                  <w:pPr>
                    <w:pStyle w:val="35"/>
                    <w:rPr>
                      <w:lang w:bidi="ar"/>
                    </w:rPr>
                  </w:pPr>
                  <w:r>
                    <w:rPr>
                      <w:lang w:bidi="ar"/>
                    </w:rPr>
                    <w:t>/</w:t>
                  </w:r>
                </w:p>
              </w:tc>
              <w:tc>
                <w:tcPr>
                  <w:tcW w:w="487" w:type="pct"/>
                  <w:vAlign w:val="center"/>
                </w:tcPr>
                <w:p>
                  <w:pPr>
                    <w:pStyle w:val="35"/>
                    <w:rPr>
                      <w:lang w:bidi="ar"/>
                    </w:rPr>
                  </w:pPr>
                  <w:r>
                    <w:rPr>
                      <w:lang w:bidi="ar"/>
                    </w:rPr>
                    <w:t>/</w:t>
                  </w:r>
                </w:p>
              </w:tc>
              <w:tc>
                <w:tcPr>
                  <w:tcW w:w="572" w:type="pct"/>
                  <w:vAlign w:val="center"/>
                </w:tcPr>
                <w:p>
                  <w:pPr>
                    <w:pStyle w:val="35"/>
                    <w:rPr>
                      <w:color w:val="000000" w:themeColor="text1"/>
                      <w:lang w:bidi="ar"/>
                      <w14:textFill>
                        <w14:solidFill>
                          <w14:schemeClr w14:val="tx1"/>
                        </w14:solidFill>
                      </w14:textFill>
                    </w:rPr>
                  </w:pPr>
                  <w:r>
                    <w:rPr>
                      <w:color w:val="000000" w:themeColor="text1"/>
                      <w:lang w:bidi="ar"/>
                      <w14:textFill>
                        <w14:solidFill>
                          <w14:schemeClr w14:val="tx1"/>
                        </w14:solidFill>
                      </w14:textFill>
                    </w:rPr>
                    <w:t>112.09</w:t>
                  </w:r>
                </w:p>
              </w:tc>
              <w:tc>
                <w:tcPr>
                  <w:tcW w:w="245" w:type="pct"/>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29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w:t>
                  </w:r>
                </w:p>
              </w:tc>
              <w:tc>
                <w:tcPr>
                  <w:tcW w:w="332" w:type="pct"/>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502" w:type="pct"/>
                  <w:vAlign w:val="center"/>
                </w:tcPr>
                <w:p>
                  <w:pPr>
                    <w:pStyle w:val="35"/>
                  </w:pPr>
                  <w:r>
                    <w:rPr>
                      <w:lang w:bidi="ar"/>
                    </w:rPr>
                    <w:t>苏州太湖国家湿地公园</w:t>
                  </w:r>
                </w:p>
              </w:tc>
              <w:tc>
                <w:tcPr>
                  <w:tcW w:w="364" w:type="pct"/>
                  <w:vAlign w:val="center"/>
                </w:tcPr>
                <w:p>
                  <w:pPr>
                    <w:pStyle w:val="35"/>
                  </w:pPr>
                  <w:r>
                    <w:rPr>
                      <w:lang w:bidi="ar"/>
                    </w:rPr>
                    <w:t>湿地生态系统保护</w:t>
                  </w:r>
                </w:p>
              </w:tc>
              <w:tc>
                <w:tcPr>
                  <w:tcW w:w="1288" w:type="pct"/>
                  <w:vAlign w:val="center"/>
                </w:tcPr>
                <w:p>
                  <w:pPr>
                    <w:pStyle w:val="35"/>
                    <w:rPr>
                      <w:lang w:bidi="ar"/>
                    </w:rPr>
                  </w:pPr>
                  <w:r>
                    <w:rPr>
                      <w:lang w:bidi="ar"/>
                    </w:rPr>
                    <w:t>苏州太湖国家湿地公园总体规划中确定的范围（包括湿地保育区和恢复重建区等）</w:t>
                  </w:r>
                </w:p>
              </w:tc>
              <w:tc>
                <w:tcPr>
                  <w:tcW w:w="911" w:type="pct"/>
                  <w:vAlign w:val="center"/>
                </w:tcPr>
                <w:p>
                  <w:pPr>
                    <w:pStyle w:val="35"/>
                  </w:pPr>
                  <w:r>
                    <w:rPr>
                      <w:lang w:bidi="ar"/>
                    </w:rPr>
                    <w:t>苏州太湖国家湿地公园总体规划中除湿地保育区和恢复重建区外的范围</w:t>
                  </w:r>
                </w:p>
              </w:tc>
              <w:tc>
                <w:tcPr>
                  <w:tcW w:w="487" w:type="pct"/>
                  <w:vAlign w:val="center"/>
                </w:tcPr>
                <w:p>
                  <w:pPr>
                    <w:pStyle w:val="35"/>
                    <w:rPr>
                      <w:lang w:bidi="ar"/>
                    </w:rPr>
                  </w:pPr>
                  <w:r>
                    <w:rPr>
                      <w:lang w:bidi="ar"/>
                    </w:rPr>
                    <w:t>0.47</w:t>
                  </w:r>
                </w:p>
              </w:tc>
              <w:tc>
                <w:tcPr>
                  <w:tcW w:w="572" w:type="pct"/>
                  <w:vAlign w:val="center"/>
                </w:tcPr>
                <w:p>
                  <w:pPr>
                    <w:pStyle w:val="35"/>
                  </w:pPr>
                  <w:r>
                    <w:rPr>
                      <w:lang w:bidi="ar"/>
                    </w:rPr>
                    <w:t>1.83</w:t>
                  </w:r>
                </w:p>
              </w:tc>
              <w:tc>
                <w:tcPr>
                  <w:tcW w:w="245" w:type="pct"/>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西南</w:t>
                  </w:r>
                </w:p>
              </w:tc>
              <w:tc>
                <w:tcPr>
                  <w:tcW w:w="29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6.7</w:t>
                  </w:r>
                </w:p>
              </w:tc>
              <w:tc>
                <w:tcPr>
                  <w:tcW w:w="332" w:type="pct"/>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否</w:t>
                  </w:r>
                </w:p>
              </w:tc>
            </w:tr>
          </w:tbl>
          <w:p>
            <w:pPr>
              <w:pStyle w:val="29"/>
              <w:ind w:firstLine="480"/>
            </w:pPr>
            <w:r>
              <w:rPr>
                <w:rFonts w:hint="eastAsia"/>
              </w:rPr>
              <w:t>本项目不在国家级生态保护红线范围和生态空间管控区域范围内，距离项目所在地最近的</w:t>
            </w:r>
            <w:r>
              <w:t>生态空间管控</w:t>
            </w:r>
            <w:r>
              <w:rPr>
                <w:color w:val="000000" w:themeColor="text1"/>
                <w14:textFill>
                  <w14:solidFill>
                    <w14:schemeClr w14:val="tx1"/>
                  </w14:solidFill>
                </w14:textFill>
              </w:rPr>
              <w:t>区域</w:t>
            </w:r>
            <w:r>
              <w:rPr>
                <w:rFonts w:hint="eastAsia"/>
                <w:color w:val="000000" w:themeColor="text1"/>
                <w14:textFill>
                  <w14:solidFill>
                    <w14:schemeClr w14:val="tx1"/>
                  </w14:solidFill>
                </w14:textFill>
              </w:rPr>
              <w:t>为</w:t>
            </w:r>
            <w:r>
              <w:rPr>
                <w:rFonts w:hint="eastAsia"/>
                <w:color w:val="000000" w:themeColor="text1"/>
                <w:lang w:eastAsia="zh-CN"/>
                <w14:textFill>
                  <w14:solidFill>
                    <w14:schemeClr w14:val="tx1"/>
                  </w14:solidFill>
                </w14:textFill>
              </w:rPr>
              <w:t>西</w:t>
            </w:r>
            <w:r>
              <w:rPr>
                <w:rFonts w:hint="eastAsia"/>
                <w:color w:val="000000" w:themeColor="text1"/>
                <w14:textFill>
                  <w14:solidFill>
                    <w14:schemeClr w14:val="tx1"/>
                  </w14:solidFill>
                </w14:textFill>
              </w:rPr>
              <w:t>侧</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km处的</w:t>
            </w:r>
            <w:r>
              <w:rPr>
                <w:color w:val="000000" w:themeColor="text1"/>
                <w:lang w:bidi="ar"/>
                <w14:textFill>
                  <w14:solidFill>
                    <w14:schemeClr w14:val="tx1"/>
                  </w14:solidFill>
                </w14:textFill>
              </w:rPr>
              <w:t>太湖（高</w:t>
            </w:r>
            <w:r>
              <w:rPr>
                <w:lang w:bidi="ar"/>
              </w:rPr>
              <w:t>新区）重要保护区</w:t>
            </w:r>
            <w:r>
              <w:rPr>
                <w:rFonts w:hint="eastAsia"/>
              </w:rPr>
              <w:t>。因此，本项目符合《省政府关于印发江苏省生态空间管控区域规划的通知》（苏政发[2020]1号）、江苏省国家级生态保护红线规划》（苏政发[2018]74号）等要求。</w:t>
            </w:r>
          </w:p>
          <w:p>
            <w:pPr>
              <w:pStyle w:val="29"/>
              <w:ind w:firstLine="0" w:firstLineChars="0"/>
            </w:pPr>
            <w:r>
              <w:rPr>
                <w:rFonts w:hint="eastAsia"/>
              </w:rPr>
              <w:t>（</w:t>
            </w:r>
            <w:r>
              <w:t>2</w:t>
            </w:r>
            <w:r>
              <w:rPr>
                <w:rFonts w:hint="eastAsia"/>
              </w:rPr>
              <w:t>）环境质量底线</w:t>
            </w:r>
          </w:p>
          <w:p>
            <w:pPr>
              <w:pStyle w:val="29"/>
              <w:ind w:firstLine="480"/>
            </w:pPr>
            <w:r>
              <w:t>根据《2021年度苏州高新区环境质量公报》，2021年，</w:t>
            </w:r>
            <w:r>
              <w:rPr>
                <w:rFonts w:hint="eastAsia"/>
              </w:rPr>
              <w:t>苏州高新区环境空气质量持续改善，全年空气质量（AQI）优良率为83.8%</w:t>
            </w:r>
            <w:r>
              <w:t>。对照《环境空气质量标准》（GB3095-2012），</w:t>
            </w:r>
            <w:r>
              <w:rPr>
                <w:rFonts w:hint="eastAsia"/>
              </w:rPr>
              <w:t>臭氧（O</w:t>
            </w:r>
            <w:r>
              <w:rPr>
                <w:rFonts w:hint="eastAsia"/>
                <w:vertAlign w:val="subscript"/>
              </w:rPr>
              <w:t>3</w:t>
            </w:r>
            <w:r>
              <w:rPr>
                <w:rFonts w:hint="eastAsia"/>
              </w:rPr>
              <w:t>）日最大8小时滑动平均值的第90百分位数为161微克/立方米，超过国家二级标准；</w:t>
            </w:r>
            <w:r>
              <w:t>SO</w:t>
            </w:r>
            <w:r>
              <w:rPr>
                <w:vertAlign w:val="subscript"/>
              </w:rPr>
              <w:t>2</w:t>
            </w:r>
            <w:r>
              <w:t>、NO</w:t>
            </w:r>
            <w:r>
              <w:rPr>
                <w:vertAlign w:val="subscript"/>
              </w:rPr>
              <w:t>2</w:t>
            </w:r>
            <w:r>
              <w:t>、PM</w:t>
            </w:r>
            <w:r>
              <w:rPr>
                <w:vertAlign w:val="subscript"/>
              </w:rPr>
              <w:t>2.5</w:t>
            </w:r>
            <w:r>
              <w:t>、PM</w:t>
            </w:r>
            <w:r>
              <w:rPr>
                <w:vertAlign w:val="subscript"/>
              </w:rPr>
              <w:t>10</w:t>
            </w:r>
            <w:r>
              <w:t>和CO</w:t>
            </w:r>
            <w:r>
              <w:rPr>
                <w:rFonts w:hint="eastAsia"/>
              </w:rPr>
              <w:t>均能满足国家标准。</w:t>
            </w:r>
            <w:r>
              <w:t>因此，判定苏州高新区</w:t>
            </w:r>
            <w:r>
              <w:rPr>
                <w:rFonts w:hint="eastAsia"/>
              </w:rPr>
              <w:t>为</w:t>
            </w:r>
            <w:r>
              <w:t>环境空气质量不达标区。</w:t>
            </w:r>
          </w:p>
          <w:p>
            <w:pPr>
              <w:pStyle w:val="29"/>
              <w:ind w:firstLine="480"/>
            </w:pPr>
            <w:r>
              <w:t>根据《苏州市空气质量改善达标规划（2019-2024年）》，本次规划近期评价到2020年，远期评价到2024年。远期目标：力争到2024年，苏州市PM</w:t>
            </w:r>
            <w:r>
              <w:rPr>
                <w:vertAlign w:val="subscript"/>
              </w:rPr>
              <w:t>2.5</w:t>
            </w:r>
            <w:r>
              <w:t>浓度达到35μg/m</w:t>
            </w:r>
            <w:r>
              <w:rPr>
                <w:vertAlign w:val="superscript"/>
              </w:rPr>
              <w:t>3</w:t>
            </w:r>
            <w:r>
              <w:t>左右，O</w:t>
            </w:r>
            <w:r>
              <w:rPr>
                <w:vertAlign w:val="subscript"/>
              </w:rPr>
              <w:t>3</w:t>
            </w:r>
            <w:r>
              <w:t>浓度达到拐点，除O</w:t>
            </w:r>
            <w:r>
              <w:rPr>
                <w:vertAlign w:val="subscript"/>
              </w:rPr>
              <w:t>3</w:t>
            </w:r>
            <w:r>
              <w:t>以外的主要大气污染物浓度达到国家二级标准要求，空气质量优良天数比率达到80%。以不断降低PM</w:t>
            </w:r>
            <w:r>
              <w:rPr>
                <w:vertAlign w:val="subscript"/>
              </w:rPr>
              <w:t>2.5</w:t>
            </w:r>
            <w:r>
              <w:t>浓度，明显减少重污染天数，明显改善环境空气质量，明显增强人民的蓝天幸福感为核心目标，强化煤炭质量管理，推进热电整合，优化产业结构和布局；促进高排放车辆淘汰，推进运输结构调整；提高各行业清洁化生产水平，全面执行大气污染物特别排放限值，不断推进重点行业提标改造，加强监测监控管理水平。完成工业炉窑综合整治，进一步提高电力、钢铁及建材行业排放要求，完成非电行业氮氧化物排放深度治理，对标最严格的绩效分级标准实施重点企业颗粒物无组织排放深度治理；完成重点行业低VOCs含量原辅料替代目标，从化工、涂装、纺织印染等工业行业挖掘VOCs减排潜力，全面加强VOCs无组织排放治理，试点基于光化学活性的VOCs关键组分管控；以施工工地、港口码头和堆场为重点提高扬尘污染控制水平。促进PM</w:t>
            </w:r>
            <w:r>
              <w:rPr>
                <w:vertAlign w:val="subscript"/>
              </w:rPr>
              <w:t>2.5</w:t>
            </w:r>
            <w:r>
              <w:t>和臭氧协同控制，推进区域联防联控，提升大气污染精细化防控能力。届时，苏州高新区的环境空气质量将得到极大的改善。</w:t>
            </w:r>
          </w:p>
          <w:p>
            <w:pPr>
              <w:pStyle w:val="29"/>
              <w:ind w:firstLine="480"/>
            </w:pPr>
            <w:r>
              <w:t>根据《2021年度苏州高新区环境质量公报》，2021年，</w:t>
            </w:r>
            <w:r>
              <w:rPr>
                <w:rFonts w:hint="eastAsia"/>
              </w:rPr>
              <w:t>苏州高新区2个集中式饮用水水源地水质均属安全饮用水，省级断面考核达标率为100%，重点河流水环境质量基本稳定。</w:t>
            </w:r>
          </w:p>
          <w:p>
            <w:pPr>
              <w:pStyle w:val="29"/>
              <w:ind w:firstLine="480"/>
            </w:pPr>
            <w:r>
              <w:t>根据监测结果，项目所在区域声环境质量满足《声环境质量标准》（GB3096-2008）中3类标准要求。</w:t>
            </w:r>
          </w:p>
          <w:p>
            <w:pPr>
              <w:pStyle w:val="29"/>
              <w:ind w:firstLine="480"/>
            </w:pPr>
            <w:r>
              <w:t>本项目</w:t>
            </w:r>
            <w:r>
              <w:rPr>
                <w:rFonts w:hint="eastAsia"/>
              </w:rPr>
              <w:t>生活污水</w:t>
            </w:r>
            <w:r>
              <w:t>接入</w:t>
            </w:r>
            <w:r>
              <w:rPr>
                <w:bCs/>
              </w:rPr>
              <w:t>科技城水质净化厂</w:t>
            </w:r>
            <w:r>
              <w:t>进行</w:t>
            </w:r>
            <w:r>
              <w:rPr>
                <w:rFonts w:hint="eastAsia"/>
              </w:rPr>
              <w:t>集中</w:t>
            </w:r>
            <w:r>
              <w:t>处理，废气、固废均得到合理处置，噪声对周边影响较小，不会降低项目所在地的环境功能质量。因此本项目的建设不会突破环境质量底线。</w:t>
            </w:r>
          </w:p>
          <w:p>
            <w:pPr>
              <w:pStyle w:val="29"/>
              <w:ind w:firstLine="0" w:firstLineChars="0"/>
            </w:pPr>
            <w:r>
              <w:t>（3）资源利用上线</w:t>
            </w:r>
          </w:p>
          <w:p>
            <w:pPr>
              <w:pStyle w:val="29"/>
              <w:ind w:firstLine="480"/>
            </w:pPr>
            <w:r>
              <w:t>本项目的资源消耗主要体现在对水、电等资源的</w:t>
            </w:r>
            <w:r>
              <w:rPr>
                <w:rFonts w:hint="eastAsia"/>
              </w:rPr>
              <w:t>使用，</w:t>
            </w:r>
            <w:r>
              <w:t>本项目全过程贯彻清洁生产、循环经济理念，采用节水工艺、节电设备等手段，同时本项目用地为工业用地，符合区域用地规划要求。本项目在区域规划及规划环评划定的资源利用上线内所占比例很小，不会达到资源利用上线。</w:t>
            </w:r>
          </w:p>
          <w:p>
            <w:pPr>
              <w:pStyle w:val="29"/>
              <w:ind w:firstLine="0" w:firstLineChars="0"/>
            </w:pPr>
            <w:r>
              <w:t>（4）环境准入负面清单</w:t>
            </w:r>
          </w:p>
          <w:p>
            <w:pPr>
              <w:pStyle w:val="29"/>
              <w:ind w:firstLine="480"/>
            </w:pPr>
            <w:r>
              <w:t>本项目所在地没有环境准入负面清单。本</w:t>
            </w:r>
            <w:r>
              <w:rPr>
                <w:rFonts w:hint="eastAsia"/>
              </w:rPr>
              <w:t>次</w:t>
            </w:r>
            <w:r>
              <w:t>环评对照国家及地方产业政策进行说明，具体见</w:t>
            </w:r>
            <w:r>
              <w:rPr>
                <w:rFonts w:hint="eastAsia"/>
              </w:rPr>
              <w:t>下表</w:t>
            </w:r>
            <w:r>
              <w:t>。</w:t>
            </w:r>
          </w:p>
          <w:p>
            <w:pPr>
              <w:pStyle w:val="12"/>
            </w:pPr>
            <w:r>
              <w:t>表1-3  本项目与</w:t>
            </w:r>
            <w:r>
              <w:rPr>
                <w:rFonts w:hint="eastAsia"/>
              </w:rPr>
              <w:t>相关政策要求</w:t>
            </w:r>
            <w:r>
              <w:t>相符性分析</w:t>
            </w:r>
          </w:p>
          <w:tbl>
            <w:tblPr>
              <w:tblStyle w:val="16"/>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243"/>
              <w:gridCol w:w="506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88" w:type="pct"/>
                  <w:vAlign w:val="center"/>
                </w:tcPr>
                <w:p>
                  <w:pPr>
                    <w:pStyle w:val="35"/>
                  </w:pPr>
                  <w:r>
                    <w:t>序号</w:t>
                  </w:r>
                </w:p>
              </w:tc>
              <w:tc>
                <w:tcPr>
                  <w:tcW w:w="1416" w:type="pct"/>
                  <w:vAlign w:val="center"/>
                </w:tcPr>
                <w:p>
                  <w:pPr>
                    <w:pStyle w:val="35"/>
                  </w:pPr>
                  <w:r>
                    <w:t>内容</w:t>
                  </w:r>
                </w:p>
              </w:tc>
              <w:tc>
                <w:tcPr>
                  <w:tcW w:w="3196" w:type="pct"/>
                  <w:vAlign w:val="center"/>
                </w:tcPr>
                <w:p>
                  <w:pPr>
                    <w:pStyle w:val="35"/>
                  </w:pPr>
                  <w:r>
                    <w:t>相符性分析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388" w:type="pct"/>
                  <w:vAlign w:val="center"/>
                </w:tcPr>
                <w:p>
                  <w:pPr>
                    <w:pStyle w:val="35"/>
                  </w:pPr>
                  <w:r>
                    <w:t>1</w:t>
                  </w:r>
                </w:p>
              </w:tc>
              <w:tc>
                <w:tcPr>
                  <w:tcW w:w="1416" w:type="pct"/>
                  <w:vAlign w:val="center"/>
                </w:tcPr>
                <w:p>
                  <w:pPr>
                    <w:pStyle w:val="35"/>
                  </w:pPr>
                  <w:r>
                    <w:t>《产业结构调整指导目录（2019年本）》</w:t>
                  </w:r>
                  <w:r>
                    <w:rPr>
                      <w:shd w:val="clear" w:color="auto" w:fill="FFFFFF"/>
                    </w:rPr>
                    <w:t>（</w:t>
                  </w:r>
                  <w:r>
                    <w:rPr>
                      <w:rFonts w:hint="eastAsia"/>
                      <w:shd w:val="clear" w:color="auto" w:fill="FFFFFF"/>
                    </w:rPr>
                    <w:t>2021年修改</w:t>
                  </w:r>
                  <w:r>
                    <w:rPr>
                      <w:shd w:val="clear" w:color="auto" w:fill="FFFFFF"/>
                    </w:rPr>
                    <w:t>）</w:t>
                  </w:r>
                </w:p>
              </w:tc>
              <w:tc>
                <w:tcPr>
                  <w:tcW w:w="3196" w:type="pct"/>
                  <w:vAlign w:val="center"/>
                </w:tcPr>
                <w:p>
                  <w:pPr>
                    <w:pStyle w:val="35"/>
                  </w:pPr>
                  <w:r>
                    <w:t>经查《产业结构调整指导目录（2019年本）》</w:t>
                  </w:r>
                  <w:r>
                    <w:rPr>
                      <w:shd w:val="clear" w:color="auto" w:fill="FFFFFF"/>
                    </w:rPr>
                    <w:t>（</w:t>
                  </w:r>
                  <w:r>
                    <w:rPr>
                      <w:rFonts w:hint="eastAsia"/>
                      <w:shd w:val="clear" w:color="auto" w:fill="FFFFFF"/>
                    </w:rPr>
                    <w:t>2021年修改</w:t>
                  </w:r>
                  <w:r>
                    <w:rPr>
                      <w:shd w:val="clear" w:color="auto" w:fill="FFFFFF"/>
                    </w:rPr>
                    <w:t>）</w:t>
                  </w:r>
                  <w:r>
                    <w:t>，项目不在《产业结构调整指导目录（2019年本）》</w:t>
                  </w:r>
                  <w:r>
                    <w:rPr>
                      <w:shd w:val="clear" w:color="auto" w:fill="FFFFFF"/>
                    </w:rPr>
                    <w:t>（</w:t>
                  </w:r>
                  <w:r>
                    <w:rPr>
                      <w:rFonts w:hint="eastAsia"/>
                      <w:shd w:val="clear" w:color="auto" w:fill="FFFFFF"/>
                    </w:rPr>
                    <w:t>2021年修改</w:t>
                  </w:r>
                  <w:r>
                    <w:rPr>
                      <w:shd w:val="clear" w:color="auto" w:fill="FFFFFF"/>
                    </w:rPr>
                    <w:t>）</w:t>
                  </w:r>
                  <w:r>
                    <w:t>限制类和淘汰类中，为允许类，符合该文件的要求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388" w:type="pct"/>
                  <w:vAlign w:val="center"/>
                </w:tcPr>
                <w:p>
                  <w:pPr>
                    <w:pStyle w:val="35"/>
                  </w:pPr>
                  <w:r>
                    <w:rPr>
                      <w:rFonts w:hint="eastAsia"/>
                      <w:lang w:eastAsia="zh-CN"/>
                    </w:rPr>
                    <w:t xml:space="preserve">  </w:t>
                  </w:r>
                  <w:r>
                    <w:t>2</w:t>
                  </w:r>
                </w:p>
              </w:tc>
              <w:tc>
                <w:tcPr>
                  <w:tcW w:w="1416" w:type="pct"/>
                  <w:vAlign w:val="center"/>
                </w:tcPr>
                <w:p>
                  <w:pPr>
                    <w:pStyle w:val="35"/>
                  </w:pPr>
                  <w:r>
                    <w:t>《江苏省工业和信息产业结构调整限制淘汰目录和能耗限额的通知》（苏政办发[2015]118号）</w:t>
                  </w:r>
                </w:p>
              </w:tc>
              <w:tc>
                <w:tcPr>
                  <w:tcW w:w="3196" w:type="pct"/>
                  <w:vAlign w:val="center"/>
                </w:tcPr>
                <w:p>
                  <w:pPr>
                    <w:pStyle w:val="35"/>
                  </w:pPr>
                  <w:r>
                    <w:t>经查《江苏省工业和信息产业结构调整限制淘汰目录和能耗限额的通知》（苏政办发[2015]118号），项目不在《省发展改革委江苏省工业和信息产业结构调整限制淘汰目录和能耗限额的通知》（苏政办发[2015]118号）中淘汰类和限制类，符合该文件的要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88" w:type="pct"/>
                  <w:vAlign w:val="center"/>
                </w:tcPr>
                <w:p>
                  <w:pPr>
                    <w:pStyle w:val="35"/>
                  </w:pPr>
                  <w:r>
                    <w:t>3</w:t>
                  </w:r>
                </w:p>
              </w:tc>
              <w:tc>
                <w:tcPr>
                  <w:tcW w:w="1416" w:type="pct"/>
                  <w:vAlign w:val="center"/>
                </w:tcPr>
                <w:p>
                  <w:pPr>
                    <w:pStyle w:val="35"/>
                  </w:pPr>
                  <w:r>
                    <w:t>《市场准入负面清单（2022年版）》</w:t>
                  </w:r>
                </w:p>
              </w:tc>
              <w:tc>
                <w:tcPr>
                  <w:tcW w:w="3196" w:type="pct"/>
                  <w:vAlign w:val="center"/>
                </w:tcPr>
                <w:p>
                  <w:pPr>
                    <w:pStyle w:val="35"/>
                  </w:pPr>
                  <w:r>
                    <w:t>经查《市场准入负面清单（2022年版）》，本项目不在其禁止准入类和限制准入类中</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03" w:hRule="atLeast"/>
                <w:jc w:val="center"/>
              </w:trPr>
              <w:tc>
                <w:tcPr>
                  <w:tcW w:w="388" w:type="pct"/>
                  <w:vAlign w:val="center"/>
                </w:tcPr>
                <w:p>
                  <w:pPr>
                    <w:pStyle w:val="35"/>
                  </w:pPr>
                  <w:r>
                    <w:t>4</w:t>
                  </w:r>
                </w:p>
              </w:tc>
              <w:tc>
                <w:tcPr>
                  <w:tcW w:w="1416" w:type="pct"/>
                  <w:vAlign w:val="center"/>
                </w:tcPr>
                <w:p>
                  <w:pPr>
                    <w:pStyle w:val="35"/>
                  </w:pPr>
                  <w:r>
                    <w:t>《江苏省太湖水污染防治条例》（2021年修订）</w:t>
                  </w:r>
                </w:p>
              </w:tc>
              <w:tc>
                <w:tcPr>
                  <w:tcW w:w="3196" w:type="pct"/>
                  <w:vAlign w:val="center"/>
                </w:tcPr>
                <w:p>
                  <w:pPr>
                    <w:pStyle w:val="35"/>
                  </w:pPr>
                  <w:r>
                    <w:t>根据《江苏省太湖水污染防治条例》（2021年修订）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本项目位于太湖流域</w:t>
                  </w:r>
                  <w:r>
                    <w:rPr>
                      <w:rFonts w:hint="eastAsia"/>
                    </w:rPr>
                    <w:t>一级</w:t>
                  </w:r>
                  <w:r>
                    <w:t>保护区，项目属于</w:t>
                  </w:r>
                  <w:r>
                    <w:rPr>
                      <w:rFonts w:hint="eastAsia"/>
                      <w:szCs w:val="21"/>
                    </w:rPr>
                    <w:t>C</w:t>
                  </w:r>
                  <w:r>
                    <w:rPr>
                      <w:rFonts w:hint="eastAsia"/>
                      <w:szCs w:val="21"/>
                      <w:lang w:val="en-US" w:eastAsia="zh-CN"/>
                    </w:rPr>
                    <w:t>3589 其他医疗设备及器械制造</w:t>
                  </w:r>
                  <w:r>
                    <w:t>，不在上述禁止和限制行业范围内，并且无含氮磷生产废水排放，因此符合该条例规定。</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88" w:type="pct"/>
                  <w:vAlign w:val="center"/>
                </w:tcPr>
                <w:p>
                  <w:pPr>
                    <w:pStyle w:val="35"/>
                  </w:pPr>
                  <w:r>
                    <w:t>5</w:t>
                  </w:r>
                </w:p>
              </w:tc>
              <w:tc>
                <w:tcPr>
                  <w:tcW w:w="1416" w:type="pct"/>
                  <w:vAlign w:val="center"/>
                </w:tcPr>
                <w:p>
                  <w:pPr>
                    <w:pStyle w:val="35"/>
                  </w:pPr>
                  <w:r>
                    <w:t>《苏州市主体功能区实施意见》</w:t>
                  </w:r>
                </w:p>
              </w:tc>
              <w:tc>
                <w:tcPr>
                  <w:tcW w:w="3196" w:type="pct"/>
                  <w:vAlign w:val="center"/>
                </w:tcPr>
                <w:p>
                  <w:pPr>
                    <w:pStyle w:val="35"/>
                  </w:pPr>
                  <w:r>
                    <w:t>经查《苏州市主体功能区实施意见》，本项目不在其限制开发区域和禁止开发区域内。</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88" w:type="pct"/>
                  <w:vAlign w:val="center"/>
                </w:tcPr>
                <w:p>
                  <w:pPr>
                    <w:pStyle w:val="35"/>
                  </w:pPr>
                  <w:r>
                    <w:t>6</w:t>
                  </w:r>
                </w:p>
              </w:tc>
              <w:tc>
                <w:tcPr>
                  <w:tcW w:w="1416" w:type="pct"/>
                  <w:vAlign w:val="center"/>
                </w:tcPr>
                <w:p>
                  <w:pPr>
                    <w:pStyle w:val="35"/>
                  </w:pPr>
                  <w:r>
                    <w:t>《苏州市产业发展导向目录（2007年本）》</w:t>
                  </w:r>
                </w:p>
              </w:tc>
              <w:tc>
                <w:tcPr>
                  <w:tcW w:w="3196" w:type="pct"/>
                  <w:vAlign w:val="center"/>
                </w:tcPr>
                <w:p>
                  <w:pPr>
                    <w:pStyle w:val="35"/>
                  </w:pPr>
                  <w:r>
                    <w:t>本项目不属于《苏州市产业发展导向目录（2007年本）》中限制、禁止类、淘汰类，属于允许类。</w:t>
                  </w:r>
                </w:p>
              </w:tc>
            </w:tr>
          </w:tbl>
          <w:p>
            <w:pPr>
              <w:pStyle w:val="29"/>
              <w:ind w:firstLine="480"/>
            </w:pPr>
            <w:r>
              <w:t>综上所述，本项目符合“三线一单”要求。</w:t>
            </w:r>
          </w:p>
          <w:p>
            <w:pPr>
              <w:pStyle w:val="14"/>
            </w:pPr>
            <w:r>
              <w:t>2、与《苏州市“三线一单”生态环境分区管控实施方案》（苏环办字[2020]313号）的相符性分析</w:t>
            </w:r>
          </w:p>
          <w:p>
            <w:pPr>
              <w:pStyle w:val="29"/>
              <w:ind w:firstLine="480"/>
            </w:pPr>
            <w:r>
              <w:t>根据《苏州市“三线一单”生态环境分区管控实施方案》的通知（苏环办字[2020]313号），本项目位于</w:t>
            </w:r>
            <w:r>
              <w:rPr>
                <w:rFonts w:hint="eastAsia"/>
              </w:rPr>
              <w:t>苏州国家高新技术产业开发区（含苏州浒墅关经济开发区、苏州高新技术产业开发区综合保税区）</w:t>
            </w:r>
            <w:r>
              <w:t>，</w:t>
            </w:r>
            <w:r>
              <w:rPr>
                <w:rFonts w:hint="eastAsia"/>
              </w:rPr>
              <w:t>属于</w:t>
            </w:r>
            <w:r>
              <w:t>重点管控单元</w:t>
            </w:r>
            <w:r>
              <w:rPr>
                <w:rFonts w:hint="eastAsia"/>
              </w:rPr>
              <w:t>。本项目与苏州市域生态环境管控要求、苏州市重点管控单元生态环境准入清单相符性分析见表1-</w:t>
            </w:r>
            <w:r>
              <w:t>4</w:t>
            </w:r>
            <w:r>
              <w:rPr>
                <w:rFonts w:hint="eastAsia"/>
              </w:rPr>
              <w:t>、表1-</w:t>
            </w:r>
            <w:r>
              <w:t>5</w:t>
            </w:r>
            <w:r>
              <w:rPr>
                <w:rFonts w:hint="eastAsia"/>
              </w:rPr>
              <w:t>。</w:t>
            </w:r>
          </w:p>
          <w:p>
            <w:pPr>
              <w:pStyle w:val="12"/>
            </w:pPr>
            <w:r>
              <w:t xml:space="preserve">表1-4  </w:t>
            </w:r>
            <w:r>
              <w:rPr>
                <w:rFonts w:hint="eastAsia"/>
              </w:rPr>
              <w:t>苏州市域生态环境管控要求及相符性分析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4785"/>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rPr>
                      <w:rFonts w:hint="eastAsia"/>
                    </w:rPr>
                    <w:t>管控类别</w:t>
                  </w:r>
                </w:p>
              </w:tc>
              <w:tc>
                <w:tcPr>
                  <w:tcW w:w="3020" w:type="pct"/>
                  <w:shd w:val="clear" w:color="auto" w:fill="auto"/>
                  <w:vAlign w:val="center"/>
                </w:tcPr>
                <w:p>
                  <w:pPr>
                    <w:pStyle w:val="35"/>
                  </w:pPr>
                  <w:r>
                    <w:rPr>
                      <w:rFonts w:hint="eastAsia"/>
                    </w:rPr>
                    <w:t>重点管控要求</w:t>
                  </w:r>
                </w:p>
              </w:tc>
              <w:tc>
                <w:tcPr>
                  <w:tcW w:w="1407" w:type="pct"/>
                  <w:shd w:val="clear" w:color="auto" w:fill="auto"/>
                  <w:vAlign w:val="center"/>
                </w:tcPr>
                <w:p>
                  <w:pPr>
                    <w:pStyle w:val="35"/>
                  </w:pPr>
                  <w:r>
                    <w:rPr>
                      <w:rFonts w:hint="eastAsia"/>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shd w:val="clear" w:color="auto" w:fill="auto"/>
                  <w:vAlign w:val="center"/>
                </w:tcPr>
                <w:p>
                  <w:pPr>
                    <w:pStyle w:val="35"/>
                  </w:pPr>
                  <w:r>
                    <w:t>空间布局约束</w:t>
                  </w:r>
                </w:p>
              </w:tc>
              <w:tc>
                <w:tcPr>
                  <w:tcW w:w="3020" w:type="pct"/>
                  <w:shd w:val="clear" w:color="auto" w:fill="auto"/>
                  <w:vAlign w:val="center"/>
                </w:tcPr>
                <w:p>
                  <w:pPr>
                    <w:pStyle w:val="35"/>
                  </w:pPr>
                  <w:r>
                    <w:rPr>
                      <w:rFonts w:hint="eastAsia"/>
                    </w:rPr>
                    <w:t>（1）严格执行《江苏省“三线一单”生态环境分区管控方案》（苏政发[2020]49 号）附件 3 江苏省省域生态环境管控要求中“空间布局约束”的相关要求。</w:t>
                  </w:r>
                </w:p>
              </w:tc>
              <w:tc>
                <w:tcPr>
                  <w:tcW w:w="1407" w:type="pct"/>
                  <w:shd w:val="clear" w:color="auto" w:fill="auto"/>
                  <w:vAlign w:val="center"/>
                </w:tcPr>
                <w:p>
                  <w:pPr>
                    <w:pStyle w:val="35"/>
                    <w:rPr>
                      <w:highlight w:val="yellow"/>
                    </w:rPr>
                  </w:pPr>
                  <w:r>
                    <w:rPr>
                      <w:rFonts w:hint="eastAsia"/>
                    </w:rPr>
                    <w:t>本项目主要从</w:t>
                  </w:r>
                  <w:r>
                    <w:rPr>
                      <w:rFonts w:hint="eastAsia"/>
                      <w:szCs w:val="21"/>
                    </w:rPr>
                    <w:t>C</w:t>
                  </w:r>
                  <w:r>
                    <w:rPr>
                      <w:rFonts w:hint="eastAsia"/>
                      <w:szCs w:val="21"/>
                      <w:lang w:val="en-US" w:eastAsia="zh-CN"/>
                    </w:rPr>
                    <w:t>3589 其他医疗设备及器械制造</w:t>
                  </w:r>
                  <w:r>
                    <w:rPr>
                      <w:rFonts w:hint="eastAsia"/>
                    </w:rPr>
                    <w:t>，位于太湖流域一级保护区，不属于其禁止类项目。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（2）按照《省政府关于印发江苏省生态空间管控区域规划的通知》(苏政发[2020]1 号)、《省政府关于印发江苏省国家级生态保护红线规划的通知》(苏政发(2018)74 号)，坚持节约优先、保护优先、自然恢复为主的方针，以改善生态环境质量为核心，以保障和维护生态功能为主线，统筹山水林田湖草一体化保护和修复，严守生态保护红线，实行最严格的生态空间管控制度，确保全市生态功能不降低、面积不减少。性质不改变，切实维护生态安全。</w:t>
                  </w:r>
                </w:p>
              </w:tc>
              <w:tc>
                <w:tcPr>
                  <w:tcW w:w="1407" w:type="pct"/>
                  <w:shd w:val="clear" w:color="auto" w:fill="auto"/>
                  <w:vAlign w:val="center"/>
                </w:tcPr>
                <w:p>
                  <w:pPr>
                    <w:pStyle w:val="35"/>
                    <w:rPr>
                      <w:highlight w:val="yellow"/>
                    </w:rPr>
                  </w:pPr>
                  <w:r>
                    <w:rPr>
                      <w:rFonts w:hint="eastAsia"/>
                    </w:rPr>
                    <w:t>本项目不在《省政府关于印发江苏省生态空间管控区域规划的通知》(苏政发[2020]1号)和《省政府关于印发江苏省国家级生态保护红线规划的通知》(苏政发(2018)74号)的各生态空间管控区域范围内，符合江苏省国家级生态红线保护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（3）严格执行《苏州市水污染防治工作方案》（苏府[2016]60 号）、《苏州市大气污染防治行动计划实施方案》（苏府[2014]81号）、《苏州市土壤污染防治工作方案》（苏府[2017]102号）、《中共苏州市委苏州市人民政府关于全面加强生态环境环保坚决打好污染防治攻坚战的工作意见》（苏委发[2019]17号）、《苏州市“两减六治三提升”专项行动实施方案》（苏委发[2017]13号）、《苏州市“两减六治三提升”13个专项行动实施方案》（苏府办[2017]108号）、《苏州市勇当“两个标杆”落实“四个突出”建设“四个名城”十二项三年行动计划（2018-2020年）》（苏委发[2018]6号）等文件要求，全市太湖、阳澄湖保护区执行《江苏省太湖水污染防治条例》、《苏州市阳澄湖水源水质保护条例》等文件要求。</w:t>
                  </w:r>
                </w:p>
              </w:tc>
              <w:tc>
                <w:tcPr>
                  <w:tcW w:w="1407" w:type="pct"/>
                  <w:shd w:val="clear" w:color="auto" w:fill="auto"/>
                  <w:vAlign w:val="center"/>
                </w:tcPr>
                <w:p>
                  <w:pPr>
                    <w:pStyle w:val="35"/>
                    <w:rPr>
                      <w:highlight w:val="yellow"/>
                    </w:rPr>
                  </w:pPr>
                  <w:r>
                    <w:rPr>
                      <w:rFonts w:hint="eastAsia"/>
                    </w:rPr>
                    <w:t>本项目符合所列相关文件要求并按照文件要求实施建设。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4）根据《苏州市长江经济带生态环境保护实施方案（2018-2020年）》及《中共苏州市委苏州市人民政府关于全面加强生态环境保护坚决打好污染防治攻坚战的工作意见》，围绕新一代信息技术、生物医药、新能源、新材料等领域，大力发展新兴产业，加快产城市建城区内钢铁、石化、化工、有色金属冶炼、水泥、平板玻璃等重污染企业和危险化学品企业搬迁改造，提升开发利用去岸线使用效率，合理安排沿江工业和港口岸线，过江通道岸线、取排水口岸线；控制工贸和港口企业无序占用岸线，推进公共码头建设；推动既有危化品码头分类整合，逐步实施功能调整，提高资源利用效率。严禁在长江干流及主要支流岸线1公里范围内新建布局危险化学品码头、化工园区和化工企业，严控危化品码头建设。</w:t>
                  </w:r>
                </w:p>
              </w:tc>
              <w:tc>
                <w:tcPr>
                  <w:tcW w:w="1407" w:type="pct"/>
                  <w:shd w:val="clear" w:color="auto" w:fill="auto"/>
                  <w:vAlign w:val="center"/>
                </w:tcPr>
                <w:p>
                  <w:pPr>
                    <w:pStyle w:val="35"/>
                    <w:rPr>
                      <w:highlight w:val="yellow"/>
                    </w:rPr>
                  </w:pPr>
                  <w:r>
                    <w:rPr>
                      <w:rFonts w:hint="eastAsia"/>
                    </w:rPr>
                    <w:t>本项目不属于钢铁、石化、化工、有色金属冶炼、水泥、平板玻璃等重污染企业；不属于危化品生产企业，符合文件要求。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（5）禁止引入列入《苏州市产业发展导向目录》禁止淘汰类的产业。</w:t>
                  </w:r>
                </w:p>
              </w:tc>
              <w:tc>
                <w:tcPr>
                  <w:tcW w:w="1407" w:type="pct"/>
                  <w:shd w:val="clear" w:color="auto" w:fill="auto"/>
                  <w:vAlign w:val="center"/>
                </w:tcPr>
                <w:p>
                  <w:pPr>
                    <w:pStyle w:val="35"/>
                    <w:rPr>
                      <w:highlight w:val="yellow"/>
                    </w:rPr>
                  </w:pPr>
                  <w:r>
                    <w:rPr>
                      <w:rFonts w:hint="eastAsia"/>
                    </w:rPr>
                    <w:t>本项目不属于《苏州市产业发展导向目录》禁止淘汰类的产业。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shd w:val="clear" w:color="auto" w:fill="auto"/>
                  <w:vAlign w:val="center"/>
                </w:tcPr>
                <w:p>
                  <w:pPr>
                    <w:pStyle w:val="35"/>
                  </w:pPr>
                  <w:r>
                    <w:t>污染物排放管控</w:t>
                  </w:r>
                </w:p>
              </w:tc>
              <w:tc>
                <w:tcPr>
                  <w:tcW w:w="3020" w:type="pct"/>
                  <w:shd w:val="clear" w:color="auto" w:fill="auto"/>
                  <w:vAlign w:val="center"/>
                </w:tcPr>
                <w:p>
                  <w:pPr>
                    <w:pStyle w:val="35"/>
                  </w:pPr>
                  <w:r>
                    <w:rPr>
                      <w:rFonts w:hint="eastAsia"/>
                    </w:rPr>
                    <w:t>（1）坚持生态环境质量只能更好、不能变坏，实施污染物总量控制，以环境容量定产业、定项目、定规模，确保开发建设行为不突破生态环境承载力。</w:t>
                  </w:r>
                </w:p>
              </w:tc>
              <w:tc>
                <w:tcPr>
                  <w:tcW w:w="1407" w:type="pct"/>
                  <w:shd w:val="clear" w:color="auto" w:fill="auto"/>
                  <w:vAlign w:val="center"/>
                </w:tcPr>
                <w:p>
                  <w:pPr>
                    <w:pStyle w:val="35"/>
                    <w:rPr>
                      <w:highlight w:val="yellow"/>
                    </w:rPr>
                  </w:pPr>
                  <w:r>
                    <w:rPr>
                      <w:rFonts w:hint="eastAsia"/>
                    </w:rPr>
                    <w:t>本项目污染物排放量较小，对周围环境的影响较小，按要求实施污染物总量控制，未突破环境质量底线，符合环境质量底线要求。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2）2020年苏州市化学需氧量、氨氮、总氮、总磷、二氧化硫、氮氧化物、烟粉尘排放量不得超过5.77万吨/年，1.15万吨/年、2.97万吨/年、0.23万吨/年、12.06万吨/年、15.90万吨/年、6.36万吨/年。2025年苏州市主要污染物排放量达到省定要求。</w:t>
                  </w:r>
                </w:p>
              </w:tc>
              <w:tc>
                <w:tcPr>
                  <w:tcW w:w="1407" w:type="pct"/>
                  <w:shd w:val="clear" w:color="auto" w:fill="auto"/>
                  <w:vAlign w:val="center"/>
                </w:tcPr>
                <w:p>
                  <w:pPr>
                    <w:pStyle w:val="35"/>
                    <w:rPr>
                      <w:highlight w:val="yellow"/>
                    </w:rPr>
                  </w:pPr>
                  <w:r>
                    <w:rPr>
                      <w:rFonts w:hint="eastAsia"/>
                    </w:rPr>
                    <w:t>本项目污染物排放量较小，在苏州高新区总量范围内平衡。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（3）严格新建项目总量前置审批，新建项目实行区域内现役源按相关要求等量或减量替代。</w:t>
                  </w:r>
                </w:p>
              </w:tc>
              <w:tc>
                <w:tcPr>
                  <w:tcW w:w="1407" w:type="pct"/>
                  <w:shd w:val="clear" w:color="auto" w:fill="auto"/>
                  <w:vAlign w:val="center"/>
                </w:tcPr>
                <w:p>
                  <w:pPr>
                    <w:pStyle w:val="35"/>
                    <w:rPr>
                      <w:highlight w:val="yellow"/>
                    </w:rPr>
                  </w:pPr>
                  <w:r>
                    <w:rPr>
                      <w:rFonts w:hint="eastAsia"/>
                    </w:rPr>
                    <w:t>本项目污染物按区域要求进行替代。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shd w:val="clear" w:color="auto" w:fill="auto"/>
                  <w:vAlign w:val="center"/>
                </w:tcPr>
                <w:p>
                  <w:pPr>
                    <w:pStyle w:val="35"/>
                  </w:pPr>
                  <w:r>
                    <w:t>环境风险防控</w:t>
                  </w:r>
                </w:p>
              </w:tc>
              <w:tc>
                <w:tcPr>
                  <w:tcW w:w="3020" w:type="pct"/>
                  <w:shd w:val="clear" w:color="auto" w:fill="auto"/>
                  <w:vAlign w:val="center"/>
                </w:tcPr>
                <w:p>
                  <w:pPr>
                    <w:pStyle w:val="35"/>
                  </w:pPr>
                  <w:r>
                    <w:rPr>
                      <w:rFonts w:hint="eastAsia"/>
                    </w:rPr>
                    <w:t>（1）严格执行《江苏省“三线一单”生态环境分区管控方案》（苏政发[2020]49号）附件3江苏省省域生态环境管控要求中“环境风险防控”相关要求。</w:t>
                  </w:r>
                </w:p>
              </w:tc>
              <w:tc>
                <w:tcPr>
                  <w:tcW w:w="1407" w:type="pct"/>
                  <w:shd w:val="clear" w:color="auto" w:fill="auto"/>
                  <w:vAlign w:val="center"/>
                </w:tcPr>
                <w:p>
                  <w:pPr>
                    <w:pStyle w:val="35"/>
                    <w:rPr>
                      <w:highlight w:val="yellow"/>
                    </w:rPr>
                  </w:pPr>
                  <w:r>
                    <w:rPr>
                      <w:rFonts w:hint="eastAsia"/>
                    </w:rPr>
                    <w:t>本项目不属于化工行业。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（2）强化饮用水水源环境风险管控。县级以上城市全部建成应急水源或双源供水。</w:t>
                  </w:r>
                </w:p>
              </w:tc>
              <w:tc>
                <w:tcPr>
                  <w:tcW w:w="1407" w:type="pct"/>
                  <w:shd w:val="clear" w:color="auto" w:fill="auto"/>
                  <w:vAlign w:val="center"/>
                </w:tcPr>
                <w:p>
                  <w:pPr>
                    <w:pStyle w:val="35"/>
                    <w:rPr>
                      <w:highlight w:val="yellow"/>
                    </w:rPr>
                  </w:pPr>
                  <w:r>
                    <w:rPr>
                      <w:rFonts w:hint="eastAsia"/>
                    </w:rPr>
                    <w:t>本项不涉及。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（3）落实《苏州市突发环境事件应急预案》。完善市、县级市（区）两级突发环境事件应急响应体系，定期组织演练、提高应急处置能力。</w:t>
                  </w:r>
                </w:p>
              </w:tc>
              <w:tc>
                <w:tcPr>
                  <w:tcW w:w="1407" w:type="pct"/>
                  <w:shd w:val="clear" w:color="auto" w:fill="auto"/>
                  <w:vAlign w:val="center"/>
                </w:tcPr>
                <w:p>
                  <w:pPr>
                    <w:pStyle w:val="35"/>
                    <w:rPr>
                      <w:highlight w:val="yellow"/>
                    </w:rPr>
                  </w:pPr>
                  <w:r>
                    <w:rPr>
                      <w:rFonts w:hint="eastAsia"/>
                    </w:rPr>
                    <w:t>后续将按要求进行应急预案的编制并备案。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restart"/>
                  <w:shd w:val="clear" w:color="auto" w:fill="auto"/>
                  <w:vAlign w:val="center"/>
                </w:tcPr>
                <w:p>
                  <w:pPr>
                    <w:pStyle w:val="35"/>
                  </w:pPr>
                  <w:r>
                    <w:t>资源</w:t>
                  </w:r>
                  <w:r>
                    <w:rPr>
                      <w:rFonts w:hint="eastAsia"/>
                    </w:rPr>
                    <w:t>开发效率要求</w:t>
                  </w:r>
                </w:p>
              </w:tc>
              <w:tc>
                <w:tcPr>
                  <w:tcW w:w="3020" w:type="pct"/>
                  <w:shd w:val="clear" w:color="auto" w:fill="auto"/>
                  <w:vAlign w:val="center"/>
                </w:tcPr>
                <w:p>
                  <w:pPr>
                    <w:pStyle w:val="35"/>
                  </w:pPr>
                  <w:r>
                    <w:rPr>
                      <w:rFonts w:hint="eastAsia"/>
                    </w:rPr>
                    <w:t>（1）2020年苏州市用水量总量不得超过63.26亿立方米。</w:t>
                  </w:r>
                </w:p>
              </w:tc>
              <w:tc>
                <w:tcPr>
                  <w:tcW w:w="1407" w:type="pct"/>
                  <w:shd w:val="clear" w:color="auto" w:fill="auto"/>
                  <w:vAlign w:val="center"/>
                </w:tcPr>
                <w:p>
                  <w:pPr>
                    <w:pStyle w:val="35"/>
                    <w:rPr>
                      <w:highlight w:val="yellow"/>
                    </w:rPr>
                  </w:pPr>
                  <w:r>
                    <w:rPr>
                      <w:rFonts w:hint="eastAsia"/>
                    </w:rPr>
                    <w:t>本项目用水均来自市政管网供水。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（2）2020年苏州市耕地保有量不低于 19.86万公顷，永久基本农田保护面积不低于16.86万公顷。</w:t>
                  </w:r>
                </w:p>
              </w:tc>
              <w:tc>
                <w:tcPr>
                  <w:tcW w:w="1407" w:type="pct"/>
                  <w:shd w:val="clear" w:color="auto" w:fill="auto"/>
                  <w:vAlign w:val="center"/>
                </w:tcPr>
                <w:p>
                  <w:pPr>
                    <w:pStyle w:val="35"/>
                    <w:rPr>
                      <w:highlight w:val="yellow"/>
                    </w:rPr>
                  </w:pPr>
                  <w:r>
                    <w:rPr>
                      <w:rFonts w:hint="eastAsia"/>
                    </w:rPr>
                    <w:t>本项目依托已建厂区，不新增用地，不涉及耕地和基本农田等。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Merge w:val="continue"/>
                  <w:shd w:val="clear" w:color="auto" w:fill="auto"/>
                  <w:vAlign w:val="center"/>
                </w:tcPr>
                <w:p>
                  <w:pPr>
                    <w:pStyle w:val="35"/>
                  </w:pPr>
                </w:p>
              </w:tc>
              <w:tc>
                <w:tcPr>
                  <w:tcW w:w="3020" w:type="pct"/>
                  <w:shd w:val="clear" w:color="auto" w:fill="auto"/>
                  <w:vAlign w:val="center"/>
                </w:tcPr>
                <w:p>
                  <w:pPr>
                    <w:pStyle w:val="35"/>
                  </w:pPr>
                  <w:r>
                    <w:rPr>
                      <w:rFonts w:hint="eastAsia"/>
                    </w:rPr>
                    <w:t>（3）禁燃区禁止新建、扩建燃用高污染燃料的项目和设施，已建成的应该逐步或依法限期改用天然气、电或者其他清洁能源。</w:t>
                  </w:r>
                </w:p>
              </w:tc>
              <w:tc>
                <w:tcPr>
                  <w:tcW w:w="1407" w:type="pct"/>
                  <w:shd w:val="clear" w:color="auto" w:fill="auto"/>
                  <w:vAlign w:val="center"/>
                </w:tcPr>
                <w:p>
                  <w:pPr>
                    <w:pStyle w:val="35"/>
                    <w:rPr>
                      <w:highlight w:val="yellow"/>
                    </w:rPr>
                  </w:pPr>
                  <w:r>
                    <w:rPr>
                      <w:rFonts w:hint="eastAsia"/>
                    </w:rPr>
                    <w:t>本项目均使用清洁能源，不涉及高污染燃料的使用。</w:t>
                  </w:r>
                </w:p>
              </w:tc>
            </w:tr>
          </w:tbl>
          <w:p>
            <w:pPr>
              <w:pStyle w:val="12"/>
            </w:pPr>
            <w:r>
              <w:t>表1-5  项目与苏州市重点保护单元生态环境准入清单相符性分析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4360"/>
              <w:gridCol w:w="2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rPr>
                      <w:rFonts w:hint="eastAsia"/>
                    </w:rPr>
                    <w:t>管控类别</w:t>
                  </w:r>
                </w:p>
              </w:tc>
              <w:tc>
                <w:tcPr>
                  <w:tcW w:w="2752" w:type="pct"/>
                  <w:shd w:val="clear" w:color="auto" w:fill="auto"/>
                  <w:vAlign w:val="center"/>
                </w:tcPr>
                <w:p>
                  <w:pPr>
                    <w:pStyle w:val="35"/>
                  </w:pPr>
                  <w:r>
                    <w:rPr>
                      <w:rFonts w:hint="eastAsia"/>
                    </w:rPr>
                    <w:t>生态环境准入清单</w:t>
                  </w:r>
                </w:p>
              </w:tc>
              <w:tc>
                <w:tcPr>
                  <w:tcW w:w="1675" w:type="pct"/>
                  <w:shd w:val="clear" w:color="auto" w:fill="auto"/>
                  <w:vAlign w:val="center"/>
                </w:tcPr>
                <w:p>
                  <w:pPr>
                    <w:pStyle w:val="35"/>
                  </w:pPr>
                  <w:r>
                    <w:rPr>
                      <w:rFonts w:hint="eastAsia"/>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t>空间布局约束</w:t>
                  </w:r>
                </w:p>
              </w:tc>
              <w:tc>
                <w:tcPr>
                  <w:tcW w:w="2752" w:type="pct"/>
                  <w:shd w:val="clear" w:color="auto" w:fill="auto"/>
                  <w:vAlign w:val="center"/>
                </w:tcPr>
                <w:p>
                  <w:pPr>
                    <w:pStyle w:val="35"/>
                  </w:pPr>
                  <w:r>
                    <w:rPr>
                      <w:rFonts w:hint="eastAsia"/>
                    </w:rPr>
                    <w:t>（1）禁止引进列入《产业结构调整指导目录》《江苏省工业和信息产业结构调整指导目录》《江苏省工业和信息产业结构调整、限制、淘汰目录及能耗限顿》淘汰类的产业；禁止引进列入《外商投资产业指导目录》禁止类的产业。</w:t>
                  </w:r>
                </w:p>
                <w:p>
                  <w:pPr>
                    <w:pStyle w:val="35"/>
                  </w:pPr>
                  <w:r>
                    <w:rPr>
                      <w:rFonts w:hint="eastAsia"/>
                    </w:rPr>
                    <w:t>（2）严格执行园区总体规划及规划环评中的提出的空间布局和产业准入要求，禁止引进不符合园区产业定位的项目。</w:t>
                  </w:r>
                </w:p>
                <w:p>
                  <w:pPr>
                    <w:pStyle w:val="35"/>
                  </w:pPr>
                  <w:r>
                    <w:rPr>
                      <w:rFonts w:hint="eastAsia"/>
                    </w:rPr>
                    <w:t>（3）严格执行《江苏省太湖水污染防治条例》的分级保护要求，禁止引进不符合《条例》要求的项目。</w:t>
                  </w:r>
                </w:p>
                <w:p>
                  <w:pPr>
                    <w:pStyle w:val="35"/>
                  </w:pPr>
                  <w:r>
                    <w:rPr>
                      <w:rFonts w:hint="eastAsia"/>
                    </w:rPr>
                    <w:t>（4）严格执行《阳澄湖水源水质保护条例》相关管控要求。</w:t>
                  </w:r>
                </w:p>
                <w:p>
                  <w:pPr>
                    <w:pStyle w:val="35"/>
                  </w:pPr>
                  <w:r>
                    <w:rPr>
                      <w:rFonts w:hint="eastAsia"/>
                    </w:rPr>
                    <w:t>（5）严格执行《中华人民共和国长江保护法》。</w:t>
                  </w:r>
                </w:p>
                <w:p>
                  <w:pPr>
                    <w:pStyle w:val="35"/>
                  </w:pPr>
                  <w:r>
                    <w:rPr>
                      <w:rFonts w:hint="eastAsia"/>
                    </w:rPr>
                    <w:t>（6）禁止引进列入上級生态环境负面清单的项目。</w:t>
                  </w:r>
                </w:p>
              </w:tc>
              <w:tc>
                <w:tcPr>
                  <w:tcW w:w="1675" w:type="pct"/>
                  <w:shd w:val="clear" w:color="auto" w:fill="auto"/>
                  <w:vAlign w:val="center"/>
                </w:tcPr>
                <w:p>
                  <w:pPr>
                    <w:pStyle w:val="35"/>
                  </w:pPr>
                  <w:r>
                    <w:rPr>
                      <w:rFonts w:hint="eastAsia"/>
                    </w:rPr>
                    <w:t>（1）本项目</w:t>
                  </w:r>
                  <w:r>
                    <w:t>不在禁止、淘汰类产业目录内。</w:t>
                  </w:r>
                </w:p>
                <w:p>
                  <w:pPr>
                    <w:pStyle w:val="35"/>
                  </w:pPr>
                  <w:r>
                    <w:rPr>
                      <w:rFonts w:hint="eastAsia"/>
                    </w:rPr>
                    <w:t>（2）本项目符合高新区的产业定位。</w:t>
                  </w:r>
                </w:p>
                <w:p>
                  <w:pPr>
                    <w:pStyle w:val="35"/>
                  </w:pPr>
                  <w:r>
                    <w:rPr>
                      <w:rFonts w:hint="eastAsia"/>
                    </w:rPr>
                    <w:t>（</w:t>
                  </w:r>
                  <w:r>
                    <w:t>3</w:t>
                  </w:r>
                  <w:r>
                    <w:rPr>
                      <w:rFonts w:hint="eastAsia"/>
                    </w:rPr>
                    <w:t>）本项目不属于条例所列禁止类项目，也不属于直接向水体排放污染物的项目，本项目符合《太湖流域管理条例》的规定。</w:t>
                  </w:r>
                </w:p>
                <w:p>
                  <w:pPr>
                    <w:pStyle w:val="35"/>
                  </w:pPr>
                  <w:r>
                    <w:rPr>
                      <w:rFonts w:hint="eastAsia"/>
                    </w:rPr>
                    <w:t>（</w:t>
                  </w:r>
                  <w:r>
                    <w:t>4</w:t>
                  </w:r>
                  <w:r>
                    <w:rPr>
                      <w:rFonts w:hint="eastAsia"/>
                    </w:rPr>
                    <w:t>）本项目不在阳澄湖保护区范围内。</w:t>
                  </w:r>
                </w:p>
                <w:p>
                  <w:pPr>
                    <w:pStyle w:val="35"/>
                  </w:pPr>
                  <w:r>
                    <w:rPr>
                      <w:rFonts w:hint="eastAsia"/>
                    </w:rPr>
                    <w:t>（5）本项目严格执行《中华人民共和国长江保护法》中</w:t>
                  </w:r>
                  <w:r>
                    <w:t>相关要求。</w:t>
                  </w:r>
                </w:p>
                <w:p>
                  <w:pPr>
                    <w:pStyle w:val="35"/>
                    <w:rPr>
                      <w:highlight w:val="yellow"/>
                    </w:rPr>
                  </w:pPr>
                  <w:r>
                    <w:rPr>
                      <w:rFonts w:hint="eastAsia"/>
                    </w:rPr>
                    <w:t>（6）本项目</w:t>
                  </w:r>
                  <w:r>
                    <w:t>不在</w:t>
                  </w:r>
                  <w:r>
                    <w:rPr>
                      <w:rFonts w:hint="eastAsia"/>
                    </w:rPr>
                    <w:t>高新区</w:t>
                  </w:r>
                  <w:r>
                    <w:t>负面清单中。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t>污染物排放管控</w:t>
                  </w:r>
                </w:p>
              </w:tc>
              <w:tc>
                <w:tcPr>
                  <w:tcW w:w="2752" w:type="pct"/>
                  <w:shd w:val="clear" w:color="auto" w:fill="auto"/>
                  <w:vAlign w:val="center"/>
                </w:tcPr>
                <w:p>
                  <w:pPr>
                    <w:pStyle w:val="35"/>
                  </w:pPr>
                  <w:r>
                    <w:rPr>
                      <w:rFonts w:hint="eastAsia"/>
                    </w:rPr>
                    <w:t>（1）园区内企业污染物排放应满足相关国家、地方污染物排放标准要求。</w:t>
                  </w:r>
                </w:p>
                <w:p>
                  <w:pPr>
                    <w:pStyle w:val="35"/>
                  </w:pPr>
                  <w:r>
                    <w:rPr>
                      <w:rFonts w:hint="eastAsia"/>
                    </w:rPr>
                    <w:t>（2）园区污染物排放总量按照园区总体规划、规划环评及审查意见的要求进行管控。</w:t>
                  </w:r>
                </w:p>
                <w:p>
                  <w:pPr>
                    <w:pStyle w:val="35"/>
                  </w:pPr>
                  <w:r>
                    <w:rPr>
                      <w:rFonts w:hint="eastAsia"/>
                    </w:rPr>
                    <w:t>（3）根据区域环境质量改善目标，采取有效措施减少主要污染物排放总量，确保区域环境质量持续改善。</w:t>
                  </w:r>
                </w:p>
              </w:tc>
              <w:tc>
                <w:tcPr>
                  <w:tcW w:w="1675" w:type="pct"/>
                  <w:shd w:val="clear" w:color="auto" w:fill="auto"/>
                  <w:vAlign w:val="center"/>
                </w:tcPr>
                <w:p>
                  <w:pPr>
                    <w:pStyle w:val="35"/>
                  </w:pPr>
                  <w:r>
                    <w:rPr>
                      <w:rFonts w:hint="eastAsia"/>
                    </w:rPr>
                    <w:t>（1）本项目产生的污染物均满足相关国家、地方污染物排放标准要求。</w:t>
                  </w:r>
                </w:p>
                <w:p>
                  <w:pPr>
                    <w:pStyle w:val="35"/>
                    <w:rPr>
                      <w:color w:val="000000" w:themeColor="text1"/>
                      <w14:textFill>
                        <w14:solidFill>
                          <w14:schemeClr w14:val="tx1"/>
                        </w14:solidFill>
                      </w14:textFill>
                    </w:rPr>
                  </w:pPr>
                  <w:r>
                    <w:rPr>
                      <w:rFonts w:hint="eastAsia"/>
                    </w:rPr>
                    <w:t>（2）本项目产生的生活污水经科技城水质净化厂集中处理后达标排放；废气和噪声均达标排放；固体废弃物</w:t>
                  </w:r>
                  <w:r>
                    <w:rPr>
                      <w:rFonts w:hint="eastAsia"/>
                      <w:color w:val="000000" w:themeColor="text1"/>
                      <w14:textFill>
                        <w14:solidFill>
                          <w14:schemeClr w14:val="tx1"/>
                        </w14:solidFill>
                      </w14:textFill>
                    </w:rPr>
                    <w:t>严格按照环保要求处理处置，实行零排放。</w:t>
                  </w:r>
                </w:p>
                <w:p>
                  <w:pPr>
                    <w:pStyle w:val="35"/>
                    <w:rPr>
                      <w:highlight w:val="yellow"/>
                    </w:rPr>
                  </w:pPr>
                  <w:r>
                    <w:rPr>
                      <w:rFonts w:hint="eastAsia"/>
                      <w:color w:val="000000" w:themeColor="text1"/>
                      <w14:textFill>
                        <w14:solidFill>
                          <w14:schemeClr w14:val="tx1"/>
                        </w14:solidFill>
                      </w14:textFill>
                    </w:rPr>
                    <w:t>（3）本项目废气</w:t>
                  </w:r>
                  <w:r>
                    <w:rPr>
                      <w:rFonts w:hint="eastAsia"/>
                      <w:color w:val="000000" w:themeColor="text1"/>
                      <w:lang w:eastAsia="zh-CN"/>
                      <w14:textFill>
                        <w14:solidFill>
                          <w14:schemeClr w14:val="tx1"/>
                        </w14:solidFill>
                      </w14:textFill>
                    </w:rPr>
                    <w:t>移动式焊接除尘设备处置</w:t>
                  </w:r>
                  <w:r>
                    <w:rPr>
                      <w:color w:val="000000" w:themeColor="text1"/>
                      <w14:textFill>
                        <w14:solidFill>
                          <w14:schemeClr w14:val="tx1"/>
                        </w14:solidFill>
                      </w14:textFill>
                    </w:rPr>
                    <w:t>，确保</w:t>
                  </w:r>
                  <w:r>
                    <w:rPr>
                      <w:rFonts w:hint="eastAsia"/>
                      <w:color w:val="000000" w:themeColor="text1"/>
                      <w14:textFill>
                        <w14:solidFill>
                          <w14:schemeClr w14:val="tx1"/>
                        </w14:solidFill>
                      </w14:textFill>
                    </w:rPr>
                    <w:t>不对</w:t>
                  </w:r>
                  <w:r>
                    <w:rPr>
                      <w:color w:val="000000" w:themeColor="text1"/>
                      <w14:textFill>
                        <w14:solidFill>
                          <w14:schemeClr w14:val="tx1"/>
                        </w14:solidFill>
                      </w14:textFill>
                    </w:rPr>
                    <w:t>周边环境产生影响</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t>环境风险防控</w:t>
                  </w:r>
                </w:p>
              </w:tc>
              <w:tc>
                <w:tcPr>
                  <w:tcW w:w="2752" w:type="pct"/>
                  <w:shd w:val="clear" w:color="auto" w:fill="auto"/>
                  <w:vAlign w:val="center"/>
                </w:tcPr>
                <w:p>
                  <w:pPr>
                    <w:pStyle w:val="35"/>
                  </w:pPr>
                  <w:r>
                    <w:rPr>
                      <w:rFonts w:hint="eastAsia"/>
                    </w:rPr>
                    <w:t>（1）建立以园区突发环境事件应急处置机构为核心，与地方政府和企事业单位应急处置机构联动的应息响应体系，加强应急物资装备储备，编制突发环境事件应急预案，定期开展演练。</w:t>
                  </w:r>
                </w:p>
                <w:p>
                  <w:pPr>
                    <w:pStyle w:val="35"/>
                  </w:pPr>
                  <w:r>
                    <w:rPr>
                      <w:rFonts w:hint="eastAsia"/>
                    </w:rPr>
                    <w:t>（2）生产、使用、储存危险化学品或其他存在环境风险的企事业单位，应当制定风险防范措施，编制突发环境事件应急预案，防止发生环境事故。</w:t>
                  </w:r>
                </w:p>
                <w:p>
                  <w:pPr>
                    <w:pStyle w:val="35"/>
                  </w:pPr>
                  <w:r>
                    <w:rPr>
                      <w:rFonts w:hint="eastAsia"/>
                    </w:rPr>
                    <w:t>（3）加强环境影响跟踪监测，建立健全各环境要素监控体系，完善并落实园区日常环境监测与污染源监控计划。</w:t>
                  </w:r>
                </w:p>
              </w:tc>
              <w:tc>
                <w:tcPr>
                  <w:tcW w:w="1675" w:type="pct"/>
                  <w:shd w:val="clear" w:color="auto" w:fill="auto"/>
                  <w:vAlign w:val="center"/>
                </w:tcPr>
                <w:p>
                  <w:pPr>
                    <w:pStyle w:val="35"/>
                  </w:pPr>
                  <w:r>
                    <w:rPr>
                      <w:rFonts w:hint="eastAsia"/>
                    </w:rPr>
                    <w:t>（1）后续将按要求进行应急预案的编制并进行定期演练。</w:t>
                  </w:r>
                </w:p>
                <w:p>
                  <w:pPr>
                    <w:pStyle w:val="35"/>
                  </w:pPr>
                  <w:r>
                    <w:rPr>
                      <w:rFonts w:hint="eastAsia"/>
                    </w:rPr>
                    <w:t>（2）企业</w:t>
                  </w:r>
                  <w:r>
                    <w:t>将</w:t>
                  </w:r>
                  <w:r>
                    <w:rPr>
                      <w:rFonts w:hint="eastAsia"/>
                    </w:rPr>
                    <w:t>按</w:t>
                  </w:r>
                  <w:r>
                    <w:t>要求</w:t>
                  </w:r>
                  <w:r>
                    <w:rPr>
                      <w:rFonts w:hint="eastAsia"/>
                    </w:rPr>
                    <w:t>制定风险防范措施，编制突发环境事件应急预案并备案。</w:t>
                  </w:r>
                </w:p>
                <w:p>
                  <w:pPr>
                    <w:pStyle w:val="35"/>
                    <w:rPr>
                      <w:highlight w:val="yellow"/>
                    </w:rPr>
                  </w:pPr>
                  <w:r>
                    <w:rPr>
                      <w:rFonts w:hint="eastAsia"/>
                    </w:rPr>
                    <w:t>（3）后续</w:t>
                  </w:r>
                  <w:r>
                    <w:t>将按要求定期进行环境监测。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shd w:val="clear" w:color="auto" w:fill="auto"/>
                  <w:vAlign w:val="center"/>
                </w:tcPr>
                <w:p>
                  <w:pPr>
                    <w:pStyle w:val="35"/>
                  </w:pPr>
                  <w:r>
                    <w:t>资源</w:t>
                  </w:r>
                  <w:r>
                    <w:rPr>
                      <w:rFonts w:hint="eastAsia"/>
                    </w:rPr>
                    <w:t>开发效率要求</w:t>
                  </w:r>
                </w:p>
              </w:tc>
              <w:tc>
                <w:tcPr>
                  <w:tcW w:w="2752" w:type="pct"/>
                  <w:shd w:val="clear" w:color="auto" w:fill="auto"/>
                  <w:vAlign w:val="center"/>
                </w:tcPr>
                <w:p>
                  <w:pPr>
                    <w:pStyle w:val="35"/>
                  </w:pPr>
                  <w:r>
                    <w:rPr>
                      <w:rFonts w:hint="eastAsia"/>
                    </w:rPr>
                    <w:t>（1）园区内企业清洁生产水平、单位工业增加值新鲜水耗和综合能耗应满足园区总体规划、规划环评及审查意见要求。</w:t>
                  </w:r>
                </w:p>
                <w:p>
                  <w:pPr>
                    <w:pStyle w:val="35"/>
                  </w:pPr>
                  <w:r>
                    <w:rPr>
                      <w:rFonts w:hint="eastAsia"/>
                    </w:rPr>
                    <w:t>（2）禁止销售使用燃料为“Ⅲ”（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1675" w:type="pct"/>
                  <w:shd w:val="clear" w:color="auto" w:fill="auto"/>
                  <w:vAlign w:val="center"/>
                </w:tcPr>
                <w:p>
                  <w:pPr>
                    <w:pStyle w:val="35"/>
                  </w:pPr>
                  <w:r>
                    <w:rPr>
                      <w:rFonts w:hint="eastAsia"/>
                    </w:rPr>
                    <w:t>（1）本项目优化能源结构，贯彻落实清洁生产制度，满足相应清洁生产水平。</w:t>
                  </w:r>
                </w:p>
                <w:p>
                  <w:pPr>
                    <w:pStyle w:val="35"/>
                  </w:pPr>
                  <w:r>
                    <w:rPr>
                      <w:rFonts w:hint="eastAsia"/>
                    </w:rPr>
                    <w:t>（2）本项目不涉及所列燃料。</w:t>
                  </w:r>
                </w:p>
              </w:tc>
            </w:tr>
          </w:tbl>
          <w:p>
            <w:pPr>
              <w:pStyle w:val="14"/>
            </w:pPr>
            <w:r>
              <w:t>3、产业政策的相符性</w:t>
            </w:r>
          </w:p>
          <w:p>
            <w:pPr>
              <w:pStyle w:val="29"/>
              <w:ind w:firstLine="480"/>
              <w:rPr>
                <w:shd w:val="clear" w:color="auto" w:fill="FFFFFF"/>
              </w:rPr>
            </w:pPr>
            <w:r>
              <w:rPr>
                <w:shd w:val="clear" w:color="auto" w:fill="FFFFFF"/>
              </w:rPr>
              <w:t>本项目为</w:t>
            </w:r>
            <w:r>
              <w:rPr>
                <w:rFonts w:hint="eastAsia"/>
                <w:szCs w:val="21"/>
              </w:rPr>
              <w:t>C</w:t>
            </w:r>
            <w:r>
              <w:rPr>
                <w:rFonts w:hint="eastAsia"/>
                <w:szCs w:val="21"/>
                <w:lang w:val="en-US" w:eastAsia="zh-CN"/>
              </w:rPr>
              <w:t>3589 其他医疗设备及器械制造</w:t>
            </w:r>
            <w:r>
              <w:rPr>
                <w:shd w:val="clear" w:color="auto" w:fill="FFFFFF"/>
              </w:rPr>
              <w:t>，不属于《产业结构调整指导目录（2019年</w:t>
            </w:r>
            <w:r>
              <w:rPr>
                <w:rFonts w:hint="eastAsia"/>
                <w:shd w:val="clear" w:color="auto" w:fill="FFFFFF"/>
              </w:rPr>
              <w:t>本</w:t>
            </w:r>
            <w:r>
              <w:rPr>
                <w:shd w:val="clear" w:color="auto" w:fill="FFFFFF"/>
              </w:rPr>
              <w:t>）》（</w:t>
            </w:r>
            <w:r>
              <w:rPr>
                <w:rFonts w:hint="eastAsia"/>
                <w:shd w:val="clear" w:color="auto" w:fill="FFFFFF"/>
              </w:rPr>
              <w:t>2021年修改</w:t>
            </w:r>
            <w:r>
              <w:rPr>
                <w:shd w:val="clear" w:color="auto" w:fill="FFFFFF"/>
              </w:rPr>
              <w:t>）限制类和淘汰类项目和苏州市人民政府发布的《苏州市当前限制和禁止发展产业导向目录》中规定的项目</w:t>
            </w:r>
            <w:r>
              <w:rPr>
                <w:rFonts w:hint="eastAsia"/>
                <w:shd w:val="clear" w:color="auto" w:fill="FFFFFF"/>
              </w:rPr>
              <w:t>。根据</w:t>
            </w:r>
            <w:r>
              <w:rPr>
                <w:shd w:val="clear" w:color="auto" w:fill="FFFFFF"/>
              </w:rPr>
              <w:t>《苏州市产业发展导向目录（2007年本）》（苏府[2007]129号）和《江苏省工业和信息产业结构调整指导目录（2012年）》及其2013修正版，本项目不属于其中限制和禁止建设的项目，故为允许类项目。本项目的建设符合国家及地方的产业政策。</w:t>
            </w:r>
          </w:p>
          <w:p>
            <w:pPr>
              <w:pStyle w:val="14"/>
            </w:pPr>
            <w:r>
              <w:t>4、与《太湖</w:t>
            </w:r>
            <w:r>
              <w:rPr>
                <w:rFonts w:hint="eastAsia"/>
              </w:rPr>
              <w:t>流域</w:t>
            </w:r>
            <w:r>
              <w:t>管理条例》、《江苏省太湖水污染防治条例》</w:t>
            </w:r>
            <w:r>
              <w:rPr>
                <w:rFonts w:hint="eastAsia"/>
              </w:rPr>
              <w:t>相符</w:t>
            </w:r>
            <w:r>
              <w:t>性</w:t>
            </w:r>
          </w:p>
          <w:p>
            <w:pPr>
              <w:pStyle w:val="29"/>
              <w:ind w:firstLine="480"/>
            </w:pPr>
            <w:r>
              <w:t>根据《太湖流域管理条例》（国务院第604号令）中第四章水污染防治第二十九条禁止下列行为：（一）新建、扩建化工、医药生产项目；（二）新建、扩建污水集中处理设施排污口以外的排污口；（三）扩大水产养殖规模。”第三十条禁止下列行为：“（一）设置剧毒物质、危险化学品的贮存、输送设施和废物回收场、垃圾场；（二）设置水上餐饮经营设施；（三）新建、扩建高尔夫球场；（四）新建、扩建畜禽养殖场；（五）新建、扩建向水体排放污染物的建设项目”</w:t>
            </w:r>
            <w:r>
              <w:rPr>
                <w:rFonts w:hint="eastAsia"/>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设置剧毒物质、危险化学品的贮存、输送设施和废物回收场、垃圾场；设置水上餐饮经营设施；新建、扩建高尔夫球场；新建、扩建畜禽养殖场；新建、扩建向水体排放污染物的建设项目；本条例第二十九条规定的行为。已经设置前款第一项、第二项规定设施的，当地县级人民政府应当责令拆除或者关闭。”</w:t>
            </w:r>
          </w:p>
          <w:p>
            <w:pPr>
              <w:pStyle w:val="29"/>
              <w:ind w:firstLine="480"/>
            </w:pPr>
            <w:r>
              <w:t>根据《江苏省太湖水污染防治条例》中规定，太湖湖体、沿湖岸五公里区域、入湖河道上溯十公里以及沿岸两侧各一公里范围为一级保护区</w:t>
            </w:r>
            <w:r>
              <w:rPr>
                <w:rFonts w:hint="eastAsia"/>
              </w:rPr>
              <w:t>。</w:t>
            </w:r>
            <w:r>
              <w:t>本项目距离太</w:t>
            </w:r>
            <w:r>
              <w:rPr>
                <w:color w:val="000000" w:themeColor="text1"/>
                <w14:textFill>
                  <w14:solidFill>
                    <w14:schemeClr w14:val="tx1"/>
                  </w14:solidFill>
                </w14:textFill>
              </w:rPr>
              <w:t>湖约</w:t>
            </w:r>
            <w:r>
              <w:rPr>
                <w:rFonts w:hint="eastAsia"/>
                <w:color w:val="000000" w:themeColor="text1"/>
                <w:lang w:val="en-US" w:eastAsia="zh-CN"/>
                <w14:textFill>
                  <w14:solidFill>
                    <w14:schemeClr w14:val="tx1"/>
                  </w14:solidFill>
                </w14:textFill>
              </w:rPr>
              <w:t>1.5</w:t>
            </w:r>
            <w:r>
              <w:rPr>
                <w:color w:val="000000" w:themeColor="text1"/>
                <w14:textFill>
                  <w14:solidFill>
                    <w14:schemeClr w14:val="tx1"/>
                  </w14:solidFill>
                </w14:textFill>
              </w:rPr>
              <w:t>km，</w:t>
            </w:r>
            <w:r>
              <w:t>本项目属于太湖流域</w:t>
            </w:r>
            <w:r>
              <w:rPr>
                <w:rFonts w:hint="eastAsia"/>
              </w:rPr>
              <w:t>一</w:t>
            </w:r>
            <w:r>
              <w:t>级保护区；本项目属于</w:t>
            </w:r>
            <w:r>
              <w:rPr>
                <w:rFonts w:hint="eastAsia"/>
                <w:szCs w:val="21"/>
              </w:rPr>
              <w:t>C</w:t>
            </w:r>
            <w:r>
              <w:rPr>
                <w:rFonts w:hint="eastAsia"/>
                <w:szCs w:val="21"/>
                <w:lang w:val="en-US" w:eastAsia="zh-CN"/>
              </w:rPr>
              <w:t>3589 其他医疗设备及器械制造</w:t>
            </w:r>
            <w:r>
              <w:t>，不属于上述禁止行为</w:t>
            </w:r>
            <w:r>
              <w:rPr>
                <w:rFonts w:hint="eastAsia"/>
              </w:rPr>
              <w:t>。</w:t>
            </w:r>
            <w:r>
              <w:t>因此，本项目的建设符合《太湖流域管理条例》（国务院第604号令）相关要求。</w:t>
            </w:r>
          </w:p>
          <w:p>
            <w:pPr>
              <w:pStyle w:val="29"/>
              <w:ind w:firstLine="480"/>
            </w:pPr>
            <w:r>
              <w:rPr>
                <w:rFonts w:hint="eastAsia"/>
              </w:rPr>
              <w:t>根据</w:t>
            </w:r>
            <w:r>
              <w:t>《江苏省太湖水污染防治条例》（</w:t>
            </w:r>
            <w:r>
              <w:rPr>
                <w:rFonts w:hint="eastAsia"/>
              </w:rPr>
              <w:t>2021年修正</w:t>
            </w:r>
            <w:r>
              <w:t>），第四十三条规定：太湖流域一、二、三级保护区禁止下列行为：“新建、改建、扩建化学制浆造纸、制革、酿造、染料、印染、电镀以及其他排放含磷、氮等污染物的企业和项目，城镇污水集中处理等环境基础设施项目和第四十六条规定的情形除外；销售、使用含磷洗涤用品；向水体排放或者倾倒油类、酸液、碱液、剧毒废渣废液、含放射性废渣废液、含病原体污水、工业废渣以及其他废弃物；在水体清洗装贮过油类或者有毒有害污染物的车辆、船舶和容器等；使用农药等有毒物毒杀水生生物；向水体直接排放人畜粪便、倾倒垃圾；围湖造地；违法开山采石，或者进行破坏林木、植被、水生生物的活动；法律、法规禁止的其他行为”。</w:t>
            </w:r>
          </w:p>
          <w:p>
            <w:pPr>
              <w:pStyle w:val="29"/>
              <w:ind w:firstLine="480"/>
            </w:pPr>
            <w:r>
              <w:t>第四十四条 除二级保护区规定的禁止行为以外，太湖流域一级保护区还禁止下列行为：</w:t>
            </w:r>
            <w:r>
              <w:rPr>
                <w:rFonts w:hint="eastAsia"/>
              </w:rPr>
              <w:t>“</w:t>
            </w:r>
            <w:r>
              <w:t>新建、扩建向水体排放污染物的建设项目；在国家和省规定</w:t>
            </w:r>
            <w:r>
              <w:rPr>
                <w:rFonts w:hint="eastAsia"/>
                <w:lang w:val="en-US" w:eastAsia="zh-CN"/>
              </w:rPr>
              <w:t xml:space="preserve"> </w:t>
            </w:r>
            <w:r>
              <w:t>的养殖范围外从事网围、网箱养殖，利用虾窝、地笼网、机械吸螺、底拖网进行捕捞作业；新建、扩建畜禽养殖场；新建、扩建高尔夫球场、水上游乐等开发项目；设置水上餐饮经营设施；律、法规禁止的其他可能污染水质的活动。除城镇污水集中处理设施依法设置的排污口外，一级保护区内已经设置的排法污口应当限期关闭。</w:t>
            </w:r>
            <w:r>
              <w:rPr>
                <w:rFonts w:hint="eastAsia"/>
              </w:rPr>
              <w:t>”</w:t>
            </w:r>
          </w:p>
          <w:p>
            <w:pPr>
              <w:pStyle w:val="29"/>
              <w:ind w:firstLine="480"/>
              <w:rPr>
                <w:b/>
                <w:bCs/>
              </w:rPr>
            </w:pPr>
            <w:r>
              <w:rPr>
                <w:shd w:val="clear" w:color="auto" w:fill="FFFFFF"/>
              </w:rPr>
              <w:t>本项目</w:t>
            </w:r>
            <w:r>
              <w:rPr>
                <w:rFonts w:hint="eastAsia"/>
                <w:shd w:val="clear" w:color="auto" w:fill="FFFFFF"/>
              </w:rPr>
              <w:t>从事</w:t>
            </w:r>
            <w:r>
              <w:rPr>
                <w:rFonts w:hint="eastAsia"/>
                <w:szCs w:val="21"/>
              </w:rPr>
              <w:t>C</w:t>
            </w:r>
            <w:r>
              <w:rPr>
                <w:rFonts w:hint="eastAsia"/>
                <w:szCs w:val="21"/>
                <w:lang w:val="en-US" w:eastAsia="zh-CN"/>
              </w:rPr>
              <w:t>3589其他医疗设备及器械制造</w:t>
            </w:r>
            <w:r>
              <w:rPr>
                <w:shd w:val="clear" w:color="auto" w:fill="FFFFFF"/>
              </w:rPr>
              <w:t>，</w:t>
            </w:r>
            <w:r>
              <w:rPr>
                <w:rFonts w:hint="eastAsia"/>
                <w:shd w:val="clear" w:color="auto" w:fill="FFFFFF"/>
              </w:rPr>
              <w:t>本项目生产过程中无含氮、磷的工业废水排放，</w:t>
            </w:r>
            <w:r>
              <w:t>生活污水</w:t>
            </w:r>
            <w:r>
              <w:rPr>
                <w:rFonts w:hint="eastAsia"/>
              </w:rPr>
              <w:t>经</w:t>
            </w:r>
            <w:r>
              <w:t>市政污水管网</w:t>
            </w:r>
            <w:r>
              <w:rPr>
                <w:rFonts w:hint="eastAsia"/>
              </w:rPr>
              <w:t>排入</w:t>
            </w:r>
            <w:r>
              <w:t>科技城水质净化厂集中处理后排入浒光运河</w:t>
            </w:r>
            <w:r>
              <w:rPr>
                <w:rFonts w:hint="eastAsia"/>
              </w:rPr>
              <w:t>，</w:t>
            </w:r>
            <w:r>
              <w:t>符合《江苏省太湖水污染防治条例》的环境管理要求。</w:t>
            </w:r>
          </w:p>
          <w:p>
            <w:pPr>
              <w:pStyle w:val="14"/>
            </w:pPr>
            <w:r>
              <w:t>5、与《2020年挥发性有机物治理攻坚方案》相符性分析</w:t>
            </w:r>
          </w:p>
          <w:p>
            <w:pPr>
              <w:pStyle w:val="29"/>
              <w:ind w:firstLine="480"/>
              <w:rPr>
                <w:b/>
                <w:bCs/>
              </w:rPr>
            </w:pPr>
            <w:r>
              <w:t>生态环境部于2020年6月通过了《</w:t>
            </w:r>
            <w:r>
              <w:rPr>
                <w:kern w:val="0"/>
                <w:lang w:bidi="ar"/>
              </w:rPr>
              <w:t>2020年挥发性有机物治理攻坚方案</w:t>
            </w:r>
            <w:r>
              <w:t>》，本项目与该文件的相符性分析见下表</w:t>
            </w:r>
            <w:r>
              <w:rPr>
                <w:rFonts w:hint="eastAsia"/>
              </w:rPr>
              <w:t>。</w:t>
            </w:r>
          </w:p>
          <w:p>
            <w:pPr>
              <w:spacing w:line="240" w:lineRule="auto"/>
              <w:jc w:val="center"/>
              <w:rPr>
                <w:b/>
              </w:rPr>
            </w:pPr>
            <w:r>
              <w:rPr>
                <w:b/>
              </w:rPr>
              <w:t>表1-6  与《2020年挥发性有机物治理攻坚方案》相符性分析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8"/>
              <w:gridCol w:w="5329"/>
              <w:gridCol w:w="1290"/>
              <w:gridCol w:w="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39"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sz w:val="21"/>
                      <w:szCs w:val="21"/>
                    </w:rPr>
                    <w:t>序号</w:t>
                  </w:r>
                </w:p>
              </w:tc>
              <w:tc>
                <w:tcPr>
                  <w:tcW w:w="3360"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sz w:val="21"/>
                      <w:szCs w:val="21"/>
                    </w:rPr>
                    <w:t>相关要求</w:t>
                  </w:r>
                </w:p>
              </w:tc>
              <w:tc>
                <w:tcPr>
                  <w:tcW w:w="814"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sz w:val="21"/>
                      <w:szCs w:val="21"/>
                    </w:rPr>
                    <w:t>项目情况</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sz w:val="21"/>
                      <w:szCs w:val="21"/>
                    </w:rPr>
                    <w:t>是否满足要求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339" w:type="pct"/>
                  <w:tcBorders>
                    <w:top w:val="single" w:color="auto" w:sz="2" w:space="0"/>
                    <w:left w:val="single" w:color="auto" w:sz="4" w:space="0"/>
                    <w:bottom w:val="single" w:color="auto" w:sz="2" w:space="0"/>
                    <w:right w:val="single" w:color="auto" w:sz="2" w:space="0"/>
                  </w:tcBorders>
                  <w:vAlign w:val="center"/>
                </w:tcPr>
                <w:p>
                  <w:pPr>
                    <w:spacing w:line="240" w:lineRule="auto"/>
                    <w:jc w:val="center"/>
                    <w:rPr>
                      <w:sz w:val="21"/>
                      <w:szCs w:val="21"/>
                    </w:rPr>
                  </w:pPr>
                  <w:r>
                    <w:rPr>
                      <w:sz w:val="21"/>
                      <w:szCs w:val="21"/>
                    </w:rPr>
                    <w:t>1</w:t>
                  </w:r>
                </w:p>
              </w:tc>
              <w:tc>
                <w:tcPr>
                  <w:tcW w:w="3360" w:type="pct"/>
                  <w:tcBorders>
                    <w:top w:val="single" w:color="auto" w:sz="2" w:space="0"/>
                    <w:left w:val="single" w:color="auto" w:sz="2" w:space="0"/>
                    <w:bottom w:val="single" w:color="auto" w:sz="2" w:space="0"/>
                    <w:right w:val="single" w:color="auto" w:sz="2" w:space="0"/>
                  </w:tcBorders>
                  <w:vAlign w:val="center"/>
                </w:tcPr>
                <w:p>
                  <w:pPr>
                    <w:widowControl/>
                    <w:spacing w:line="240" w:lineRule="auto"/>
                    <w:jc w:val="left"/>
                    <w:rPr>
                      <w:sz w:val="21"/>
                      <w:szCs w:val="21"/>
                    </w:rPr>
                  </w:pPr>
                  <w:r>
                    <w:rPr>
                      <w:kern w:val="0"/>
                      <w:sz w:val="21"/>
                      <w:szCs w:val="21"/>
                      <w:lang w:bidi="ar"/>
                    </w:rPr>
                    <w:t>大力推进源头替代，有效减少VOCs产生：严格落实国家和地方产品VOCs含量限值标准。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使用的原辅材料VOCs含量（质量比）均低于10%的工序，可不要求采取无组织排放收集和处理措施。</w:t>
                  </w:r>
                </w:p>
              </w:tc>
              <w:tc>
                <w:tcPr>
                  <w:tcW w:w="814" w:type="pct"/>
                  <w:tcBorders>
                    <w:top w:val="single" w:color="auto" w:sz="2" w:space="0"/>
                    <w:left w:val="single" w:color="auto" w:sz="2" w:space="0"/>
                    <w:bottom w:val="single" w:color="auto" w:sz="2" w:space="0"/>
                    <w:right w:val="single" w:color="auto" w:sz="2" w:space="0"/>
                  </w:tcBorders>
                  <w:vAlign w:val="center"/>
                </w:tcPr>
                <w:p>
                  <w:pPr>
                    <w:widowControl/>
                    <w:spacing w:line="240" w:lineRule="auto"/>
                    <w:jc w:val="left"/>
                    <w:rPr>
                      <w:sz w:val="21"/>
                      <w:szCs w:val="21"/>
                    </w:rPr>
                  </w:pPr>
                  <w:r>
                    <w:rPr>
                      <w:sz w:val="21"/>
                      <w:szCs w:val="21"/>
                    </w:rPr>
                    <w:t>本项目</w:t>
                  </w:r>
                  <w:r>
                    <w:rPr>
                      <w:kern w:val="0"/>
                      <w:sz w:val="21"/>
                      <w:szCs w:val="21"/>
                      <w:lang w:bidi="ar"/>
                    </w:rPr>
                    <w:t>使用符合国家要求的低VOCs含量原辅材料，并建立原辅材料台账</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39" w:type="pct"/>
                  <w:tcBorders>
                    <w:top w:val="single" w:color="auto" w:sz="2" w:space="0"/>
                    <w:left w:val="single" w:color="auto" w:sz="4" w:space="0"/>
                    <w:bottom w:val="single" w:color="auto" w:sz="2" w:space="0"/>
                    <w:right w:val="single" w:color="auto" w:sz="2" w:space="0"/>
                  </w:tcBorders>
                  <w:vAlign w:val="center"/>
                </w:tcPr>
                <w:p>
                  <w:pPr>
                    <w:spacing w:line="240" w:lineRule="auto"/>
                    <w:jc w:val="center"/>
                    <w:rPr>
                      <w:sz w:val="21"/>
                      <w:szCs w:val="21"/>
                    </w:rPr>
                  </w:pPr>
                  <w:r>
                    <w:rPr>
                      <w:sz w:val="21"/>
                      <w:szCs w:val="21"/>
                    </w:rPr>
                    <w:t>2</w:t>
                  </w:r>
                </w:p>
              </w:tc>
              <w:tc>
                <w:tcPr>
                  <w:tcW w:w="3360" w:type="pct"/>
                  <w:tcBorders>
                    <w:top w:val="single" w:color="auto" w:sz="2" w:space="0"/>
                    <w:left w:val="single" w:color="auto" w:sz="2" w:space="0"/>
                    <w:bottom w:val="single" w:color="auto" w:sz="2" w:space="0"/>
                    <w:right w:val="single" w:color="auto" w:sz="2" w:space="0"/>
                  </w:tcBorders>
                  <w:vAlign w:val="center"/>
                </w:tcPr>
                <w:p>
                  <w:pPr>
                    <w:widowControl/>
                    <w:spacing w:line="240" w:lineRule="auto"/>
                    <w:jc w:val="left"/>
                    <w:rPr>
                      <w:sz w:val="21"/>
                      <w:szCs w:val="21"/>
                    </w:rPr>
                  </w:pPr>
                  <w:r>
                    <w:rPr>
                      <w:kern w:val="0"/>
                      <w:sz w:val="21"/>
                      <w:szCs w:val="21"/>
                      <w:lang w:bidi="ar"/>
                    </w:rPr>
                    <w:t>全面落实标准要求，强化无组织排放控制：督促、指导企业落实《挥发性有机物无组织排放控制标准》，开展含VOCs无组织排放排查整治，加强含VOCs物料全方位、全链条、全环节无组织排放控制。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tc>
              <w:tc>
                <w:tcPr>
                  <w:tcW w:w="814"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eastAsia" w:eastAsia="宋体"/>
                      <w:sz w:val="21"/>
                      <w:szCs w:val="21"/>
                      <w:lang w:eastAsia="zh-CN"/>
                    </w:rPr>
                  </w:pPr>
                  <w:r>
                    <w:rPr>
                      <w:color w:val="000000" w:themeColor="text1"/>
                      <w:sz w:val="21"/>
                      <w:szCs w:val="21"/>
                      <w14:textFill>
                        <w14:solidFill>
                          <w14:schemeClr w14:val="tx1"/>
                        </w14:solidFill>
                      </w14:textFill>
                    </w:rPr>
                    <w:t>本项目</w:t>
                  </w:r>
                  <w:r>
                    <w:rPr>
                      <w:rFonts w:hint="eastAsia"/>
                      <w:color w:val="000000" w:themeColor="text1"/>
                      <w:sz w:val="21"/>
                      <w:szCs w:val="21"/>
                      <w:lang w:eastAsia="zh-CN"/>
                      <w14:textFill>
                        <w14:solidFill>
                          <w14:schemeClr w14:val="tx1"/>
                        </w14:solidFill>
                      </w14:textFill>
                    </w:rPr>
                    <w:t>酒精</w:t>
                  </w:r>
                  <w:r>
                    <w:rPr>
                      <w:rFonts w:hint="eastAsia"/>
                      <w:color w:val="000000" w:themeColor="text1"/>
                      <w:sz w:val="21"/>
                      <w:szCs w:val="21"/>
                      <w14:textFill>
                        <w14:solidFill>
                          <w14:schemeClr w14:val="tx1"/>
                        </w14:solidFill>
                      </w14:textFill>
                    </w:rPr>
                    <w:t>由供应商定期配送，</w:t>
                  </w:r>
                  <w:r>
                    <w:rPr>
                      <w:rFonts w:hint="eastAsia"/>
                      <w:color w:val="000000" w:themeColor="text1"/>
                      <w:kern w:val="0"/>
                      <w:sz w:val="21"/>
                      <w:szCs w:val="21"/>
                      <w:lang w:bidi="ar"/>
                      <w14:textFill>
                        <w14:solidFill>
                          <w14:schemeClr w14:val="tx1"/>
                        </w14:solidFill>
                      </w14:textFill>
                    </w:rPr>
                    <w:t>生产过程中产生的</w:t>
                  </w:r>
                  <w:r>
                    <w:rPr>
                      <w:color w:val="000000" w:themeColor="text1"/>
                      <w:kern w:val="0"/>
                      <w:sz w:val="21"/>
                      <w:szCs w:val="21"/>
                      <w:lang w:bidi="ar"/>
                      <w14:textFill>
                        <w14:solidFill>
                          <w14:schemeClr w14:val="tx1"/>
                        </w14:solidFill>
                      </w14:textFill>
                    </w:rPr>
                    <w:t>有机废气</w:t>
                  </w:r>
                  <w:r>
                    <w:rPr>
                      <w:rFonts w:hint="eastAsia"/>
                      <w:color w:val="000000" w:themeColor="text1"/>
                      <w:kern w:val="0"/>
                      <w:sz w:val="21"/>
                      <w:szCs w:val="21"/>
                      <w:lang w:eastAsia="zh-CN" w:bidi="ar"/>
                      <w14:textFill>
                        <w14:solidFill>
                          <w14:schemeClr w14:val="tx1"/>
                        </w14:solidFill>
                      </w14:textFill>
                    </w:rPr>
                    <w:t>经收集后</w:t>
                  </w:r>
                  <w:r>
                    <w:rPr>
                      <w:kern w:val="0"/>
                      <w:sz w:val="21"/>
                      <w:szCs w:val="21"/>
                      <w:lang w:bidi="ar"/>
                    </w:rPr>
                    <w:t>通过15m排气筒DA001排放</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5" w:hRule="atLeast"/>
                <w:jc w:val="center"/>
              </w:trPr>
              <w:tc>
                <w:tcPr>
                  <w:tcW w:w="339" w:type="pct"/>
                  <w:tcBorders>
                    <w:top w:val="single" w:color="auto" w:sz="2" w:space="0"/>
                    <w:left w:val="single" w:color="auto" w:sz="4" w:space="0"/>
                    <w:bottom w:val="single" w:color="auto" w:sz="4" w:space="0"/>
                    <w:right w:val="single" w:color="auto" w:sz="2" w:space="0"/>
                  </w:tcBorders>
                  <w:vAlign w:val="center"/>
                </w:tcPr>
                <w:p>
                  <w:pPr>
                    <w:spacing w:line="240" w:lineRule="auto"/>
                    <w:jc w:val="center"/>
                    <w:rPr>
                      <w:sz w:val="21"/>
                      <w:szCs w:val="21"/>
                    </w:rPr>
                  </w:pPr>
                  <w:r>
                    <w:rPr>
                      <w:sz w:val="21"/>
                      <w:szCs w:val="21"/>
                    </w:rPr>
                    <w:t>3</w:t>
                  </w:r>
                </w:p>
              </w:tc>
              <w:tc>
                <w:tcPr>
                  <w:tcW w:w="3360" w:type="pct"/>
                  <w:tcBorders>
                    <w:top w:val="single" w:color="auto" w:sz="2" w:space="0"/>
                    <w:left w:val="single" w:color="auto" w:sz="2" w:space="0"/>
                    <w:bottom w:val="single" w:color="auto" w:sz="4" w:space="0"/>
                    <w:right w:val="single" w:color="auto" w:sz="2" w:space="0"/>
                  </w:tcBorders>
                  <w:vAlign w:val="center"/>
                </w:tcPr>
                <w:p>
                  <w:pPr>
                    <w:widowControl/>
                    <w:spacing w:line="240" w:lineRule="auto"/>
                    <w:jc w:val="left"/>
                    <w:rPr>
                      <w:sz w:val="21"/>
                      <w:szCs w:val="21"/>
                    </w:rPr>
                  </w:pPr>
                  <w:r>
                    <w:rPr>
                      <w:kern w:val="0"/>
                      <w:sz w:val="21"/>
                      <w:szCs w:val="21"/>
                      <w:lang w:bidi="ar"/>
                    </w:rPr>
                    <w:t>聚焦治污设施“三率”，提升综合治理效率：组织企业开展现有VOCs治理设施全面评估废气收集率、治理设施同步运行率和去除率。按照“应收尽收”原则提升废气收集率，按照与生产设备“同启同停”原则提升治理设施运行率，按照“适宜高效”原则提高治理设施去除率。</w:t>
                  </w:r>
                </w:p>
                <w:p>
                  <w:pPr>
                    <w:widowControl/>
                    <w:spacing w:line="240" w:lineRule="auto"/>
                    <w:jc w:val="left"/>
                    <w:rPr>
                      <w:sz w:val="21"/>
                      <w:szCs w:val="21"/>
                    </w:rPr>
                  </w:pPr>
                  <w:r>
                    <w:rPr>
                      <w:kern w:val="0"/>
                      <w:sz w:val="21"/>
                      <w:szCs w:val="21"/>
                      <w:lang w:bidi="ar"/>
                    </w:rPr>
                    <w:t>采用活性炭吸附技术的，应选择碘值不低于800毫克/克的活性炭，并按设计要求足量添加、及时更换；各地要督促行政区域内采用一次性活性炭吸附技术的企业按期更换活性炭，对于长期未进行更换的，于7月底前全部更换一次，并将废旧活性炭交有资质的单位处理处置，记录更换时间和使用量。</w:t>
                  </w:r>
                </w:p>
              </w:tc>
              <w:tc>
                <w:tcPr>
                  <w:tcW w:w="814" w:type="pct"/>
                  <w:tcBorders>
                    <w:top w:val="single" w:color="auto" w:sz="2" w:space="0"/>
                    <w:left w:val="single" w:color="auto" w:sz="2" w:space="0"/>
                    <w:bottom w:val="single" w:color="auto" w:sz="4" w:space="0"/>
                    <w:right w:val="single" w:color="auto" w:sz="2" w:space="0"/>
                  </w:tcBorders>
                  <w:vAlign w:val="center"/>
                </w:tcPr>
                <w:p>
                  <w:pPr>
                    <w:spacing w:line="240" w:lineRule="auto"/>
                    <w:jc w:val="center"/>
                    <w:rPr>
                      <w:rFonts w:hint="eastAsia" w:eastAsia="宋体"/>
                      <w:sz w:val="21"/>
                      <w:szCs w:val="21"/>
                      <w:lang w:eastAsia="zh-CN"/>
                    </w:rPr>
                  </w:pPr>
                  <w:r>
                    <w:rPr>
                      <w:sz w:val="21"/>
                      <w:szCs w:val="21"/>
                    </w:rPr>
                    <w:t>本项目废气收集率90%，</w:t>
                  </w:r>
                  <w:r>
                    <w:rPr>
                      <w:rFonts w:hint="eastAsia"/>
                      <w:sz w:val="21"/>
                      <w:szCs w:val="21"/>
                    </w:rPr>
                    <w:t>二级活性炭装置使用蜂窝状活性炭，碘值不低于800mg/g，</w:t>
                  </w:r>
                  <w:r>
                    <w:rPr>
                      <w:sz w:val="21"/>
                      <w:szCs w:val="21"/>
                    </w:rPr>
                    <w:t>按期更换活性炭</w:t>
                  </w:r>
                </w:p>
              </w:tc>
              <w:tc>
                <w:tcPr>
                  <w:tcW w:w="485" w:type="pct"/>
                  <w:tcBorders>
                    <w:top w:val="single" w:color="auto" w:sz="2" w:space="0"/>
                    <w:left w:val="single" w:color="auto" w:sz="2" w:space="0"/>
                    <w:bottom w:val="single" w:color="auto" w:sz="4" w:space="0"/>
                    <w:right w:val="single" w:color="auto" w:sz="2" w:space="0"/>
                  </w:tcBorders>
                  <w:vAlign w:val="center"/>
                </w:tcPr>
                <w:p>
                  <w:pPr>
                    <w:spacing w:line="240" w:lineRule="auto"/>
                    <w:jc w:val="center"/>
                    <w:rPr>
                      <w:sz w:val="21"/>
                      <w:szCs w:val="21"/>
                    </w:rPr>
                  </w:pPr>
                  <w:r>
                    <w:rPr>
                      <w:sz w:val="21"/>
                      <w:szCs w:val="21"/>
                    </w:rPr>
                    <w:t>是</w:t>
                  </w:r>
                </w:p>
              </w:tc>
            </w:tr>
          </w:tbl>
          <w:p>
            <w:pPr>
              <w:pStyle w:val="29"/>
              <w:ind w:firstLine="480"/>
              <w:rPr>
                <w:color w:val="auto"/>
              </w:rPr>
            </w:pPr>
            <w:r>
              <w:rPr>
                <w:color w:val="auto"/>
                <w:shd w:val="clear" w:color="auto" w:fill="FFFFFF"/>
              </w:rPr>
              <w:t>本项目</w:t>
            </w:r>
            <w:r>
              <w:rPr>
                <w:rFonts w:hint="eastAsia"/>
                <w:color w:val="auto"/>
                <w:shd w:val="clear" w:color="auto" w:fill="FFFFFF"/>
              </w:rPr>
              <w:t>从事</w:t>
            </w:r>
            <w:r>
              <w:rPr>
                <w:rFonts w:hint="eastAsia"/>
                <w:color w:val="auto"/>
                <w:szCs w:val="21"/>
              </w:rPr>
              <w:t>C</w:t>
            </w:r>
            <w:r>
              <w:rPr>
                <w:rFonts w:hint="eastAsia"/>
                <w:color w:val="auto"/>
                <w:szCs w:val="21"/>
                <w:lang w:val="en-US" w:eastAsia="zh-CN"/>
              </w:rPr>
              <w:t>3589 其他医疗设备及器械制造</w:t>
            </w:r>
            <w:r>
              <w:rPr>
                <w:color w:val="auto"/>
                <w:shd w:val="clear" w:color="auto" w:fill="FFFFFF"/>
              </w:rPr>
              <w:t>，不属于重点行业</w:t>
            </w:r>
            <w:r>
              <w:rPr>
                <w:rFonts w:hint="eastAsia"/>
                <w:color w:val="auto"/>
                <w:shd w:val="clear" w:color="auto" w:fill="FFFFFF"/>
              </w:rPr>
              <w:t>。</w:t>
            </w:r>
            <w:r>
              <w:rPr>
                <w:color w:val="auto"/>
                <w:shd w:val="clear" w:color="auto" w:fill="FFFFFF"/>
              </w:rPr>
              <w:t>本项目采取设备密闭，加强废气收集处理措施减少VOCs排放，</w:t>
            </w:r>
            <w:r>
              <w:rPr>
                <w:color w:val="auto"/>
              </w:rPr>
              <w:t>本项目</w:t>
            </w:r>
            <w:r>
              <w:rPr>
                <w:rFonts w:hint="eastAsia"/>
                <w:color w:val="auto"/>
              </w:rPr>
              <w:t>生产</w:t>
            </w:r>
            <w:r>
              <w:rPr>
                <w:color w:val="auto"/>
              </w:rPr>
              <w:t>过程中产生的废气收集后经</w:t>
            </w:r>
            <w:r>
              <w:rPr>
                <w:rFonts w:hint="eastAsia"/>
                <w:color w:val="auto"/>
              </w:rPr>
              <w:t>二级活性炭装置</w:t>
            </w:r>
            <w:r>
              <w:rPr>
                <w:color w:val="auto"/>
              </w:rPr>
              <w:t>处理后通过15m排气筒DA001排放。因此，与《</w:t>
            </w:r>
            <w:r>
              <w:rPr>
                <w:color w:val="auto"/>
                <w:kern w:val="0"/>
                <w:lang w:bidi="ar"/>
              </w:rPr>
              <w:t>2020年挥发性有机物治理攻坚方案</w:t>
            </w:r>
            <w:r>
              <w:rPr>
                <w:color w:val="auto"/>
              </w:rPr>
              <w:t>》相符。</w:t>
            </w:r>
          </w:p>
          <w:p>
            <w:pPr>
              <w:snapToGrid w:val="0"/>
              <w:jc w:val="left"/>
              <w:rPr>
                <w:b/>
                <w:bCs/>
              </w:rPr>
            </w:pPr>
            <w:r>
              <w:rPr>
                <w:b/>
                <w:bCs/>
              </w:rPr>
              <w:t>6、</w:t>
            </w:r>
            <w:r>
              <w:rPr>
                <w:rFonts w:hint="eastAsia"/>
                <w:b/>
                <w:bCs/>
              </w:rPr>
              <w:t>与</w:t>
            </w:r>
            <w:r>
              <w:rPr>
                <w:b/>
                <w:bCs/>
              </w:rPr>
              <w:t>关于印发《江苏省重点行业挥发性有机物污染控制指南》（苏环办（2014）128号）</w:t>
            </w:r>
            <w:r>
              <w:rPr>
                <w:rFonts w:hint="eastAsia"/>
                <w:b/>
                <w:bCs/>
              </w:rPr>
              <w:t>相符性分析</w:t>
            </w:r>
          </w:p>
          <w:p>
            <w:pPr>
              <w:pStyle w:val="29"/>
              <w:ind w:firstLine="480"/>
            </w:pPr>
            <w:r>
              <w:rPr>
                <w:rFonts w:hint="eastAsia"/>
              </w:rPr>
              <w:t>文件中要求：“</w:t>
            </w:r>
            <w:r>
              <w:t>所有产生有机废气污染的企业，应优先采用环保型原辅料、生产工艺和装备，对相应生产单元或设施进行密闭，从源头控制VOCs的产生，減少废气污染物排放。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r>
              <w:rPr>
                <w:rFonts w:hint="eastAsia"/>
              </w:rPr>
              <w:t>”</w:t>
            </w:r>
          </w:p>
          <w:p>
            <w:pPr>
              <w:pStyle w:val="29"/>
              <w:ind w:firstLine="480"/>
              <w:rPr>
                <w:b/>
                <w:bCs/>
                <w:color w:val="auto"/>
              </w:rPr>
            </w:pPr>
            <w:r>
              <w:rPr>
                <w:shd w:val="clear" w:color="auto" w:fill="FFFFFF"/>
              </w:rPr>
              <w:t>本项目为</w:t>
            </w:r>
            <w:r>
              <w:rPr>
                <w:rFonts w:hint="eastAsia"/>
                <w:szCs w:val="21"/>
              </w:rPr>
              <w:t>C</w:t>
            </w:r>
            <w:r>
              <w:rPr>
                <w:rFonts w:hint="eastAsia"/>
                <w:szCs w:val="21"/>
                <w:lang w:val="en-US" w:eastAsia="zh-CN"/>
              </w:rPr>
              <w:t>3589 其他医疗设备及器械制造</w:t>
            </w:r>
            <w:r>
              <w:rPr>
                <w:shd w:val="clear" w:color="auto" w:fill="FFFFFF"/>
              </w:rPr>
              <w:t>，不属于重点行业，</w:t>
            </w:r>
            <w:r>
              <w:t>本项目</w:t>
            </w:r>
            <w:r>
              <w:rPr>
                <w:rFonts w:hint="eastAsia"/>
              </w:rPr>
              <w:t>生产</w:t>
            </w:r>
            <w:r>
              <w:t>过程中产生</w:t>
            </w:r>
            <w:r>
              <w:rPr>
                <w:color w:val="auto"/>
              </w:rPr>
              <w:t>的废气收集后经</w:t>
            </w:r>
            <w:r>
              <w:rPr>
                <w:rFonts w:hint="eastAsia"/>
                <w:color w:val="auto"/>
              </w:rPr>
              <w:t>二级活性炭装置</w:t>
            </w:r>
            <w:r>
              <w:rPr>
                <w:color w:val="auto"/>
              </w:rPr>
              <w:t>处理后通过15m排气筒DA001排放。本项目废气处理装置收集效率≥90%，处理效率≥90%，与文件要求相符。</w:t>
            </w:r>
          </w:p>
          <w:p>
            <w:pPr>
              <w:rPr>
                <w:b/>
                <w:bCs/>
              </w:rPr>
            </w:pPr>
            <w:r>
              <w:rPr>
                <w:b/>
                <w:bCs/>
                <w:color w:val="auto"/>
              </w:rPr>
              <w:t>7、</w:t>
            </w:r>
            <w:r>
              <w:rPr>
                <w:rFonts w:hint="eastAsia"/>
                <w:b/>
                <w:bCs/>
                <w:color w:val="auto"/>
              </w:rPr>
              <w:t>与</w:t>
            </w:r>
            <w:r>
              <w:rPr>
                <w:b/>
                <w:bCs/>
                <w:color w:val="auto"/>
              </w:rPr>
              <w:t>《挥发性有机</w:t>
            </w:r>
            <w:r>
              <w:rPr>
                <w:b/>
                <w:bCs/>
              </w:rPr>
              <w:t>物无组织排放控制标准》（GB37822-2019）</w:t>
            </w:r>
            <w:r>
              <w:rPr>
                <w:rFonts w:hint="eastAsia"/>
                <w:b/>
                <w:bCs/>
              </w:rPr>
              <w:t>相符性分析</w:t>
            </w:r>
          </w:p>
          <w:p>
            <w:pPr>
              <w:pStyle w:val="29"/>
              <w:ind w:firstLine="480"/>
            </w:pPr>
            <w:r>
              <w:t>根据《</w:t>
            </w:r>
            <w:r>
              <w:rPr>
                <w:rFonts w:hint="eastAsia"/>
              </w:rPr>
              <w:t>挥发性有机物无组织排放控制标准</w:t>
            </w:r>
            <w:r>
              <w:t>》</w:t>
            </w:r>
            <w:r>
              <w:rPr>
                <w:rFonts w:hint="eastAsia"/>
              </w:rPr>
              <w:t>（GB37822-2019），本项目相符性情况见下表。</w:t>
            </w:r>
          </w:p>
          <w:p>
            <w:pPr>
              <w:spacing w:line="240" w:lineRule="auto"/>
              <w:jc w:val="center"/>
              <w:rPr>
                <w:b/>
              </w:rPr>
            </w:pPr>
            <w:r>
              <w:rPr>
                <w:b/>
              </w:rPr>
              <w:t>表1-7  与</w:t>
            </w:r>
            <w:r>
              <w:rPr>
                <w:rFonts w:hint="eastAsia"/>
                <w:b/>
              </w:rPr>
              <w:t>《挥发性有机物无组织排放控制标准》</w:t>
            </w:r>
            <w:r>
              <w:rPr>
                <w:b/>
              </w:rPr>
              <w:t>相符性分析</w:t>
            </w:r>
          </w:p>
          <w:tbl>
            <w:tblPr>
              <w:tblStyle w:val="1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9"/>
              <w:gridCol w:w="4887"/>
              <w:gridCol w:w="1731"/>
              <w:gridCol w:w="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sz w:val="21"/>
                      <w:szCs w:val="21"/>
                    </w:rPr>
                    <w:t>序号</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文件</w:t>
                  </w:r>
                  <w:r>
                    <w:rPr>
                      <w:sz w:val="21"/>
                      <w:szCs w:val="21"/>
                    </w:rPr>
                    <w:t>相关要求</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本</w:t>
                  </w:r>
                  <w:r>
                    <w:rPr>
                      <w:sz w:val="21"/>
                      <w:szCs w:val="21"/>
                    </w:rPr>
                    <w:t>项目情况</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1</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VOCs物料储存无组织排放控制要求：（1）VOCs物料应储存于密闭的容器、包装（2）盛装VOCs物料的容器或包装袋应存放于室内，或存放于设置有雨棚、遮阳和防渗设施的专用场地。盛装VOCs物料的容器或包装袋非取用状态时，应加盖、封口，保持密闭。</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本项目含VOCs物料在密闭容器内盛放，均存放于室内，盛装VOCs物料的容器保持密闭。</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2</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VOCs物料转移和输送无组织排放控制要求：（1）液态VOCs 物料应采用密闭管道输送。采用非管道输送方式转移液态VOCs物料时，应采用密闭容器、罐车。（2）粉状、粒状VOCs物料应采用气力输送设备、管状带式输送机、螺旋输送机等密闭输送方式，或者采用密闭的包装袋、容器或罐车进行物料转移。</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液态VOC</w:t>
                  </w:r>
                  <w:r>
                    <w:rPr>
                      <w:color w:val="auto"/>
                      <w:sz w:val="21"/>
                      <w:szCs w:val="21"/>
                    </w:rPr>
                    <w:t>s</w:t>
                  </w:r>
                  <w:r>
                    <w:rPr>
                      <w:rFonts w:hint="eastAsia"/>
                      <w:color w:val="auto"/>
                      <w:sz w:val="21"/>
                      <w:szCs w:val="21"/>
                    </w:rPr>
                    <w:t>物料转移时由原密闭包装直接转移</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3</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含VOCs产品的使用过程VOCs无组织排放控制要求：VOCs质量占比大于等于10%的含VOCs产品，其使用过程应采用密闭设备或在密闭空间内操作，废气应排至VOCs废气收集处理系统；无法密闭的，应采取局部气体收集措施，废气应排至VOCs废气收集处理系统。</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本项目有机废气采用管道/集气罩收集后通过活性炭吸附装置处理</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4</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工艺过程VOCs无组织排放控制其他要求：（1）企业应建立台账，记录含VOCs原辅材料和含VOCs产品的名称、使用量、回收量、废弃量、去向以及VOCs含量等信息。台账保存期限不少于3年。</w:t>
                  </w:r>
                </w:p>
                <w:p>
                  <w:pPr>
                    <w:spacing w:line="240" w:lineRule="auto"/>
                    <w:jc w:val="center"/>
                    <w:rPr>
                      <w:sz w:val="21"/>
                      <w:szCs w:val="21"/>
                    </w:rPr>
                  </w:pPr>
                  <w:r>
                    <w:rPr>
                      <w:rFonts w:hint="eastAsia"/>
                      <w:sz w:val="21"/>
                      <w:szCs w:val="21"/>
                    </w:rPr>
                    <w:t>（2）通风生产设备、操作工位、车间厂房等应在符合安全生产、职业卫生相关规定的前提下，根据行业作业规程与标准、工业建筑及洁净厂房通风设计规范等的要求，采用合理的通风量。</w:t>
                  </w:r>
                </w:p>
                <w:p>
                  <w:pPr>
                    <w:spacing w:line="240" w:lineRule="auto"/>
                    <w:jc w:val="center"/>
                    <w:rPr>
                      <w:sz w:val="21"/>
                      <w:szCs w:val="21"/>
                    </w:rPr>
                  </w:pPr>
                  <w:r>
                    <w:rPr>
                      <w:rFonts w:hint="eastAsia"/>
                      <w:sz w:val="21"/>
                      <w:szCs w:val="21"/>
                    </w:rPr>
                    <w:t>（3）载有VOCs物料的设备及其管道在开停工（车）、检维修和清洗时，应在退料阶段将残存物料退净，并用密闭容器盛装，退料过程废气应排至VOC废气收集处理系统；清洗及吹扫过程排气应排至VOCs废气收集处理系统。</w:t>
                  </w:r>
                </w:p>
                <w:p>
                  <w:pPr>
                    <w:spacing w:line="240" w:lineRule="auto"/>
                    <w:jc w:val="center"/>
                    <w:rPr>
                      <w:sz w:val="21"/>
                      <w:szCs w:val="21"/>
                    </w:rPr>
                  </w:pPr>
                  <w:r>
                    <w:rPr>
                      <w:rFonts w:hint="eastAsia"/>
                      <w:sz w:val="21"/>
                      <w:szCs w:val="21"/>
                    </w:rPr>
                    <w:t>（4）工艺过程产生的含VOCs废料（渣、液）应按照要求进行储存、转移和输送。盛装过VOCs物料的废包装容器应加盖密闭。</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建设单位建立台账，记录相关信息，保存期限不少于3年。本项目清洗产生的有机废气经集气罩收集后排入活性炭吸附装置处理，含V</w:t>
                  </w:r>
                  <w:r>
                    <w:rPr>
                      <w:color w:val="auto"/>
                      <w:sz w:val="21"/>
                      <w:szCs w:val="21"/>
                    </w:rPr>
                    <w:t>OCs</w:t>
                  </w:r>
                  <w:r>
                    <w:rPr>
                      <w:rFonts w:hint="eastAsia"/>
                      <w:color w:val="auto"/>
                      <w:sz w:val="21"/>
                      <w:szCs w:val="21"/>
                    </w:rPr>
                    <w:t>物料密闭容器盛装。本项目含VOCs废料密闭盛放，按要求储存、转移和输送。盛装过VOCs物料的废包装容器加盖密闭。</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5</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VOCs无组织排放废气收集处理系统要求：（1）VOCs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2）废气收集系统排风罩（集气罩）的设置应符合GB/T16758 的规定。采用外部排风罩的，应按GB/T16758、AQ/T 4274-2016规定的方法测量控制风速，测量点应选取在距排风罩开口面最远处的VOCs无组织排放位置，控制风速不应低于0.3 m/s。（3）对于重点地区，收集的废气中NMHC初始排放速率≥2 kg/h时，应配置VOCs处理设施，处理效率不应低于80%。（4）排气筒高度不低于15 m。（5）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企业VOCs 废气收集处理系统应与生产工艺设备同步运行。企业集气罩按要求设置，控制风速不低于0.3 m/s。企业活性炭吸附装置处理效率为9</w:t>
                  </w:r>
                  <w:r>
                    <w:rPr>
                      <w:color w:val="auto"/>
                      <w:sz w:val="21"/>
                      <w:szCs w:val="21"/>
                    </w:rPr>
                    <w:t>0%</w:t>
                  </w:r>
                  <w:r>
                    <w:rPr>
                      <w:rFonts w:hint="eastAsia"/>
                      <w:color w:val="auto"/>
                      <w:sz w:val="21"/>
                      <w:szCs w:val="21"/>
                    </w:rPr>
                    <w:t>，排气筒高度为1</w:t>
                  </w:r>
                  <w:r>
                    <w:rPr>
                      <w:color w:val="auto"/>
                      <w:sz w:val="21"/>
                      <w:szCs w:val="21"/>
                    </w:rPr>
                    <w:t>5m</w:t>
                  </w:r>
                  <w:r>
                    <w:rPr>
                      <w:rFonts w:hint="eastAsia"/>
                      <w:color w:val="auto"/>
                      <w:sz w:val="21"/>
                      <w:szCs w:val="21"/>
                    </w:rPr>
                    <w:t>。建设单位建立台账，记录废气收集系统、VOCs处理设施的主要运行和维护信息，台账保存期限不少于3年。</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340" w:type="pct"/>
                  <w:tcBorders>
                    <w:top w:val="single" w:color="auto" w:sz="2" w:space="0"/>
                    <w:left w:val="single" w:color="auto" w:sz="0"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6</w:t>
                  </w:r>
                </w:p>
              </w:tc>
              <w:tc>
                <w:tcPr>
                  <w:tcW w:w="3083"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污染物监测要求：企业应按照有关法律、《环境监测管理办法》和HJ 819等规定，建立企业监测制度，制订监测方案，对污染物排放状况及其对周边环境质量的影响开展自行监测，保存原始监测记录，并公布监测结果。</w:t>
                  </w:r>
                </w:p>
              </w:tc>
              <w:tc>
                <w:tcPr>
                  <w:tcW w:w="1092"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color w:val="auto"/>
                      <w:sz w:val="21"/>
                      <w:szCs w:val="21"/>
                    </w:rPr>
                  </w:pPr>
                  <w:r>
                    <w:rPr>
                      <w:rFonts w:hint="eastAsia"/>
                      <w:color w:val="auto"/>
                      <w:sz w:val="21"/>
                      <w:szCs w:val="21"/>
                    </w:rPr>
                    <w:t>建设单位按要求实施，制订监测方案，开展自行监测，保存原始监测记录，并公布监测结果。</w:t>
                  </w:r>
                </w:p>
              </w:tc>
              <w:tc>
                <w:tcPr>
                  <w:tcW w:w="485" w:type="pct"/>
                  <w:tcBorders>
                    <w:top w:val="single" w:color="auto" w:sz="2" w:space="0"/>
                    <w:left w:val="single" w:color="auto" w:sz="2" w:space="0"/>
                    <w:bottom w:val="single" w:color="auto" w:sz="2" w:space="0"/>
                    <w:right w:val="single" w:color="auto" w:sz="2" w:space="0"/>
                  </w:tcBorders>
                  <w:vAlign w:val="center"/>
                </w:tcPr>
                <w:p>
                  <w:pPr>
                    <w:spacing w:line="240" w:lineRule="auto"/>
                    <w:jc w:val="center"/>
                    <w:rPr>
                      <w:sz w:val="21"/>
                      <w:szCs w:val="21"/>
                    </w:rPr>
                  </w:pPr>
                  <w:r>
                    <w:rPr>
                      <w:rFonts w:hint="eastAsia"/>
                      <w:sz w:val="21"/>
                      <w:szCs w:val="21"/>
                    </w:rPr>
                    <w:t>相符</w:t>
                  </w:r>
                </w:p>
              </w:tc>
            </w:tr>
          </w:tbl>
          <w:p>
            <w:pPr>
              <w:pStyle w:val="29"/>
              <w:ind w:firstLine="480"/>
            </w:pPr>
            <w:r>
              <w:rPr>
                <w:rFonts w:hint="eastAsia"/>
              </w:rPr>
              <w:t>综上所述，</w:t>
            </w:r>
            <w:r>
              <w:t>本项目符合</w:t>
            </w:r>
            <w:r>
              <w:rPr>
                <w:rFonts w:hint="eastAsia"/>
              </w:rPr>
              <w:t>《挥发性有机物无组织排放控制标准》（GB37822-2019）相应</w:t>
            </w:r>
            <w:r>
              <w:t>要求。</w:t>
            </w:r>
          </w:p>
          <w:p>
            <w:pPr>
              <w:ind w:firstLine="199" w:firstLineChars="83"/>
            </w:pPr>
          </w:p>
          <w:p>
            <w:pPr>
              <w:pStyle w:val="29"/>
              <w:ind w:firstLine="480"/>
            </w:pPr>
          </w:p>
          <w:p>
            <w:pPr>
              <w:pStyle w:val="29"/>
              <w:ind w:firstLine="480"/>
            </w:pPr>
          </w:p>
          <w:p>
            <w:pPr>
              <w:pStyle w:val="29"/>
              <w:ind w:firstLine="480"/>
            </w:pPr>
          </w:p>
          <w:p>
            <w:pPr>
              <w:pStyle w:val="29"/>
              <w:ind w:firstLine="480"/>
            </w:pPr>
          </w:p>
          <w:p>
            <w:pPr>
              <w:pStyle w:val="29"/>
              <w:ind w:left="0" w:leftChars="0" w:firstLine="0" w:firstLineChars="0"/>
            </w:pPr>
          </w:p>
          <w:p>
            <w:pPr>
              <w:pStyle w:val="29"/>
              <w:ind w:firstLine="0" w:firstLineChars="0"/>
            </w:pPr>
          </w:p>
          <w:p>
            <w:pPr>
              <w:pStyle w:val="29"/>
              <w:ind w:firstLine="0" w:firstLineChars="0"/>
            </w:pPr>
          </w:p>
          <w:p>
            <w:pPr>
              <w:pStyle w:val="29"/>
              <w:ind w:firstLine="0" w:firstLineChars="0"/>
            </w:pPr>
          </w:p>
        </w:tc>
      </w:tr>
    </w:tbl>
    <w:p>
      <w:pPr>
        <w:outlineLvl w:val="0"/>
        <w:rPr>
          <w:rFonts w:eastAsia="黑体"/>
          <w:sz w:val="30"/>
        </w:rPr>
        <w:sectPr>
          <w:footerReference r:id="rId7" w:type="default"/>
          <w:pgSz w:w="11906" w:h="16838"/>
          <w:pgMar w:top="1701" w:right="1531" w:bottom="1701" w:left="1531" w:header="851" w:footer="1077" w:gutter="0"/>
          <w:pgNumType w:start="1"/>
          <w:cols w:space="720" w:num="1"/>
          <w:docGrid w:linePitch="312" w:charSpace="0"/>
        </w:sectPr>
      </w:pPr>
    </w:p>
    <w:p>
      <w:pPr>
        <w:pStyle w:val="13"/>
        <w:spacing w:line="240" w:lineRule="auto"/>
        <w:jc w:val="center"/>
        <w:outlineLvl w:val="0"/>
        <w:rPr>
          <w:rFonts w:ascii="Times New Roman" w:hAnsi="Times New Roman" w:cs="Times New Roman"/>
          <w:b/>
          <w:bCs/>
          <w:snapToGrid w:val="0"/>
          <w:sz w:val="30"/>
          <w:szCs w:val="30"/>
        </w:rPr>
      </w:pPr>
      <w:bookmarkStart w:id="3" w:name="_Toc101518922"/>
      <w:r>
        <w:rPr>
          <w:rFonts w:ascii="Times New Roman" w:hAnsi="Times New Roman" w:cs="Times New Roman"/>
          <w:b/>
          <w:bCs/>
          <w:snapToGrid w:val="0"/>
          <w:sz w:val="30"/>
          <w:szCs w:val="30"/>
        </w:rPr>
        <w:t>二、建设项目工程分析</w:t>
      </w:r>
      <w:bookmarkEnd w:id="3"/>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4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96" w:type="dxa"/>
            <w:vAlign w:val="center"/>
          </w:tcPr>
          <w:p>
            <w:pPr>
              <w:spacing w:line="240" w:lineRule="auto"/>
            </w:pPr>
            <w:r>
              <w:t>建设内容</w:t>
            </w:r>
          </w:p>
        </w:tc>
        <w:tc>
          <w:tcPr>
            <w:tcW w:w="8488" w:type="dxa"/>
          </w:tcPr>
          <w:p>
            <w:pPr>
              <w:pStyle w:val="14"/>
              <w:rPr>
                <w:sz w:val="21"/>
              </w:rPr>
            </w:pPr>
            <w:r>
              <w:t>1、项目由来</w:t>
            </w:r>
          </w:p>
          <w:p>
            <w:pPr>
              <w:pStyle w:val="29"/>
              <w:ind w:firstLine="480"/>
              <w:rPr>
                <w:rFonts w:hint="default"/>
                <w:lang w:val="en-US"/>
              </w:rPr>
            </w:pPr>
            <w:r>
              <w:rPr>
                <w:rFonts w:hint="eastAsia"/>
              </w:rPr>
              <w:t>苏州</w:t>
            </w:r>
            <w:r>
              <w:rPr>
                <w:rFonts w:hint="eastAsia"/>
                <w:lang w:val="en-US" w:eastAsia="zh-CN"/>
              </w:rPr>
              <w:t>真懿精密器械有限</w:t>
            </w:r>
            <w:r>
              <w:rPr>
                <w:rFonts w:hint="eastAsia"/>
              </w:rPr>
              <w:t>公司成立于201</w:t>
            </w:r>
            <w:r>
              <w:rPr>
                <w:rFonts w:hint="eastAsia"/>
                <w:lang w:val="en-US" w:eastAsia="zh-CN"/>
              </w:rPr>
              <w:t>1</w:t>
            </w:r>
            <w:r>
              <w:rPr>
                <w:rFonts w:hint="eastAsia"/>
              </w:rPr>
              <w:t>年0</w:t>
            </w:r>
            <w:r>
              <w:rPr>
                <w:rFonts w:hint="eastAsia"/>
                <w:lang w:val="en-US" w:eastAsia="zh-CN"/>
              </w:rPr>
              <w:t>3</w:t>
            </w:r>
            <w:r>
              <w:rPr>
                <w:rFonts w:hint="eastAsia"/>
              </w:rPr>
              <w:t>月，</w:t>
            </w:r>
            <w:r>
              <w:rPr>
                <w:rFonts w:hint="eastAsia"/>
                <w:lang w:eastAsia="zh-CN"/>
              </w:rPr>
              <w:t>位于苏州市高新区峨眉山路</w:t>
            </w:r>
            <w:r>
              <w:rPr>
                <w:rFonts w:hint="eastAsia"/>
                <w:lang w:val="en-US" w:eastAsia="zh-CN"/>
              </w:rPr>
              <w:t>70号。</w:t>
            </w:r>
            <w:r>
              <w:rPr>
                <w:rFonts w:hint="eastAsia"/>
              </w:rPr>
              <w:t>经营范围包括</w:t>
            </w:r>
            <w:r>
              <w:rPr>
                <w:rFonts w:hint="eastAsia"/>
                <w:lang w:val="en-US" w:eastAsia="zh-CN"/>
              </w:rPr>
              <w:t>机械设备、机电产品生产、加工、销售</w:t>
            </w:r>
            <w:r>
              <w:rPr>
                <w:rFonts w:hint="eastAsia"/>
              </w:rPr>
              <w:t>；</w:t>
            </w:r>
            <w:r>
              <w:rPr>
                <w:rFonts w:hint="eastAsia"/>
                <w:lang w:val="en-US" w:eastAsia="zh-CN"/>
              </w:rPr>
              <w:t>计算机软硬件、非危险化工产品、纺织品、金属制品销售；医疗器械及配套零部件的研发；自营及代理各类商品及技术的进出口业务。</w:t>
            </w:r>
          </w:p>
          <w:p>
            <w:pPr>
              <w:pStyle w:val="29"/>
              <w:ind w:firstLine="480"/>
              <w:rPr>
                <w:color w:val="auto"/>
              </w:rPr>
            </w:pPr>
            <w:r>
              <w:rPr>
                <w:rFonts w:hint="eastAsia"/>
                <w:color w:val="auto"/>
              </w:rPr>
              <w:t>《苏州</w:t>
            </w:r>
            <w:r>
              <w:rPr>
                <w:rFonts w:hint="eastAsia"/>
                <w:color w:val="auto"/>
                <w:lang w:eastAsia="zh-CN"/>
              </w:rPr>
              <w:t>真懿精密器械有限</w:t>
            </w:r>
            <w:r>
              <w:rPr>
                <w:rFonts w:hint="eastAsia"/>
                <w:color w:val="auto"/>
              </w:rPr>
              <w:t>公司年产</w:t>
            </w:r>
            <w:r>
              <w:rPr>
                <w:rFonts w:hint="eastAsia"/>
                <w:color w:val="auto"/>
                <w:lang w:eastAsia="zh-CN"/>
              </w:rPr>
              <w:t>零部件</w:t>
            </w:r>
            <w:r>
              <w:rPr>
                <w:rFonts w:hint="eastAsia"/>
                <w:color w:val="auto"/>
                <w:lang w:val="en-US" w:eastAsia="zh-CN"/>
              </w:rPr>
              <w:t>100万只、衬套500万套等扩建</w:t>
            </w:r>
            <w:r>
              <w:rPr>
                <w:rFonts w:hint="eastAsia"/>
                <w:color w:val="auto"/>
              </w:rPr>
              <w:t>项目环境影响报告表》于2</w:t>
            </w:r>
            <w:r>
              <w:rPr>
                <w:color w:val="auto"/>
              </w:rPr>
              <w:t>0</w:t>
            </w:r>
            <w:r>
              <w:rPr>
                <w:rFonts w:hint="eastAsia"/>
                <w:color w:val="auto"/>
                <w:lang w:val="en-US" w:eastAsia="zh-CN"/>
              </w:rPr>
              <w:t>20</w:t>
            </w:r>
            <w:r>
              <w:rPr>
                <w:rFonts w:hint="eastAsia"/>
                <w:color w:val="auto"/>
              </w:rPr>
              <w:t>年</w:t>
            </w:r>
            <w:r>
              <w:rPr>
                <w:rFonts w:hint="eastAsia"/>
                <w:color w:val="auto"/>
                <w:lang w:val="en-US" w:eastAsia="zh-CN"/>
              </w:rPr>
              <w:t>06</w:t>
            </w:r>
            <w:r>
              <w:rPr>
                <w:rFonts w:hint="eastAsia"/>
                <w:color w:val="auto"/>
              </w:rPr>
              <w:t>月2</w:t>
            </w:r>
            <w:r>
              <w:rPr>
                <w:rFonts w:hint="eastAsia"/>
                <w:color w:val="auto"/>
                <w:lang w:val="en-US" w:eastAsia="zh-CN"/>
              </w:rPr>
              <w:t>8</w:t>
            </w:r>
            <w:r>
              <w:rPr>
                <w:rFonts w:hint="eastAsia"/>
                <w:color w:val="auto"/>
              </w:rPr>
              <w:t>日取得</w:t>
            </w:r>
            <w:r>
              <w:rPr>
                <w:rFonts w:hint="eastAsia"/>
                <w:color w:val="auto"/>
                <w:lang w:eastAsia="zh-CN"/>
              </w:rPr>
              <w:t>苏州市行政审批局出具</w:t>
            </w:r>
            <w:r>
              <w:rPr>
                <w:rFonts w:hint="eastAsia"/>
                <w:color w:val="auto"/>
              </w:rPr>
              <w:t>的审批意见（苏</w:t>
            </w:r>
            <w:r>
              <w:rPr>
                <w:rFonts w:hint="eastAsia"/>
                <w:color w:val="auto"/>
                <w:lang w:eastAsia="zh-CN"/>
              </w:rPr>
              <w:t>行审环评</w:t>
            </w:r>
            <w:r>
              <w:rPr>
                <w:rFonts w:hint="eastAsia"/>
                <w:color w:val="auto"/>
              </w:rPr>
              <w:t>〔</w:t>
            </w:r>
            <w:r>
              <w:rPr>
                <w:color w:val="auto"/>
              </w:rPr>
              <w:t>20</w:t>
            </w:r>
            <w:r>
              <w:rPr>
                <w:rFonts w:hint="eastAsia"/>
                <w:color w:val="auto"/>
                <w:lang w:val="en-US" w:eastAsia="zh-CN"/>
              </w:rPr>
              <w:t>20</w:t>
            </w:r>
            <w:r>
              <w:rPr>
                <w:rFonts w:hint="eastAsia"/>
                <w:color w:val="auto"/>
              </w:rPr>
              <w:t>〕</w:t>
            </w:r>
            <w:r>
              <w:rPr>
                <w:rFonts w:hint="eastAsia"/>
                <w:color w:val="auto"/>
                <w:lang w:val="en-US" w:eastAsia="zh-CN"/>
              </w:rPr>
              <w:t>90206</w:t>
            </w:r>
            <w:r>
              <w:rPr>
                <w:rFonts w:hint="eastAsia"/>
                <w:color w:val="auto"/>
              </w:rPr>
              <w:t>号），该项目于2</w:t>
            </w:r>
            <w:r>
              <w:rPr>
                <w:color w:val="auto"/>
              </w:rPr>
              <w:t>0</w:t>
            </w:r>
            <w:r>
              <w:rPr>
                <w:rFonts w:hint="eastAsia"/>
                <w:color w:val="auto"/>
                <w:lang w:val="en-US" w:eastAsia="zh-CN"/>
              </w:rPr>
              <w:t>21</w:t>
            </w:r>
            <w:r>
              <w:rPr>
                <w:rFonts w:hint="eastAsia"/>
                <w:color w:val="auto"/>
              </w:rPr>
              <w:t>年</w:t>
            </w:r>
            <w:r>
              <w:rPr>
                <w:rFonts w:hint="eastAsia"/>
                <w:color w:val="auto"/>
                <w:lang w:val="en-US" w:eastAsia="zh-CN"/>
              </w:rPr>
              <w:t>7</w:t>
            </w:r>
            <w:r>
              <w:rPr>
                <w:rFonts w:hint="eastAsia"/>
                <w:color w:val="auto"/>
              </w:rPr>
              <w:t>月2</w:t>
            </w:r>
            <w:r>
              <w:rPr>
                <w:rFonts w:hint="eastAsia"/>
                <w:color w:val="auto"/>
                <w:lang w:val="en-US" w:eastAsia="zh-CN"/>
              </w:rPr>
              <w:t>7</w:t>
            </w:r>
            <w:r>
              <w:rPr>
                <w:rFonts w:hint="eastAsia"/>
                <w:color w:val="auto"/>
              </w:rPr>
              <w:t>日</w:t>
            </w:r>
            <w:r>
              <w:rPr>
                <w:rFonts w:hint="eastAsia"/>
                <w:color w:val="auto"/>
                <w:lang w:eastAsia="zh-CN"/>
              </w:rPr>
              <w:t>进行自主验收并通过专家评审。</w:t>
            </w:r>
            <w:r>
              <w:rPr>
                <w:rFonts w:hint="eastAsia"/>
                <w:color w:val="auto"/>
              </w:rPr>
              <w:t>企业现有项目生产规模为年产</w:t>
            </w:r>
            <w:r>
              <w:rPr>
                <w:rFonts w:hint="eastAsia"/>
                <w:color w:val="auto"/>
                <w:lang w:eastAsia="zh-CN"/>
              </w:rPr>
              <w:t>零部件</w:t>
            </w:r>
            <w:r>
              <w:rPr>
                <w:rFonts w:hint="eastAsia"/>
                <w:color w:val="auto"/>
                <w:lang w:val="en-US" w:eastAsia="zh-CN"/>
              </w:rPr>
              <w:t>100万只，衬套已取消建设</w:t>
            </w:r>
            <w:r>
              <w:rPr>
                <w:rFonts w:hint="eastAsia"/>
                <w:color w:val="auto"/>
              </w:rPr>
              <w:t>。</w:t>
            </w:r>
          </w:p>
          <w:p>
            <w:pPr>
              <w:pStyle w:val="29"/>
              <w:ind w:firstLine="480"/>
            </w:pPr>
            <w:r>
              <w:rPr>
                <w:rFonts w:hint="eastAsia"/>
              </w:rPr>
              <w:t>由于市场需求，企业拟投资</w:t>
            </w:r>
            <w:r>
              <w:rPr>
                <w:rFonts w:hint="eastAsia"/>
                <w:lang w:val="en-US" w:eastAsia="zh-CN"/>
              </w:rPr>
              <w:t>1000万</w:t>
            </w:r>
            <w:r>
              <w:rPr>
                <w:rFonts w:hint="eastAsia"/>
              </w:rPr>
              <w:t>元，</w:t>
            </w:r>
            <w:r>
              <w:rPr>
                <w:rFonts w:hint="eastAsia"/>
                <w:lang w:eastAsia="zh-CN"/>
              </w:rPr>
              <w:t>租赁苏州科技城发展集团有限公司位于</w:t>
            </w:r>
            <w:r>
              <w:rPr>
                <w:rFonts w:hint="eastAsia"/>
              </w:rPr>
              <w:t>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color w:val="auto"/>
              </w:rPr>
              <w:t>现有厂房</w:t>
            </w:r>
            <w:r>
              <w:rPr>
                <w:rFonts w:hint="eastAsia"/>
                <w:color w:val="auto"/>
                <w:lang w:eastAsia="zh-CN"/>
              </w:rPr>
              <w:t>，</w:t>
            </w:r>
            <w:r>
              <w:rPr>
                <w:rFonts w:hint="eastAsia"/>
              </w:rPr>
              <w:t>购置</w:t>
            </w:r>
            <w:r>
              <w:rPr>
                <w:rFonts w:hint="eastAsia"/>
                <w:lang w:val="en-US" w:eastAsia="zh-CN"/>
              </w:rPr>
              <w:t>激光焊接机、超声波清洗机、拉力试验机、影像测量仪、直流电阻测试仪、空压机、纯水制备机</w:t>
            </w:r>
            <w:r>
              <w:rPr>
                <w:rFonts w:hint="eastAsia"/>
              </w:rPr>
              <w:t>等设备</w:t>
            </w:r>
            <w:r>
              <w:rPr>
                <w:rFonts w:hint="eastAsia"/>
                <w:lang w:eastAsia="zh-CN"/>
              </w:rPr>
              <w:t>建设</w:t>
            </w:r>
            <w:r>
              <w:rPr>
                <w:rFonts w:hint="eastAsia"/>
              </w:rPr>
              <w:t>新增</w:t>
            </w:r>
            <w:r>
              <w:rPr>
                <w:rFonts w:hint="eastAsia"/>
                <w:szCs w:val="21"/>
                <w:lang w:eastAsia="zh-CN"/>
              </w:rPr>
              <w:t>微创介植入医疗器械及介植入微精部件</w:t>
            </w:r>
            <w:r>
              <w:rPr>
                <w:rFonts w:hint="eastAsia"/>
                <w:szCs w:val="21"/>
              </w:rPr>
              <w:t>扩建项目</w:t>
            </w:r>
            <w:r>
              <w:rPr>
                <w:rFonts w:hint="eastAsia"/>
              </w:rPr>
              <w:t>，项目建成后形成年产</w:t>
            </w:r>
            <w:r>
              <w:rPr>
                <w:rFonts w:hint="eastAsia"/>
                <w:lang w:val="en-US" w:eastAsia="zh-CN"/>
              </w:rPr>
              <w:t>医疗器械生产组装及配件50万件</w:t>
            </w:r>
            <w:r>
              <w:rPr>
                <w:rFonts w:hint="eastAsia"/>
              </w:rPr>
              <w:t>的规模。本项目于2</w:t>
            </w:r>
            <w:r>
              <w:t>02</w:t>
            </w:r>
            <w:r>
              <w:rPr>
                <w:rFonts w:hint="eastAsia"/>
                <w:lang w:val="en-US" w:eastAsia="zh-CN"/>
              </w:rPr>
              <w:t>0</w:t>
            </w:r>
            <w:r>
              <w:rPr>
                <w:rFonts w:hint="eastAsia"/>
              </w:rPr>
              <w:t>年</w:t>
            </w:r>
            <w:r>
              <w:rPr>
                <w:rFonts w:hint="eastAsia"/>
                <w:lang w:val="en-US" w:eastAsia="zh-CN"/>
              </w:rPr>
              <w:t>5</w:t>
            </w:r>
            <w:r>
              <w:rPr>
                <w:rFonts w:hint="eastAsia"/>
              </w:rPr>
              <w:t>月1</w:t>
            </w:r>
            <w:r>
              <w:rPr>
                <w:rFonts w:hint="eastAsia"/>
                <w:lang w:val="en-US" w:eastAsia="zh-CN"/>
              </w:rPr>
              <w:t>5</w:t>
            </w:r>
            <w:r>
              <w:rPr>
                <w:rFonts w:hint="eastAsia"/>
              </w:rPr>
              <w:t>日通过苏州高新区(虎丘区)行政审批局的备案（项目代码：2</w:t>
            </w:r>
            <w:r>
              <w:rPr>
                <w:rFonts w:hint="eastAsia"/>
                <w:lang w:val="en-US" w:eastAsia="zh-CN"/>
              </w:rPr>
              <w:t>020</w:t>
            </w:r>
            <w:r>
              <w:rPr>
                <w:rFonts w:hint="eastAsia"/>
              </w:rPr>
              <w:t>-320505-</w:t>
            </w:r>
            <w:r>
              <w:rPr>
                <w:rFonts w:hint="eastAsia"/>
                <w:lang w:val="en-US" w:eastAsia="zh-CN"/>
              </w:rPr>
              <w:t>35</w:t>
            </w:r>
            <w:r>
              <w:rPr>
                <w:rFonts w:hint="eastAsia"/>
              </w:rPr>
              <w:t>-0</w:t>
            </w:r>
            <w:r>
              <w:rPr>
                <w:rFonts w:hint="eastAsia"/>
                <w:lang w:val="en-US" w:eastAsia="zh-CN"/>
              </w:rPr>
              <w:t>3</w:t>
            </w:r>
            <w:r>
              <w:rPr>
                <w:rFonts w:hint="eastAsia"/>
              </w:rPr>
              <w:t>-</w:t>
            </w:r>
            <w:r>
              <w:rPr>
                <w:rFonts w:hint="eastAsia"/>
                <w:lang w:val="en-US" w:eastAsia="zh-CN"/>
              </w:rPr>
              <w:t>527823</w:t>
            </w:r>
            <w:r>
              <w:rPr>
                <w:rFonts w:hint="eastAsia"/>
              </w:rPr>
              <w:t>）。</w:t>
            </w:r>
          </w:p>
          <w:p>
            <w:pPr>
              <w:pStyle w:val="29"/>
              <w:ind w:firstLine="480"/>
            </w:pPr>
            <w:r>
              <w:rPr>
                <w:rFonts w:hint="eastAsia"/>
              </w:rPr>
              <w:t>根据《中华人民共和国环境保护法》、《中华人民共和国环境影响评价法》和《建设项目环境保护管理条例》等法律法规的有关规定，本项目应进行环境影响</w:t>
            </w:r>
            <w:r>
              <w:rPr>
                <w:rFonts w:hint="eastAsia"/>
                <w:color w:val="auto"/>
              </w:rPr>
              <w:t>评价工作。根据《建设项目环境影响评价分类管理名录》（2021 年版），本项目属于“</w:t>
            </w:r>
            <w:r>
              <w:rPr>
                <w:rFonts w:hint="eastAsia"/>
                <w:color w:val="auto"/>
                <w:szCs w:val="21"/>
              </w:rPr>
              <w:t>三十</w:t>
            </w:r>
            <w:r>
              <w:rPr>
                <w:rFonts w:hint="eastAsia"/>
                <w:color w:val="auto"/>
                <w:szCs w:val="21"/>
                <w:lang w:eastAsia="zh-CN"/>
              </w:rPr>
              <w:t>一</w:t>
            </w:r>
            <w:r>
              <w:rPr>
                <w:rFonts w:hint="eastAsia"/>
                <w:color w:val="auto"/>
                <w:szCs w:val="21"/>
              </w:rPr>
              <w:t>、</w:t>
            </w:r>
            <w:r>
              <w:rPr>
                <w:rFonts w:hint="eastAsia"/>
                <w:color w:val="auto"/>
                <w:szCs w:val="21"/>
                <w:lang w:eastAsia="zh-CN"/>
              </w:rPr>
              <w:t>通用设备</w:t>
            </w:r>
            <w:r>
              <w:rPr>
                <w:rFonts w:hint="eastAsia"/>
                <w:color w:val="auto"/>
                <w:szCs w:val="21"/>
              </w:rPr>
              <w:t>制造业；</w:t>
            </w:r>
            <w:r>
              <w:rPr>
                <w:rFonts w:hint="eastAsia"/>
                <w:color w:val="auto"/>
                <w:szCs w:val="21"/>
                <w:lang w:val="en-US" w:eastAsia="zh-CN"/>
              </w:rPr>
              <w:t>347</w:t>
            </w:r>
            <w:r>
              <w:rPr>
                <w:rFonts w:hint="eastAsia"/>
                <w:color w:val="auto"/>
                <w:szCs w:val="21"/>
              </w:rPr>
              <w:t>、</w:t>
            </w:r>
            <w:r>
              <w:rPr>
                <w:rFonts w:hint="eastAsia"/>
                <w:color w:val="auto"/>
                <w:szCs w:val="21"/>
                <w:lang w:eastAsia="zh-CN"/>
              </w:rPr>
              <w:t>通用零部件制造</w:t>
            </w:r>
            <w:r>
              <w:rPr>
                <w:rFonts w:hint="eastAsia"/>
                <w:color w:val="auto"/>
              </w:rPr>
              <w:t>”，应该编制环境影响报告表。</w:t>
            </w:r>
            <w:r>
              <w:rPr>
                <w:rFonts w:hint="eastAsia"/>
                <w:color w:val="auto"/>
                <w:lang w:val="en-US" w:eastAsia="zh-CN"/>
              </w:rPr>
              <w:t>苏州真懿精密器械有限公司</w:t>
            </w:r>
            <w:r>
              <w:rPr>
                <w:rFonts w:hint="eastAsia"/>
                <w:color w:val="auto"/>
              </w:rPr>
              <w:t>委托我单位进行该项目的环境影</w:t>
            </w:r>
            <w:r>
              <w:rPr>
                <w:rFonts w:hint="eastAsia"/>
              </w:rPr>
              <w:t>响评价工作。在现场踏勘的基础上，通过对有关资料的收集、分析等，根据国家相关的环保法律法规和相应的标准，编制了本环境影响报告表。</w:t>
            </w:r>
          </w:p>
          <w:p>
            <w:pPr>
              <w:pStyle w:val="14"/>
            </w:pPr>
            <w:r>
              <w:t>2、项目概况</w:t>
            </w:r>
          </w:p>
          <w:p>
            <w:pPr>
              <w:pStyle w:val="29"/>
              <w:ind w:firstLine="480"/>
              <w:rPr>
                <w:rFonts w:hint="eastAsia"/>
                <w:szCs w:val="21"/>
              </w:rPr>
            </w:pPr>
            <w:r>
              <w:rPr>
                <w:rFonts w:hint="eastAsia"/>
              </w:rPr>
              <w:t>项目名称：</w:t>
            </w:r>
            <w:r>
              <w:rPr>
                <w:rFonts w:hint="eastAsia"/>
                <w:szCs w:val="21"/>
                <w:lang w:eastAsia="zh-CN"/>
              </w:rPr>
              <w:t>微创介植入医疗器械及介植入微精部件</w:t>
            </w:r>
            <w:r>
              <w:rPr>
                <w:rFonts w:hint="eastAsia"/>
                <w:szCs w:val="21"/>
              </w:rPr>
              <w:t>扩建项目</w:t>
            </w:r>
          </w:p>
          <w:p>
            <w:pPr>
              <w:pStyle w:val="29"/>
              <w:ind w:firstLine="480"/>
              <w:rPr>
                <w:rFonts w:hint="eastAsia"/>
              </w:rPr>
            </w:pPr>
            <w:r>
              <w:rPr>
                <w:rFonts w:hint="eastAsia"/>
              </w:rPr>
              <w:t>建设单位：苏州</w:t>
            </w:r>
            <w:r>
              <w:rPr>
                <w:rFonts w:hint="eastAsia"/>
                <w:lang w:eastAsia="zh-CN"/>
              </w:rPr>
              <w:t>真懿精密器械有限</w:t>
            </w:r>
            <w:r>
              <w:rPr>
                <w:rFonts w:hint="eastAsia"/>
              </w:rPr>
              <w:t>公司；</w:t>
            </w:r>
          </w:p>
          <w:p>
            <w:pPr>
              <w:pStyle w:val="29"/>
              <w:ind w:firstLine="480"/>
              <w:rPr>
                <w:rFonts w:hint="eastAsia"/>
              </w:rPr>
            </w:pPr>
            <w:r>
              <w:rPr>
                <w:rFonts w:hint="eastAsia"/>
              </w:rPr>
              <w:t>建设性质：扩建；</w:t>
            </w:r>
          </w:p>
          <w:p>
            <w:pPr>
              <w:pStyle w:val="29"/>
              <w:ind w:firstLine="480"/>
              <w:rPr>
                <w:rFonts w:hint="eastAsia"/>
              </w:rPr>
            </w:pPr>
            <w:r>
              <w:rPr>
                <w:rFonts w:hint="eastAsia"/>
              </w:rPr>
              <w:t>建设地点：江苏省苏州市高新区科技城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rPr>
              <w:t>；</w:t>
            </w:r>
          </w:p>
          <w:p>
            <w:pPr>
              <w:pStyle w:val="29"/>
              <w:ind w:firstLine="480"/>
              <w:rPr>
                <w:rFonts w:hint="eastAsia"/>
              </w:rPr>
            </w:pPr>
            <w:r>
              <w:rPr>
                <w:rFonts w:hint="eastAsia"/>
              </w:rPr>
              <w:t>建设规模及内容：</w:t>
            </w:r>
            <w:r>
              <w:rPr>
                <w:rFonts w:hint="eastAsia"/>
                <w:lang w:eastAsia="zh-CN"/>
              </w:rPr>
              <w:t>医疗器械生产组装</w:t>
            </w:r>
            <w:r>
              <w:rPr>
                <w:rFonts w:hint="eastAsia"/>
                <w:lang w:val="en-US" w:eastAsia="zh-CN"/>
              </w:rPr>
              <w:t>50万件</w:t>
            </w:r>
            <w:r>
              <w:rPr>
                <w:rFonts w:hint="eastAsia"/>
              </w:rPr>
              <w:t>；</w:t>
            </w:r>
          </w:p>
          <w:p>
            <w:pPr>
              <w:pStyle w:val="29"/>
              <w:ind w:firstLine="480"/>
              <w:rPr>
                <w:color w:val="auto"/>
              </w:rPr>
            </w:pPr>
            <w:r>
              <w:rPr>
                <w:rFonts w:hint="eastAsia"/>
                <w:color w:val="auto"/>
              </w:rPr>
              <w:t>总投资：项目总投资1000万元，其中环保投资5万元，环保投资占比为0</w:t>
            </w:r>
            <w:r>
              <w:rPr>
                <w:color w:val="auto"/>
              </w:rPr>
              <w:t>.5%</w:t>
            </w:r>
            <w:r>
              <w:rPr>
                <w:rFonts w:hint="eastAsia"/>
                <w:color w:val="auto"/>
              </w:rPr>
              <w:t>；</w:t>
            </w:r>
          </w:p>
          <w:p>
            <w:pPr>
              <w:pStyle w:val="29"/>
              <w:ind w:firstLine="480"/>
              <w:rPr>
                <w:rFonts w:hint="eastAsia" w:eastAsia="宋体"/>
                <w:color w:val="auto"/>
                <w:vertAlign w:val="baseline"/>
                <w:lang w:eastAsia="zh-CN"/>
              </w:rPr>
            </w:pPr>
            <w:r>
              <w:rPr>
                <w:rFonts w:hint="eastAsia"/>
                <w:color w:val="auto"/>
              </w:rPr>
              <w:t>占地面积：</w:t>
            </w:r>
            <w:r>
              <w:rPr>
                <w:rFonts w:hint="eastAsia"/>
                <w:color w:val="auto"/>
                <w:lang w:val="en-US" w:eastAsia="zh-CN"/>
              </w:rPr>
              <w:t>4173.56</w:t>
            </w:r>
            <w:r>
              <w:rPr>
                <w:color w:val="auto"/>
              </w:rPr>
              <w:t>m</w:t>
            </w:r>
            <w:r>
              <w:rPr>
                <w:color w:val="auto"/>
                <w:vertAlign w:val="superscript"/>
              </w:rPr>
              <w:t>2</w:t>
            </w:r>
            <w:r>
              <w:rPr>
                <w:rFonts w:hint="eastAsia"/>
                <w:color w:val="auto"/>
                <w:vertAlign w:val="baseline"/>
                <w:lang w:eastAsia="zh-CN"/>
              </w:rPr>
              <w:t>。</w:t>
            </w:r>
          </w:p>
          <w:p>
            <w:pPr>
              <w:pStyle w:val="14"/>
            </w:pPr>
            <w:r>
              <w:rPr>
                <w:rFonts w:hint="eastAsia"/>
              </w:rPr>
              <w:t>3、主要成品及产能</w:t>
            </w:r>
          </w:p>
          <w:p>
            <w:pPr>
              <w:pStyle w:val="29"/>
              <w:ind w:firstLine="0" w:firstLineChars="0"/>
            </w:pPr>
            <w:r>
              <w:rPr>
                <w:rFonts w:hint="eastAsia"/>
              </w:rPr>
              <w:t>本项目产品方案见下表。</w:t>
            </w:r>
          </w:p>
          <w:p>
            <w:pPr>
              <w:pStyle w:val="12"/>
            </w:pPr>
            <w:r>
              <w:rPr>
                <w:rFonts w:hint="eastAsia"/>
              </w:rPr>
              <w:t>表</w:t>
            </w:r>
            <w:r>
              <w:t xml:space="preserve">2-1  </w:t>
            </w:r>
            <w:r>
              <w:rPr>
                <w:rFonts w:hint="eastAsia"/>
              </w:rPr>
              <w:t>建设项目产品方案</w:t>
            </w:r>
          </w:p>
          <w:tbl>
            <w:tblPr>
              <w:tblStyle w:val="16"/>
              <w:tblW w:w="82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4"/>
              <w:gridCol w:w="1283"/>
              <w:gridCol w:w="1561"/>
              <w:gridCol w:w="1277"/>
              <w:gridCol w:w="1135"/>
              <w:gridCol w:w="993"/>
              <w:gridCol w:w="11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884" w:type="dxa"/>
                  <w:vMerge w:val="restart"/>
                  <w:tcBorders>
                    <w:top w:val="single" w:color="auto" w:sz="4" w:space="0"/>
                    <w:left w:val="single" w:color="auto" w:sz="2" w:space="0"/>
                    <w:right w:val="single" w:color="auto" w:sz="4" w:space="0"/>
                  </w:tcBorders>
                  <w:vAlign w:val="center"/>
                </w:tcPr>
                <w:p>
                  <w:pPr>
                    <w:pStyle w:val="35"/>
                    <w:rPr>
                      <w:b/>
                      <w:bCs/>
                      <w:szCs w:val="21"/>
                    </w:rPr>
                  </w:pPr>
                  <w:r>
                    <w:rPr>
                      <w:rFonts w:hint="eastAsia"/>
                      <w:b/>
                      <w:bCs/>
                      <w:szCs w:val="21"/>
                    </w:rPr>
                    <w:t>序号</w:t>
                  </w:r>
                </w:p>
              </w:tc>
              <w:tc>
                <w:tcPr>
                  <w:tcW w:w="1283" w:type="dxa"/>
                  <w:vMerge w:val="restart"/>
                  <w:tcBorders>
                    <w:top w:val="single" w:color="auto" w:sz="4" w:space="0"/>
                    <w:left w:val="single" w:color="auto" w:sz="4" w:space="0"/>
                    <w:right w:val="single" w:color="auto" w:sz="4" w:space="0"/>
                  </w:tcBorders>
                  <w:vAlign w:val="center"/>
                </w:tcPr>
                <w:p>
                  <w:pPr>
                    <w:pStyle w:val="35"/>
                    <w:rPr>
                      <w:b/>
                      <w:bCs/>
                      <w:szCs w:val="21"/>
                    </w:rPr>
                  </w:pPr>
                  <w:r>
                    <w:rPr>
                      <w:rFonts w:hint="eastAsia"/>
                      <w:b/>
                      <w:bCs/>
                      <w:szCs w:val="21"/>
                    </w:rPr>
                    <w:t>工程名称（车间、生产装置或生产线）</w:t>
                  </w:r>
                </w:p>
              </w:tc>
              <w:tc>
                <w:tcPr>
                  <w:tcW w:w="1561" w:type="dxa"/>
                  <w:vMerge w:val="restart"/>
                  <w:tcBorders>
                    <w:top w:val="single" w:color="auto" w:sz="4" w:space="0"/>
                    <w:left w:val="single" w:color="auto" w:sz="4" w:space="0"/>
                    <w:right w:val="single" w:color="auto" w:sz="4" w:space="0"/>
                  </w:tcBorders>
                  <w:vAlign w:val="center"/>
                </w:tcPr>
                <w:p>
                  <w:pPr>
                    <w:pStyle w:val="35"/>
                    <w:rPr>
                      <w:b/>
                      <w:bCs/>
                      <w:szCs w:val="21"/>
                    </w:rPr>
                  </w:pPr>
                  <w:r>
                    <w:rPr>
                      <w:rFonts w:hint="eastAsia"/>
                      <w:b/>
                      <w:bCs/>
                      <w:szCs w:val="21"/>
                    </w:rPr>
                    <w:t>产品名称</w:t>
                  </w:r>
                </w:p>
              </w:tc>
              <w:tc>
                <w:tcPr>
                  <w:tcW w:w="3405" w:type="dxa"/>
                  <w:gridSpan w:val="3"/>
                  <w:tcBorders>
                    <w:top w:val="single" w:color="auto" w:sz="4" w:space="0"/>
                    <w:left w:val="single" w:color="auto" w:sz="4" w:space="0"/>
                    <w:bottom w:val="single" w:color="auto" w:sz="4" w:space="0"/>
                    <w:right w:val="single" w:color="auto" w:sz="4" w:space="0"/>
                  </w:tcBorders>
                  <w:vAlign w:val="center"/>
                </w:tcPr>
                <w:p>
                  <w:pPr>
                    <w:pStyle w:val="35"/>
                    <w:rPr>
                      <w:b/>
                      <w:bCs/>
                      <w:szCs w:val="21"/>
                    </w:rPr>
                  </w:pPr>
                  <w:r>
                    <w:rPr>
                      <w:rFonts w:hint="eastAsia"/>
                      <w:b/>
                      <w:bCs/>
                      <w:szCs w:val="21"/>
                    </w:rPr>
                    <w:t>年设计生产能力（</w:t>
                  </w:r>
                  <w:r>
                    <w:rPr>
                      <w:rFonts w:hint="eastAsia"/>
                      <w:b/>
                      <w:bCs/>
                      <w:szCs w:val="21"/>
                      <w:lang w:eastAsia="zh-CN"/>
                    </w:rPr>
                    <w:t>只</w:t>
                  </w:r>
                  <w:r>
                    <w:rPr>
                      <w:rFonts w:hint="eastAsia"/>
                      <w:b/>
                      <w:bCs/>
                      <w:szCs w:val="21"/>
                    </w:rPr>
                    <w:t>）</w:t>
                  </w:r>
                </w:p>
              </w:tc>
              <w:tc>
                <w:tcPr>
                  <w:tcW w:w="1139" w:type="dxa"/>
                  <w:vMerge w:val="restart"/>
                  <w:tcBorders>
                    <w:top w:val="single" w:color="auto" w:sz="4" w:space="0"/>
                    <w:left w:val="single" w:color="auto" w:sz="4" w:space="0"/>
                    <w:right w:val="single" w:color="auto" w:sz="4" w:space="0"/>
                  </w:tcBorders>
                  <w:vAlign w:val="center"/>
                </w:tcPr>
                <w:p>
                  <w:pPr>
                    <w:pStyle w:val="35"/>
                    <w:rPr>
                      <w:b/>
                      <w:bCs/>
                      <w:szCs w:val="21"/>
                    </w:rPr>
                  </w:pPr>
                  <w:r>
                    <w:rPr>
                      <w:rFonts w:hint="eastAsia"/>
                      <w:b/>
                      <w:bCs/>
                      <w:szCs w:val="21"/>
                    </w:rPr>
                    <w:t>年运行时数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84" w:type="dxa"/>
                  <w:vMerge w:val="continue"/>
                  <w:tcBorders>
                    <w:left w:val="single" w:color="auto" w:sz="2" w:space="0"/>
                    <w:bottom w:val="single" w:color="auto" w:sz="4" w:space="0"/>
                    <w:right w:val="single" w:color="auto" w:sz="4" w:space="0"/>
                  </w:tcBorders>
                  <w:vAlign w:val="center"/>
                </w:tcPr>
                <w:p>
                  <w:pPr>
                    <w:pStyle w:val="35"/>
                    <w:rPr>
                      <w:szCs w:val="21"/>
                    </w:rPr>
                  </w:pPr>
                </w:p>
              </w:tc>
              <w:tc>
                <w:tcPr>
                  <w:tcW w:w="1283" w:type="dxa"/>
                  <w:vMerge w:val="continue"/>
                  <w:tcBorders>
                    <w:left w:val="single" w:color="auto" w:sz="4" w:space="0"/>
                    <w:bottom w:val="single" w:color="auto" w:sz="4" w:space="0"/>
                    <w:right w:val="single" w:color="auto" w:sz="4" w:space="0"/>
                  </w:tcBorders>
                  <w:vAlign w:val="center"/>
                </w:tcPr>
                <w:p>
                  <w:pPr>
                    <w:pStyle w:val="35"/>
                    <w:rPr>
                      <w:szCs w:val="21"/>
                    </w:rPr>
                  </w:pPr>
                </w:p>
              </w:tc>
              <w:tc>
                <w:tcPr>
                  <w:tcW w:w="1561" w:type="dxa"/>
                  <w:vMerge w:val="continue"/>
                  <w:tcBorders>
                    <w:left w:val="single" w:color="auto" w:sz="4" w:space="0"/>
                    <w:bottom w:val="single" w:color="auto" w:sz="4" w:space="0"/>
                    <w:right w:val="single" w:color="auto" w:sz="4" w:space="0"/>
                  </w:tcBorders>
                  <w:vAlign w:val="center"/>
                </w:tcPr>
                <w:p>
                  <w:pPr>
                    <w:pStyle w:val="35"/>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pStyle w:val="35"/>
                    <w:rPr>
                      <w:b/>
                      <w:bCs/>
                      <w:szCs w:val="21"/>
                    </w:rPr>
                  </w:pPr>
                  <w:r>
                    <w:rPr>
                      <w:rFonts w:hint="eastAsia"/>
                      <w:b/>
                      <w:bCs/>
                      <w:szCs w:val="21"/>
                    </w:rPr>
                    <w:t>扩建前</w:t>
                  </w:r>
                </w:p>
              </w:tc>
              <w:tc>
                <w:tcPr>
                  <w:tcW w:w="1135" w:type="dxa"/>
                  <w:tcBorders>
                    <w:left w:val="single" w:color="auto" w:sz="4" w:space="0"/>
                    <w:bottom w:val="single" w:color="auto" w:sz="4" w:space="0"/>
                    <w:right w:val="single" w:color="auto" w:sz="4" w:space="0"/>
                  </w:tcBorders>
                  <w:vAlign w:val="center"/>
                </w:tcPr>
                <w:p>
                  <w:pPr>
                    <w:pStyle w:val="35"/>
                    <w:rPr>
                      <w:b/>
                      <w:bCs/>
                      <w:szCs w:val="21"/>
                    </w:rPr>
                  </w:pPr>
                  <w:r>
                    <w:rPr>
                      <w:rFonts w:hint="eastAsia"/>
                      <w:b/>
                      <w:bCs/>
                      <w:szCs w:val="21"/>
                    </w:rPr>
                    <w:t>扩建后</w:t>
                  </w:r>
                </w:p>
              </w:tc>
              <w:tc>
                <w:tcPr>
                  <w:tcW w:w="993" w:type="dxa"/>
                  <w:tcBorders>
                    <w:left w:val="single" w:color="auto" w:sz="4" w:space="0"/>
                    <w:bottom w:val="single" w:color="auto" w:sz="4" w:space="0"/>
                    <w:right w:val="single" w:color="auto" w:sz="4" w:space="0"/>
                  </w:tcBorders>
                  <w:vAlign w:val="center"/>
                </w:tcPr>
                <w:p>
                  <w:pPr>
                    <w:pStyle w:val="35"/>
                    <w:rPr>
                      <w:b/>
                      <w:bCs/>
                      <w:szCs w:val="21"/>
                    </w:rPr>
                  </w:pPr>
                  <w:r>
                    <w:rPr>
                      <w:rFonts w:hint="eastAsia"/>
                      <w:b/>
                      <w:bCs/>
                      <w:szCs w:val="21"/>
                    </w:rPr>
                    <w:t>变化量</w:t>
                  </w:r>
                </w:p>
              </w:tc>
              <w:tc>
                <w:tcPr>
                  <w:tcW w:w="1139" w:type="dxa"/>
                  <w:vMerge w:val="continue"/>
                  <w:tcBorders>
                    <w:left w:val="single" w:color="auto" w:sz="4" w:space="0"/>
                    <w:bottom w:val="single" w:color="auto" w:sz="4" w:space="0"/>
                    <w:right w:val="single" w:color="auto" w:sz="4" w:space="0"/>
                  </w:tcBorders>
                  <w:vAlign w:val="center"/>
                </w:tcPr>
                <w:p>
                  <w:pPr>
                    <w:pStyle w:val="35"/>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pStyle w:val="35"/>
                    <w:rPr>
                      <w:szCs w:val="21"/>
                    </w:rPr>
                  </w:pPr>
                  <w:r>
                    <w:rPr>
                      <w:szCs w:val="21"/>
                    </w:rPr>
                    <w:t>1</w:t>
                  </w:r>
                </w:p>
              </w:tc>
              <w:tc>
                <w:tcPr>
                  <w:tcW w:w="1283" w:type="dxa"/>
                  <w:tcBorders>
                    <w:top w:val="single" w:color="auto" w:sz="4" w:space="0"/>
                    <w:left w:val="single" w:color="auto" w:sz="4" w:space="0"/>
                    <w:right w:val="single" w:color="auto" w:sz="4" w:space="0"/>
                  </w:tcBorders>
                  <w:vAlign w:val="center"/>
                </w:tcPr>
                <w:p>
                  <w:pPr>
                    <w:pStyle w:val="35"/>
                    <w:rPr>
                      <w:rFonts w:hint="eastAsia" w:eastAsia="宋体"/>
                      <w:szCs w:val="21"/>
                      <w:lang w:eastAsia="zh-CN"/>
                    </w:rPr>
                  </w:pPr>
                  <w:r>
                    <w:rPr>
                      <w:rFonts w:hint="eastAsia"/>
                      <w:szCs w:val="21"/>
                      <w:lang w:eastAsia="zh-CN"/>
                    </w:rPr>
                    <w:t>旧厂区</w:t>
                  </w:r>
                </w:p>
              </w:tc>
              <w:tc>
                <w:tcPr>
                  <w:tcW w:w="1561" w:type="dxa"/>
                  <w:tcBorders>
                    <w:top w:val="single" w:color="auto" w:sz="4" w:space="0"/>
                    <w:left w:val="single" w:color="auto" w:sz="4" w:space="0"/>
                    <w:bottom w:val="single" w:color="auto" w:sz="4" w:space="0"/>
                    <w:right w:val="single" w:color="auto" w:sz="4" w:space="0"/>
                  </w:tcBorders>
                  <w:vAlign w:val="center"/>
                </w:tcPr>
                <w:p>
                  <w:pPr>
                    <w:pStyle w:val="35"/>
                    <w:rPr>
                      <w:rFonts w:hint="eastAsia"/>
                      <w:szCs w:val="21"/>
                      <w:lang w:eastAsia="zh-CN"/>
                    </w:rPr>
                  </w:pPr>
                  <w:r>
                    <w:rPr>
                      <w:rFonts w:hint="eastAsia"/>
                      <w:szCs w:val="21"/>
                      <w:lang w:eastAsia="zh-CN"/>
                    </w:rPr>
                    <w:t>零部件</w:t>
                  </w:r>
                </w:p>
              </w:tc>
              <w:tc>
                <w:tcPr>
                  <w:tcW w:w="1277" w:type="dxa"/>
                  <w:tcBorders>
                    <w:top w:val="single" w:color="auto" w:sz="4" w:space="0"/>
                    <w:left w:val="single" w:color="auto" w:sz="4" w:space="0"/>
                    <w:bottom w:val="single" w:color="auto" w:sz="4" w:space="0"/>
                    <w:right w:val="single" w:color="auto" w:sz="4" w:space="0"/>
                  </w:tcBorders>
                  <w:vAlign w:val="center"/>
                </w:tcPr>
                <w:p>
                  <w:pPr>
                    <w:pStyle w:val="35"/>
                    <w:rPr>
                      <w:rFonts w:hint="default"/>
                      <w:szCs w:val="21"/>
                      <w:lang w:val="en-US" w:eastAsia="zh-CN"/>
                    </w:rPr>
                  </w:pPr>
                  <w:r>
                    <w:rPr>
                      <w:rFonts w:hint="eastAsia"/>
                      <w:szCs w:val="21"/>
                      <w:lang w:val="en-US" w:eastAsia="zh-CN"/>
                    </w:rPr>
                    <w:t>100万</w:t>
                  </w:r>
                </w:p>
              </w:tc>
              <w:tc>
                <w:tcPr>
                  <w:tcW w:w="1135"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szCs w:val="21"/>
                      <w:lang w:val="en-US" w:eastAsia="zh-CN"/>
                    </w:rPr>
                  </w:pPr>
                  <w:r>
                    <w:rPr>
                      <w:rFonts w:hint="eastAsia"/>
                      <w:szCs w:val="21"/>
                      <w:lang w:val="en-US" w:eastAsia="zh-CN"/>
                    </w:rPr>
                    <w:t>100万</w:t>
                  </w:r>
                </w:p>
              </w:tc>
              <w:tc>
                <w:tcPr>
                  <w:tcW w:w="993" w:type="dxa"/>
                  <w:tcBorders>
                    <w:top w:val="single" w:color="auto" w:sz="4" w:space="0"/>
                    <w:left w:val="single" w:color="auto" w:sz="4" w:space="0"/>
                    <w:bottom w:val="single" w:color="auto" w:sz="4" w:space="0"/>
                    <w:right w:val="single" w:color="auto" w:sz="4" w:space="0"/>
                  </w:tcBorders>
                  <w:vAlign w:val="center"/>
                </w:tcPr>
                <w:p>
                  <w:pPr>
                    <w:pStyle w:val="35"/>
                    <w:rPr>
                      <w:szCs w:val="21"/>
                    </w:rPr>
                  </w:pPr>
                  <w:r>
                    <w:rPr>
                      <w:rFonts w:hint="eastAsia"/>
                      <w:szCs w:val="21"/>
                    </w:rPr>
                    <w:t>0</w:t>
                  </w:r>
                </w:p>
              </w:tc>
              <w:tc>
                <w:tcPr>
                  <w:tcW w:w="1139" w:type="dxa"/>
                  <w:vMerge w:val="restart"/>
                  <w:tcBorders>
                    <w:top w:val="single" w:color="auto" w:sz="4" w:space="0"/>
                    <w:left w:val="single" w:color="auto" w:sz="4" w:space="0"/>
                    <w:right w:val="single" w:color="auto" w:sz="4" w:space="0"/>
                  </w:tcBorders>
                  <w:vAlign w:val="center"/>
                </w:tcPr>
                <w:p>
                  <w:pPr>
                    <w:pStyle w:val="35"/>
                    <w:rPr>
                      <w:szCs w:val="21"/>
                    </w:rPr>
                  </w:pPr>
                  <w:r>
                    <w:rPr>
                      <w:szCs w:val="21"/>
                    </w:rPr>
                    <w:t>2000h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pPr>
                    <w:pStyle w:val="35"/>
                    <w:rPr>
                      <w:szCs w:val="21"/>
                    </w:rPr>
                  </w:pPr>
                  <w:r>
                    <w:rPr>
                      <w:szCs w:val="21"/>
                    </w:rPr>
                    <w:t>2</w:t>
                  </w:r>
                </w:p>
              </w:tc>
              <w:tc>
                <w:tcPr>
                  <w:tcW w:w="1283" w:type="dxa"/>
                  <w:tcBorders>
                    <w:left w:val="single" w:color="auto" w:sz="4" w:space="0"/>
                    <w:right w:val="single" w:color="auto" w:sz="4" w:space="0"/>
                  </w:tcBorders>
                  <w:vAlign w:val="center"/>
                </w:tcPr>
                <w:p>
                  <w:pPr>
                    <w:pStyle w:val="35"/>
                    <w:rPr>
                      <w:rFonts w:hint="eastAsia" w:eastAsia="宋体"/>
                      <w:szCs w:val="21"/>
                      <w:lang w:eastAsia="zh-CN"/>
                    </w:rPr>
                  </w:pPr>
                  <w:r>
                    <w:rPr>
                      <w:rFonts w:hint="eastAsia"/>
                      <w:szCs w:val="21"/>
                      <w:lang w:eastAsia="zh-CN"/>
                    </w:rPr>
                    <w:t>新厂区</w:t>
                  </w:r>
                </w:p>
              </w:tc>
              <w:tc>
                <w:tcPr>
                  <w:tcW w:w="1561" w:type="dxa"/>
                  <w:tcBorders>
                    <w:top w:val="single" w:color="auto" w:sz="4" w:space="0"/>
                    <w:left w:val="single" w:color="auto" w:sz="4" w:space="0"/>
                    <w:bottom w:val="single" w:color="auto" w:sz="4" w:space="0"/>
                    <w:right w:val="single" w:color="auto" w:sz="4" w:space="0"/>
                  </w:tcBorders>
                  <w:vAlign w:val="center"/>
                </w:tcPr>
                <w:p>
                  <w:pPr>
                    <w:pStyle w:val="35"/>
                    <w:rPr>
                      <w:szCs w:val="21"/>
                    </w:rPr>
                  </w:pPr>
                  <w:r>
                    <w:rPr>
                      <w:rFonts w:hint="eastAsia"/>
                      <w:lang w:val="en-US" w:eastAsia="zh-CN"/>
                    </w:rPr>
                    <w:t>医疗器械生产组装及配件</w:t>
                  </w:r>
                </w:p>
              </w:tc>
              <w:tc>
                <w:tcPr>
                  <w:tcW w:w="1277"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szCs w:val="21"/>
                      <w:lang w:val="en-US" w:eastAsia="zh-CN"/>
                    </w:rPr>
                  </w:pPr>
                  <w:r>
                    <w:rPr>
                      <w:rFonts w:hint="eastAsia"/>
                      <w:szCs w:val="21"/>
                      <w:lang w:val="en-US" w:eastAsia="zh-CN"/>
                    </w:rPr>
                    <w:t>0</w:t>
                  </w:r>
                </w:p>
              </w:tc>
              <w:tc>
                <w:tcPr>
                  <w:tcW w:w="1135"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szCs w:val="21"/>
                      <w:lang w:val="en-US" w:eastAsia="zh-CN"/>
                    </w:rPr>
                  </w:pPr>
                  <w:r>
                    <w:rPr>
                      <w:rFonts w:hint="eastAsia"/>
                      <w:szCs w:val="21"/>
                      <w:lang w:val="en-US" w:eastAsia="zh-CN"/>
                    </w:rPr>
                    <w:t>50万</w:t>
                  </w:r>
                </w:p>
              </w:tc>
              <w:tc>
                <w:tcPr>
                  <w:tcW w:w="993"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szCs w:val="21"/>
                      <w:lang w:val="en-US" w:eastAsia="zh-CN"/>
                    </w:rPr>
                  </w:pPr>
                  <w:r>
                    <w:rPr>
                      <w:rFonts w:hint="eastAsia"/>
                      <w:szCs w:val="21"/>
                      <w:lang w:val="en-US" w:eastAsia="zh-CN"/>
                    </w:rPr>
                    <w:t>+50万</w:t>
                  </w:r>
                </w:p>
              </w:tc>
              <w:tc>
                <w:tcPr>
                  <w:tcW w:w="1139" w:type="dxa"/>
                  <w:vMerge w:val="continue"/>
                  <w:tcBorders>
                    <w:left w:val="single" w:color="auto" w:sz="4" w:space="0"/>
                    <w:right w:val="single" w:color="auto" w:sz="4" w:space="0"/>
                  </w:tcBorders>
                  <w:vAlign w:val="center"/>
                </w:tcPr>
                <w:p>
                  <w:pPr>
                    <w:pStyle w:val="35"/>
                    <w:rPr>
                      <w:szCs w:val="21"/>
                    </w:rPr>
                  </w:pPr>
                </w:p>
              </w:tc>
            </w:tr>
          </w:tbl>
          <w:p>
            <w:pPr>
              <w:pStyle w:val="14"/>
            </w:pPr>
            <w:r>
              <w:t>4</w:t>
            </w:r>
            <w:r>
              <w:rPr>
                <w:rFonts w:hint="eastAsia"/>
              </w:rPr>
              <w:t>、项目组成</w:t>
            </w:r>
          </w:p>
          <w:p>
            <w:pPr>
              <w:pStyle w:val="29"/>
              <w:ind w:firstLine="0" w:firstLineChars="0"/>
              <w:rPr>
                <w:rFonts w:hint="eastAsia"/>
              </w:rPr>
            </w:pPr>
            <w:r>
              <w:rPr>
                <w:rFonts w:hint="eastAsia"/>
              </w:rPr>
              <w:t>项目建成后主体、公用及环保工程情况见下表。</w:t>
            </w:r>
          </w:p>
          <w:p>
            <w:pPr>
              <w:pStyle w:val="12"/>
            </w:pPr>
            <w:r>
              <w:rPr>
                <w:rFonts w:hint="eastAsia"/>
              </w:rPr>
              <w:t>表</w:t>
            </w:r>
            <w:r>
              <w:t xml:space="preserve">2-2  </w:t>
            </w:r>
            <w:r>
              <w:rPr>
                <w:rFonts w:hint="eastAsia"/>
                <w:lang w:eastAsia="zh-CN"/>
              </w:rPr>
              <w:t>本项目扩建前旧厂区</w:t>
            </w:r>
            <w:r>
              <w:rPr>
                <w:rFonts w:hint="eastAsia"/>
              </w:rPr>
              <w:t>主体、公用及环保工程情况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786"/>
              <w:gridCol w:w="2659"/>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Align w:val="center"/>
                </w:tcPr>
                <w:p>
                  <w:pPr>
                    <w:pStyle w:val="35"/>
                    <w:rPr>
                      <w:b/>
                      <w:bCs/>
                    </w:rPr>
                  </w:pPr>
                  <w:r>
                    <w:rPr>
                      <w:rFonts w:hint="eastAsia"/>
                      <w:b/>
                      <w:bCs/>
                    </w:rPr>
                    <w:t>类别</w:t>
                  </w:r>
                </w:p>
              </w:tc>
              <w:tc>
                <w:tcPr>
                  <w:tcW w:w="1080" w:type="pct"/>
                  <w:vAlign w:val="center"/>
                </w:tcPr>
                <w:p>
                  <w:pPr>
                    <w:pStyle w:val="35"/>
                    <w:rPr>
                      <w:b/>
                      <w:bCs/>
                    </w:rPr>
                  </w:pPr>
                  <w:r>
                    <w:rPr>
                      <w:rFonts w:hint="eastAsia"/>
                      <w:b/>
                      <w:bCs/>
                    </w:rPr>
                    <w:t>工程名称</w:t>
                  </w:r>
                </w:p>
              </w:tc>
              <w:tc>
                <w:tcPr>
                  <w:tcW w:w="1609" w:type="pct"/>
                  <w:vAlign w:val="center"/>
                </w:tcPr>
                <w:p>
                  <w:pPr>
                    <w:pStyle w:val="35"/>
                    <w:rPr>
                      <w:b/>
                      <w:bCs/>
                    </w:rPr>
                  </w:pPr>
                  <w:r>
                    <w:rPr>
                      <w:rFonts w:hint="eastAsia"/>
                      <w:b/>
                      <w:bCs/>
                    </w:rPr>
                    <w:t>设计能力</w:t>
                  </w:r>
                </w:p>
              </w:tc>
              <w:tc>
                <w:tcPr>
                  <w:tcW w:w="1552" w:type="pct"/>
                  <w:vAlign w:val="center"/>
                </w:tcPr>
                <w:p>
                  <w:pPr>
                    <w:pStyle w:val="35"/>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Align w:val="center"/>
                </w:tcPr>
                <w:p>
                  <w:pPr>
                    <w:pStyle w:val="35"/>
                    <w:rPr>
                      <w:rFonts w:hint="eastAsia" w:eastAsia="宋体"/>
                      <w:lang w:eastAsia="zh-CN"/>
                    </w:rPr>
                  </w:pPr>
                  <w:r>
                    <w:rPr>
                      <w:rFonts w:hint="eastAsia"/>
                      <w:lang w:eastAsia="zh-CN"/>
                    </w:rPr>
                    <w:t>贮运工程</w:t>
                  </w:r>
                </w:p>
              </w:tc>
              <w:tc>
                <w:tcPr>
                  <w:tcW w:w="1080" w:type="pct"/>
                  <w:vAlign w:val="center"/>
                </w:tcPr>
                <w:p>
                  <w:pPr>
                    <w:pStyle w:val="35"/>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原料仓库</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lang w:eastAsia="zh-CN"/>
                    </w:rPr>
                  </w:pPr>
                  <w:r>
                    <w:rPr>
                      <w:rFonts w:hint="eastAsia"/>
                      <w:lang w:eastAsia="zh-CN"/>
                    </w:rPr>
                    <w:t>用于存放原辅料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vAlign w:val="center"/>
                </w:tcPr>
                <w:p>
                  <w:pPr>
                    <w:pStyle w:val="35"/>
                  </w:pPr>
                  <w:r>
                    <w:rPr>
                      <w:rFonts w:hint="eastAsia"/>
                    </w:rPr>
                    <w:t>公用工程</w:t>
                  </w:r>
                </w:p>
              </w:tc>
              <w:tc>
                <w:tcPr>
                  <w:tcW w:w="1080" w:type="pct"/>
                  <w:vAlign w:val="center"/>
                </w:tcPr>
                <w:p>
                  <w:pPr>
                    <w:pStyle w:val="35"/>
                  </w:pPr>
                  <w:r>
                    <w:rPr>
                      <w:rFonts w:hint="eastAsia"/>
                    </w:rPr>
                    <w:t>给水</w:t>
                  </w:r>
                </w:p>
              </w:tc>
              <w:tc>
                <w:tcPr>
                  <w:tcW w:w="1609" w:type="pct"/>
                  <w:vAlign w:val="center"/>
                </w:tcPr>
                <w:p>
                  <w:pPr>
                    <w:pStyle w:val="35"/>
                    <w:rPr>
                      <w:rFonts w:hint="default" w:eastAsia="宋体"/>
                      <w:color w:val="auto"/>
                      <w:lang w:val="en-US" w:eastAsia="zh-CN"/>
                    </w:rPr>
                  </w:pPr>
                  <w:r>
                    <w:rPr>
                      <w:rFonts w:hint="eastAsia"/>
                      <w:color w:val="auto"/>
                      <w:lang w:val="en-US" w:eastAsia="zh-CN"/>
                    </w:rPr>
                    <w:t>1937t/a</w:t>
                  </w:r>
                </w:p>
              </w:tc>
              <w:tc>
                <w:tcPr>
                  <w:tcW w:w="1552" w:type="pct"/>
                  <w:vAlign w:val="center"/>
                </w:tcPr>
                <w:p>
                  <w:pPr>
                    <w:pStyle w:val="35"/>
                    <w:rPr>
                      <w:rFonts w:ascii="Times New Roman" w:hAnsi="Times New Roman" w:eastAsia="宋体" w:cs="Times New Roman"/>
                      <w:color w:val="auto"/>
                      <w:kern w:val="2"/>
                      <w:sz w:val="21"/>
                      <w:szCs w:val="24"/>
                      <w:lang w:val="en-US" w:eastAsia="zh-CN" w:bidi="ar-SA"/>
                    </w:rPr>
                  </w:pPr>
                  <w:r>
                    <w:rPr>
                      <w:rFonts w:hint="eastAsia"/>
                      <w:color w:val="auto"/>
                    </w:rPr>
                    <w:t>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排水</w:t>
                  </w:r>
                </w:p>
              </w:tc>
              <w:tc>
                <w:tcPr>
                  <w:tcW w:w="1609" w:type="pct"/>
                  <w:vAlign w:val="center"/>
                </w:tcPr>
                <w:p>
                  <w:pPr>
                    <w:pStyle w:val="35"/>
                    <w:rPr>
                      <w:rFonts w:hint="default" w:eastAsia="宋体"/>
                      <w:color w:val="auto"/>
                      <w:lang w:val="en-US" w:eastAsia="zh-CN"/>
                    </w:rPr>
                  </w:pPr>
                  <w:r>
                    <w:rPr>
                      <w:rFonts w:hint="eastAsia"/>
                      <w:color w:val="auto"/>
                      <w:lang w:val="en-US" w:eastAsia="zh-CN"/>
                    </w:rPr>
                    <w:t>480t/a</w:t>
                  </w:r>
                </w:p>
              </w:tc>
              <w:tc>
                <w:tcPr>
                  <w:tcW w:w="1552" w:type="pct"/>
                  <w:vAlign w:val="center"/>
                </w:tcPr>
                <w:p>
                  <w:pPr>
                    <w:pStyle w:val="35"/>
                    <w:rPr>
                      <w:rFonts w:ascii="Times New Roman" w:hAnsi="Times New Roman" w:eastAsia="宋体" w:cs="Times New Roman"/>
                      <w:color w:val="auto"/>
                      <w:kern w:val="2"/>
                      <w:sz w:val="21"/>
                      <w:szCs w:val="24"/>
                      <w:lang w:val="en-US" w:eastAsia="zh-CN" w:bidi="ar-SA"/>
                    </w:rPr>
                  </w:pPr>
                  <w:r>
                    <w:rPr>
                      <w:rFonts w:hint="eastAsia"/>
                      <w:color w:val="auto"/>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供电</w:t>
                  </w:r>
                </w:p>
              </w:tc>
              <w:tc>
                <w:tcPr>
                  <w:tcW w:w="1609" w:type="pct"/>
                  <w:vAlign w:val="center"/>
                </w:tcPr>
                <w:p>
                  <w:pPr>
                    <w:pStyle w:val="35"/>
                    <w:rPr>
                      <w:rFonts w:hint="default" w:eastAsia="宋体"/>
                      <w:color w:val="auto"/>
                      <w:lang w:val="en-US" w:eastAsia="zh-CN"/>
                    </w:rPr>
                  </w:pPr>
                  <w:r>
                    <w:rPr>
                      <w:rFonts w:hint="eastAsia"/>
                      <w:color w:val="auto"/>
                      <w:lang w:val="en-US" w:eastAsia="zh-CN"/>
                    </w:rPr>
                    <w:t>3</w:t>
                  </w:r>
                  <w:r>
                    <w:rPr>
                      <w:rFonts w:hint="eastAsia"/>
                      <w:color w:val="auto"/>
                    </w:rPr>
                    <w:t>万</w:t>
                  </w:r>
                  <w:r>
                    <w:rPr>
                      <w:color w:val="auto"/>
                    </w:rPr>
                    <w:t>kwh/a</w:t>
                  </w:r>
                </w:p>
              </w:tc>
              <w:tc>
                <w:tcPr>
                  <w:tcW w:w="1552" w:type="pct"/>
                  <w:vAlign w:val="center"/>
                </w:tcPr>
                <w:p>
                  <w:pPr>
                    <w:pStyle w:val="35"/>
                    <w:rPr>
                      <w:rFonts w:ascii="Times New Roman" w:hAnsi="Times New Roman" w:eastAsia="宋体" w:cs="Times New Roman"/>
                      <w:color w:val="auto"/>
                      <w:kern w:val="2"/>
                      <w:sz w:val="21"/>
                      <w:szCs w:val="24"/>
                      <w:lang w:val="en-US" w:eastAsia="zh-CN" w:bidi="ar-SA"/>
                    </w:rPr>
                  </w:pPr>
                  <w:r>
                    <w:rPr>
                      <w:rFonts w:hint="eastAsia"/>
                      <w:color w:val="auto"/>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Align w:val="center"/>
                </w:tcPr>
                <w:p>
                  <w:pPr>
                    <w:pStyle w:val="35"/>
                    <w:rPr>
                      <w:rFonts w:hint="eastAsia" w:eastAsia="宋体"/>
                      <w:lang w:eastAsia="zh-CN"/>
                    </w:rPr>
                  </w:pPr>
                  <w:r>
                    <w:rPr>
                      <w:rFonts w:hint="eastAsia"/>
                      <w:lang w:eastAsia="zh-CN"/>
                    </w:rPr>
                    <w:t>辅助工程</w:t>
                  </w:r>
                </w:p>
              </w:tc>
              <w:tc>
                <w:tcPr>
                  <w:tcW w:w="1080" w:type="pct"/>
                  <w:vAlign w:val="center"/>
                </w:tcPr>
                <w:p>
                  <w:pPr>
                    <w:pStyle w:val="35"/>
                    <w:rPr>
                      <w:rFonts w:hint="eastAsia" w:eastAsia="宋体"/>
                      <w:lang w:eastAsia="zh-CN"/>
                    </w:rPr>
                  </w:pPr>
                  <w:r>
                    <w:rPr>
                      <w:rFonts w:hint="eastAsia"/>
                      <w:lang w:eastAsia="zh-CN"/>
                    </w:rPr>
                    <w:t>办公区</w:t>
                  </w:r>
                </w:p>
              </w:tc>
              <w:tc>
                <w:tcPr>
                  <w:tcW w:w="1609" w:type="pct"/>
                  <w:vAlign w:val="center"/>
                </w:tcPr>
                <w:p>
                  <w:pPr>
                    <w:pStyle w:val="35"/>
                    <w:rPr>
                      <w:rFonts w:hint="default"/>
                      <w:color w:val="auto"/>
                      <w:lang w:val="en-US" w:eastAsia="zh-CN"/>
                    </w:rPr>
                  </w:pPr>
                  <w:r>
                    <w:rPr>
                      <w:rFonts w:hint="eastAsia"/>
                      <w:color w:val="auto"/>
                      <w:lang w:val="en-US" w:eastAsia="zh-CN"/>
                    </w:rPr>
                    <w:t>200</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color w:val="auto"/>
                      <w:lang w:eastAsia="zh-CN"/>
                    </w:rPr>
                  </w:pPr>
                  <w:r>
                    <w:rPr>
                      <w:rFonts w:hint="eastAsia"/>
                      <w:color w:val="auto"/>
                      <w:lang w:eastAsia="zh-CN"/>
                    </w:rPr>
                    <w:t>人员办公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vAlign w:val="center"/>
                </w:tcPr>
                <w:p>
                  <w:pPr>
                    <w:pStyle w:val="35"/>
                  </w:pPr>
                  <w:r>
                    <w:rPr>
                      <w:rFonts w:hint="eastAsia"/>
                    </w:rPr>
                    <w:t>环保工程</w:t>
                  </w:r>
                </w:p>
              </w:tc>
              <w:tc>
                <w:tcPr>
                  <w:tcW w:w="1080" w:type="pct"/>
                  <w:vAlign w:val="center"/>
                </w:tcPr>
                <w:p>
                  <w:pPr>
                    <w:pStyle w:val="35"/>
                  </w:pPr>
                  <w:r>
                    <w:rPr>
                      <w:rFonts w:hint="eastAsia"/>
                    </w:rPr>
                    <w:t>废气处理</w:t>
                  </w:r>
                </w:p>
              </w:tc>
              <w:tc>
                <w:tcPr>
                  <w:tcW w:w="1609" w:type="pct"/>
                  <w:vAlign w:val="center"/>
                </w:tcPr>
                <w:p>
                  <w:pPr>
                    <w:pStyle w:val="3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新增一套废气处理装置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废水处理</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生活污水</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危险废物仓库</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default" w:eastAsia="宋体"/>
                      <w:color w:val="auto"/>
                      <w:lang w:val="en-US" w:eastAsia="zh-CN"/>
                    </w:rPr>
                  </w:pPr>
                  <w:r>
                    <w:rPr>
                      <w:rFonts w:hint="eastAsia"/>
                      <w:color w:val="auto"/>
                      <w:lang w:val="en-US" w:eastAsia="zh-CN"/>
                    </w:rPr>
                    <w:t>位于车间内，暂存危险废物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一般废物仓库</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lang w:eastAsia="zh-CN"/>
                    </w:rPr>
                  </w:pPr>
                  <w:r>
                    <w:rPr>
                      <w:rFonts w:hint="eastAsia"/>
                      <w:lang w:eastAsia="zh-CN"/>
                    </w:rPr>
                    <w:t>位于车间内暂存一般固废</w:t>
                  </w:r>
                </w:p>
              </w:tc>
            </w:tr>
          </w:tbl>
          <w:p>
            <w:pPr>
              <w:pStyle w:val="29"/>
              <w:ind w:firstLine="0" w:firstLineChars="0"/>
              <w:rPr>
                <w:rFonts w:hint="eastAsia"/>
              </w:rPr>
            </w:pPr>
          </w:p>
          <w:p>
            <w:pPr>
              <w:pStyle w:val="12"/>
            </w:pPr>
            <w:r>
              <w:rPr>
                <w:rFonts w:hint="eastAsia"/>
              </w:rPr>
              <w:t>表</w:t>
            </w:r>
            <w:r>
              <w:t>2-</w:t>
            </w:r>
            <w:r>
              <w:rPr>
                <w:rFonts w:hint="eastAsia"/>
                <w:lang w:val="en-US" w:eastAsia="zh-CN"/>
              </w:rPr>
              <w:t>3</w:t>
            </w:r>
            <w:r>
              <w:t xml:space="preserve">  </w:t>
            </w:r>
            <w:r>
              <w:rPr>
                <w:rFonts w:hint="eastAsia"/>
                <w:lang w:eastAsia="zh-CN"/>
              </w:rPr>
              <w:t>本</w:t>
            </w:r>
            <w:r>
              <w:rPr>
                <w:rFonts w:hint="eastAsia"/>
              </w:rPr>
              <w:t>项目</w:t>
            </w:r>
            <w:r>
              <w:rPr>
                <w:rFonts w:hint="eastAsia"/>
                <w:lang w:eastAsia="zh-CN"/>
              </w:rPr>
              <w:t>扩建后新厂区</w:t>
            </w:r>
            <w:r>
              <w:rPr>
                <w:rFonts w:hint="eastAsia"/>
              </w:rPr>
              <w:t>主体、公用及环保工程情况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786"/>
              <w:gridCol w:w="2659"/>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Align w:val="center"/>
                </w:tcPr>
                <w:p>
                  <w:pPr>
                    <w:pStyle w:val="35"/>
                    <w:rPr>
                      <w:b/>
                      <w:bCs/>
                    </w:rPr>
                  </w:pPr>
                  <w:r>
                    <w:rPr>
                      <w:rFonts w:hint="eastAsia"/>
                      <w:b/>
                      <w:bCs/>
                    </w:rPr>
                    <w:t>类别</w:t>
                  </w:r>
                </w:p>
              </w:tc>
              <w:tc>
                <w:tcPr>
                  <w:tcW w:w="1080" w:type="pct"/>
                  <w:vAlign w:val="center"/>
                </w:tcPr>
                <w:p>
                  <w:pPr>
                    <w:pStyle w:val="35"/>
                    <w:rPr>
                      <w:b/>
                      <w:bCs/>
                    </w:rPr>
                  </w:pPr>
                  <w:r>
                    <w:rPr>
                      <w:rFonts w:hint="eastAsia"/>
                      <w:b/>
                      <w:bCs/>
                    </w:rPr>
                    <w:t>工程名称</w:t>
                  </w:r>
                </w:p>
              </w:tc>
              <w:tc>
                <w:tcPr>
                  <w:tcW w:w="1609" w:type="pct"/>
                  <w:vAlign w:val="center"/>
                </w:tcPr>
                <w:p>
                  <w:pPr>
                    <w:pStyle w:val="35"/>
                    <w:rPr>
                      <w:b/>
                      <w:bCs/>
                    </w:rPr>
                  </w:pPr>
                  <w:r>
                    <w:rPr>
                      <w:rFonts w:hint="eastAsia"/>
                      <w:b/>
                      <w:bCs/>
                    </w:rPr>
                    <w:t>设计能力</w:t>
                  </w:r>
                </w:p>
              </w:tc>
              <w:tc>
                <w:tcPr>
                  <w:tcW w:w="1552" w:type="pct"/>
                  <w:vAlign w:val="center"/>
                </w:tcPr>
                <w:p>
                  <w:pPr>
                    <w:pStyle w:val="35"/>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Align w:val="center"/>
                </w:tcPr>
                <w:p>
                  <w:pPr>
                    <w:pStyle w:val="35"/>
                    <w:rPr>
                      <w:rFonts w:hint="eastAsia" w:eastAsia="宋体"/>
                      <w:lang w:eastAsia="zh-CN"/>
                    </w:rPr>
                  </w:pPr>
                  <w:r>
                    <w:rPr>
                      <w:rFonts w:hint="eastAsia"/>
                      <w:lang w:eastAsia="zh-CN"/>
                    </w:rPr>
                    <w:t>主体工程</w:t>
                  </w:r>
                </w:p>
              </w:tc>
              <w:tc>
                <w:tcPr>
                  <w:tcW w:w="1080" w:type="pct"/>
                  <w:vAlign w:val="center"/>
                </w:tcPr>
                <w:p>
                  <w:pPr>
                    <w:pStyle w:val="35"/>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厂区建筑</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建筑面积</w:t>
                  </w:r>
                  <w:r>
                    <w:rPr>
                      <w:rFonts w:hint="eastAsia"/>
                      <w:color w:val="000000" w:themeColor="text1"/>
                      <w:lang w:val="en-US" w:eastAsia="zh-CN"/>
                      <w14:textFill>
                        <w14:solidFill>
                          <w14:schemeClr w14:val="tx1"/>
                        </w14:solidFill>
                      </w14:textFill>
                    </w:rPr>
                    <w:t>4173.56m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lang w:eastAsia="zh-CN"/>
                    </w:rPr>
                  </w:pPr>
                  <w:r>
                    <w:rPr>
                      <w:rFonts w:hint="eastAsia"/>
                      <w:lang w:eastAsia="zh-CN"/>
                    </w:rPr>
                    <w:t>租赁新厂房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vAlign w:val="center"/>
                </w:tcPr>
                <w:p>
                  <w:pPr>
                    <w:pStyle w:val="35"/>
                  </w:pPr>
                  <w:r>
                    <w:rPr>
                      <w:rFonts w:hint="eastAsia"/>
                    </w:rPr>
                    <w:t>贮运工程</w:t>
                  </w:r>
                </w:p>
              </w:tc>
              <w:tc>
                <w:tcPr>
                  <w:tcW w:w="1080" w:type="pct"/>
                  <w:vAlign w:val="center"/>
                </w:tcPr>
                <w:p>
                  <w:pPr>
                    <w:pStyle w:val="35"/>
                    <w:rPr>
                      <w:rFonts w:ascii="Times New Roman" w:hAnsi="Times New Roman" w:eastAsia="宋体" w:cs="Times New Roman"/>
                      <w:kern w:val="2"/>
                      <w:sz w:val="21"/>
                      <w:szCs w:val="24"/>
                      <w:lang w:val="en-US" w:eastAsia="zh-CN" w:bidi="ar-SA"/>
                    </w:rPr>
                  </w:pPr>
                  <w:r>
                    <w:rPr>
                      <w:rFonts w:hint="eastAsia"/>
                      <w:lang w:eastAsia="zh-CN"/>
                    </w:rPr>
                    <w:t>材料</w:t>
                  </w:r>
                  <w:r>
                    <w:rPr>
                      <w:rFonts w:hint="eastAsia"/>
                    </w:rPr>
                    <w:t>仓库</w:t>
                  </w:r>
                </w:p>
              </w:tc>
              <w:tc>
                <w:tcPr>
                  <w:tcW w:w="1609" w:type="pct"/>
                  <w:vAlign w:val="center"/>
                </w:tcPr>
                <w:p>
                  <w:pPr>
                    <w:pStyle w:val="35"/>
                    <w:rPr>
                      <w:rFonts w:hint="default"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108.8</w:t>
                  </w: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rPr>
                    <w:t>成品仓库</w:t>
                  </w:r>
                </w:p>
              </w:tc>
              <w:tc>
                <w:tcPr>
                  <w:tcW w:w="1609" w:type="pct"/>
                  <w:vAlign w:val="center"/>
                </w:tcPr>
                <w:p>
                  <w:pPr>
                    <w:pStyle w:val="35"/>
                    <w:rPr>
                      <w:rFonts w:hint="default"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230m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rPr>
                      <w:rFonts w:hint="eastAsia"/>
                    </w:rPr>
                  </w:pPr>
                  <w:r>
                    <w:rPr>
                      <w:rFonts w:hint="eastAsia"/>
                      <w:color w:val="000000" w:themeColor="text1"/>
                      <w:lang w:val="en-US" w:eastAsia="zh-CN"/>
                      <w14:textFill>
                        <w14:solidFill>
                          <w14:schemeClr w14:val="tx1"/>
                        </w14:solidFill>
                      </w14:textFill>
                    </w:rPr>
                    <w:t>包装车间</w:t>
                  </w:r>
                </w:p>
              </w:tc>
              <w:tc>
                <w:tcPr>
                  <w:tcW w:w="1609" w:type="pct"/>
                  <w:vAlign w:val="center"/>
                </w:tcPr>
                <w:p>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116.7m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净化车间</w:t>
                  </w:r>
                </w:p>
              </w:tc>
              <w:tc>
                <w:tcPr>
                  <w:tcW w:w="1609" w:type="pct"/>
                  <w:vAlign w:val="center"/>
                </w:tcPr>
                <w:p>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472.7m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组装车间</w:t>
                  </w:r>
                </w:p>
              </w:tc>
              <w:tc>
                <w:tcPr>
                  <w:tcW w:w="1609" w:type="pct"/>
                  <w:vAlign w:val="center"/>
                </w:tcPr>
                <w:p>
                  <w:pPr>
                    <w:pStyle w:val="3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344.5m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vAlign w:val="center"/>
                </w:tcPr>
                <w:p>
                  <w:pPr>
                    <w:pStyle w:val="35"/>
                  </w:pPr>
                  <w:r>
                    <w:rPr>
                      <w:rFonts w:hint="eastAsia"/>
                    </w:rPr>
                    <w:t>公用工程</w:t>
                  </w:r>
                </w:p>
              </w:tc>
              <w:tc>
                <w:tcPr>
                  <w:tcW w:w="1080" w:type="pct"/>
                  <w:vAlign w:val="center"/>
                </w:tcPr>
                <w:p>
                  <w:pPr>
                    <w:pStyle w:val="35"/>
                  </w:pPr>
                  <w:r>
                    <w:rPr>
                      <w:rFonts w:hint="eastAsia"/>
                    </w:rPr>
                    <w:t>给水</w:t>
                  </w:r>
                </w:p>
              </w:tc>
              <w:tc>
                <w:tcPr>
                  <w:tcW w:w="1609" w:type="pct"/>
                  <w:vAlign w:val="center"/>
                </w:tcPr>
                <w:p>
                  <w:pPr>
                    <w:pStyle w:val="35"/>
                    <w:rPr>
                      <w:rFonts w:hint="default" w:eastAsia="宋体"/>
                      <w:color w:val="auto"/>
                      <w:lang w:val="en-US" w:eastAsia="zh-CN"/>
                    </w:rPr>
                  </w:pPr>
                  <w:r>
                    <w:rPr>
                      <w:rFonts w:hint="eastAsia"/>
                      <w:color w:val="auto"/>
                      <w:lang w:val="en-US" w:eastAsia="zh-CN"/>
                    </w:rPr>
                    <w:t>1150t/a</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排水</w:t>
                  </w:r>
                </w:p>
              </w:tc>
              <w:tc>
                <w:tcPr>
                  <w:tcW w:w="1609" w:type="pct"/>
                  <w:vAlign w:val="center"/>
                </w:tcPr>
                <w:p>
                  <w:pPr>
                    <w:pStyle w:val="35"/>
                    <w:rPr>
                      <w:rFonts w:hint="default" w:eastAsia="宋体"/>
                      <w:color w:val="auto"/>
                      <w:lang w:val="en-US" w:eastAsia="zh-CN"/>
                    </w:rPr>
                  </w:pPr>
                  <w:r>
                    <w:rPr>
                      <w:rFonts w:hint="eastAsia"/>
                      <w:color w:val="auto"/>
                      <w:lang w:val="en-US" w:eastAsia="zh-CN"/>
                    </w:rPr>
                    <w:t>1000t/a</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供电</w:t>
                  </w:r>
                </w:p>
              </w:tc>
              <w:tc>
                <w:tcPr>
                  <w:tcW w:w="1609" w:type="pct"/>
                  <w:vAlign w:val="center"/>
                </w:tcPr>
                <w:p>
                  <w:pPr>
                    <w:pStyle w:val="35"/>
                    <w:rPr>
                      <w:rFonts w:hint="default" w:eastAsia="宋体"/>
                      <w:color w:val="auto"/>
                      <w:lang w:val="en-US" w:eastAsia="zh-CN"/>
                    </w:rPr>
                  </w:pPr>
                  <w:r>
                    <w:rPr>
                      <w:rFonts w:hint="eastAsia"/>
                      <w:color w:val="auto"/>
                      <w:lang w:val="en-US" w:eastAsia="zh-CN"/>
                    </w:rPr>
                    <w:t>60</w:t>
                  </w:r>
                  <w:r>
                    <w:rPr>
                      <w:rFonts w:hint="eastAsia"/>
                      <w:color w:val="auto"/>
                    </w:rPr>
                    <w:t>万</w:t>
                  </w:r>
                  <w:r>
                    <w:rPr>
                      <w:color w:val="auto"/>
                    </w:rPr>
                    <w:t>kwh/a</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restart"/>
                  <w:vAlign w:val="center"/>
                </w:tcPr>
                <w:p>
                  <w:pPr>
                    <w:pStyle w:val="35"/>
                  </w:pPr>
                  <w:r>
                    <w:rPr>
                      <w:rFonts w:hint="eastAsia"/>
                    </w:rPr>
                    <w:t>环保工程</w:t>
                  </w:r>
                </w:p>
              </w:tc>
              <w:tc>
                <w:tcPr>
                  <w:tcW w:w="1080" w:type="pct"/>
                  <w:vAlign w:val="center"/>
                </w:tcPr>
                <w:p>
                  <w:pPr>
                    <w:pStyle w:val="35"/>
                  </w:pPr>
                  <w:r>
                    <w:rPr>
                      <w:rFonts w:hint="eastAsia"/>
                    </w:rPr>
                    <w:t>废气处理</w:t>
                  </w:r>
                </w:p>
              </w:tc>
              <w:tc>
                <w:tcPr>
                  <w:tcW w:w="1609" w:type="pct"/>
                  <w:vAlign w:val="center"/>
                </w:tcPr>
                <w:p>
                  <w:pPr>
                    <w:pStyle w:val="35"/>
                    <w:rPr>
                      <w:color w:val="auto"/>
                    </w:rPr>
                  </w:pPr>
                  <w:r>
                    <w:rPr>
                      <w:rFonts w:hint="eastAsia"/>
                      <w:color w:val="auto"/>
                    </w:rPr>
                    <w:t>二级活性炭吸附（风量</w:t>
                  </w:r>
                  <w:r>
                    <w:rPr>
                      <w:color w:val="auto"/>
                    </w:rPr>
                    <w:t>10000m</w:t>
                  </w:r>
                  <w:r>
                    <w:rPr>
                      <w:color w:val="auto"/>
                      <w:vertAlign w:val="superscript"/>
                    </w:rPr>
                    <w:t>3</w:t>
                  </w:r>
                  <w:r>
                    <w:rPr>
                      <w:color w:val="auto"/>
                    </w:rPr>
                    <w:t>/h</w:t>
                  </w:r>
                  <w:r>
                    <w:rPr>
                      <w:rFonts w:hint="eastAsia"/>
                      <w:color w:val="auto"/>
                    </w:rPr>
                    <w:t>）</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新增一套废气处理装置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废水处理</w:t>
                  </w:r>
                </w:p>
              </w:tc>
              <w:tc>
                <w:tcPr>
                  <w:tcW w:w="1609" w:type="pct"/>
                  <w:vAlign w:val="center"/>
                </w:tcPr>
                <w:p>
                  <w:pPr>
                    <w:pStyle w:val="35"/>
                    <w:rPr>
                      <w:rFonts w:hint="default" w:eastAsia="宋体"/>
                      <w:color w:val="auto"/>
                      <w:lang w:val="en-US" w:eastAsia="zh-CN"/>
                    </w:rPr>
                  </w:pPr>
                  <w:r>
                    <w:rPr>
                      <w:rFonts w:hint="eastAsia"/>
                      <w:color w:val="auto"/>
                      <w:lang w:val="en-US" w:eastAsia="zh-CN"/>
                    </w:rPr>
                    <w:t>生活污水1000t/a</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噪声</w:t>
                  </w:r>
                </w:p>
              </w:tc>
              <w:tc>
                <w:tcPr>
                  <w:tcW w:w="1609" w:type="pct"/>
                  <w:vAlign w:val="center"/>
                </w:tcPr>
                <w:p>
                  <w:pPr>
                    <w:pStyle w:val="35"/>
                    <w:rPr>
                      <w:color w:val="000000" w:themeColor="text1"/>
                      <w14:textFill>
                        <w14:solidFill>
                          <w14:schemeClr w14:val="tx1"/>
                        </w14:solidFill>
                      </w14:textFill>
                    </w:rPr>
                  </w:pPr>
                  <w:r>
                    <w:rPr>
                      <w:rFonts w:hint="eastAsia"/>
                    </w:rPr>
                    <w:t>隔声减振、设备合理布局</w:t>
                  </w:r>
                </w:p>
              </w:tc>
              <w:tc>
                <w:tcPr>
                  <w:tcW w:w="1552" w:type="pct"/>
                  <w:vAlign w:val="center"/>
                </w:tcPr>
                <w:p>
                  <w:pPr>
                    <w:pStyle w:val="35"/>
                    <w:rPr>
                      <w:rFonts w:ascii="Times New Roman" w:hAnsi="Times New Roman" w:eastAsia="宋体" w:cs="Times New Roman"/>
                      <w:kern w:val="2"/>
                      <w:sz w:val="21"/>
                      <w:szCs w:val="24"/>
                      <w:lang w:val="en-US" w:eastAsia="zh-CN" w:bidi="ar-S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危险废物仓库</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default" w:eastAsia="宋体"/>
                      <w:color w:val="auto"/>
                      <w:lang w:val="en-US" w:eastAsia="zh-CN"/>
                    </w:rPr>
                  </w:pPr>
                  <w:r>
                    <w:rPr>
                      <w:rFonts w:hint="eastAsia"/>
                      <w:color w:val="auto"/>
                      <w:lang w:val="en-US" w:eastAsia="zh-CN"/>
                    </w:rPr>
                    <w:t>位于车间内，暂存危险废物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pct"/>
                  <w:vMerge w:val="continue"/>
                  <w:vAlign w:val="center"/>
                </w:tcPr>
                <w:p>
                  <w:pPr>
                    <w:pStyle w:val="35"/>
                  </w:pPr>
                </w:p>
              </w:tc>
              <w:tc>
                <w:tcPr>
                  <w:tcW w:w="1080" w:type="pct"/>
                  <w:vAlign w:val="center"/>
                </w:tcPr>
                <w:p>
                  <w:pPr>
                    <w:pStyle w:val="35"/>
                  </w:pPr>
                  <w:r>
                    <w:rPr>
                      <w:rFonts w:hint="eastAsia"/>
                    </w:rPr>
                    <w:t>一般废物仓库</w:t>
                  </w:r>
                </w:p>
              </w:tc>
              <w:tc>
                <w:tcPr>
                  <w:tcW w:w="1609" w:type="pct"/>
                  <w:vAlign w:val="center"/>
                </w:tcPr>
                <w:p>
                  <w:pPr>
                    <w:pStyle w:val="35"/>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20m</w:t>
                  </w:r>
                  <w:r>
                    <w:rPr>
                      <w:rFonts w:hint="eastAsia"/>
                      <w:color w:val="000000" w:themeColor="text1"/>
                      <w:vertAlign w:val="superscript"/>
                      <w:lang w:val="en-US" w:eastAsia="zh-CN"/>
                      <w14:textFill>
                        <w14:solidFill>
                          <w14:schemeClr w14:val="tx1"/>
                        </w14:solidFill>
                      </w14:textFill>
                    </w:rPr>
                    <w:t>2</w:t>
                  </w:r>
                </w:p>
              </w:tc>
              <w:tc>
                <w:tcPr>
                  <w:tcW w:w="1552" w:type="pct"/>
                  <w:vAlign w:val="center"/>
                </w:tcPr>
                <w:p>
                  <w:pPr>
                    <w:pStyle w:val="35"/>
                    <w:rPr>
                      <w:rFonts w:hint="eastAsia" w:eastAsia="宋体"/>
                      <w:lang w:eastAsia="zh-CN"/>
                    </w:rPr>
                  </w:pPr>
                  <w:r>
                    <w:rPr>
                      <w:rFonts w:hint="eastAsia"/>
                      <w:lang w:eastAsia="zh-CN"/>
                    </w:rPr>
                    <w:t>位于车间内暂存一般固废</w:t>
                  </w:r>
                </w:p>
              </w:tc>
            </w:tr>
          </w:tbl>
          <w:p>
            <w:pPr>
              <w:pStyle w:val="14"/>
            </w:pPr>
            <w:r>
              <w:t>5</w:t>
            </w:r>
            <w:r>
              <w:rPr>
                <w:rFonts w:hint="eastAsia"/>
              </w:rPr>
              <w:t>、主要生产单元、主要工艺、主要生产设施及设施参数</w:t>
            </w:r>
          </w:p>
          <w:p>
            <w:pPr>
              <w:pStyle w:val="12"/>
              <w:rPr>
                <w:rFonts w:hint="eastAsia"/>
              </w:rPr>
            </w:pPr>
            <w:r>
              <w:rPr>
                <w:rFonts w:hint="eastAsia"/>
              </w:rPr>
              <w:t>表</w:t>
            </w:r>
            <w:r>
              <w:t>2-</w:t>
            </w:r>
            <w:r>
              <w:rPr>
                <w:rFonts w:hint="eastAsia"/>
                <w:lang w:val="en-US" w:eastAsia="zh-CN"/>
              </w:rPr>
              <w:t>4</w:t>
            </w:r>
            <w:r>
              <w:t xml:space="preserve">   </w:t>
            </w:r>
            <w:r>
              <w:rPr>
                <w:rFonts w:hint="eastAsia"/>
                <w:lang w:eastAsia="zh-CN"/>
              </w:rPr>
              <w:t>本</w:t>
            </w:r>
            <w:r>
              <w:rPr>
                <w:rFonts w:hint="eastAsia"/>
              </w:rPr>
              <w:t>项目</w:t>
            </w:r>
            <w:r>
              <w:rPr>
                <w:rFonts w:hint="eastAsia"/>
                <w:lang w:eastAsia="zh-CN"/>
              </w:rPr>
              <w:t>扩建前旧厂区</w:t>
            </w:r>
            <w:r>
              <w:rPr>
                <w:rFonts w:hint="eastAsia"/>
              </w:rPr>
              <w:t>主要设备清单</w:t>
            </w:r>
          </w:p>
          <w:tbl>
            <w:tblPr>
              <w:tblStyle w:val="16"/>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
              <w:gridCol w:w="989"/>
              <w:gridCol w:w="3725"/>
              <w:gridCol w:w="1732"/>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blHeader/>
                <w:jc w:val="center"/>
              </w:trPr>
              <w:tc>
                <w:tcPr>
                  <w:tcW w:w="453" w:type="dxa"/>
                  <w:vAlign w:val="center"/>
                </w:tcPr>
                <w:p>
                  <w:pPr>
                    <w:pStyle w:val="35"/>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编号</w:t>
                  </w:r>
                </w:p>
              </w:tc>
              <w:tc>
                <w:tcPr>
                  <w:tcW w:w="989" w:type="dxa"/>
                  <w:vAlign w:val="center"/>
                </w:tcPr>
                <w:p>
                  <w:pPr>
                    <w:pStyle w:val="35"/>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设备类型</w:t>
                  </w:r>
                </w:p>
              </w:tc>
              <w:tc>
                <w:tcPr>
                  <w:tcW w:w="3725" w:type="dxa"/>
                  <w:vAlign w:val="center"/>
                </w:tcPr>
                <w:p>
                  <w:pPr>
                    <w:pStyle w:val="35"/>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设备名称</w:t>
                  </w:r>
                </w:p>
              </w:tc>
              <w:tc>
                <w:tcPr>
                  <w:tcW w:w="1732" w:type="dxa"/>
                  <w:vAlign w:val="center"/>
                </w:tcPr>
                <w:p>
                  <w:pPr>
                    <w:pStyle w:val="35"/>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型号</w:t>
                  </w:r>
                </w:p>
              </w:tc>
              <w:tc>
                <w:tcPr>
                  <w:tcW w:w="1380" w:type="dxa"/>
                  <w:vAlign w:val="center"/>
                </w:tcPr>
                <w:p>
                  <w:pPr>
                    <w:pStyle w:val="35"/>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989" w:type="dxa"/>
                  <w:vMerge w:val="restart"/>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生产设备</w:t>
                  </w: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车削中心</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微小型车削中心</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送料机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配套车削中心</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微型钻孔机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MGN401E</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激光切割机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五轴薄壁管</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线切割机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DK7732C</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注塑机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989" w:type="dxa"/>
                  <w:vMerge w:val="continue"/>
                  <w:vAlign w:val="center"/>
                </w:tcPr>
                <w:p>
                  <w:pPr>
                    <w:pStyle w:val="35"/>
                    <w:rPr>
                      <w:rFonts w:hint="eastAsia" w:ascii="Times New Roman" w:hAnsi="Times New Roman" w:eastAsia="宋体" w:cs="Times New Roman"/>
                    </w:rPr>
                  </w:pPr>
                </w:p>
              </w:tc>
              <w:tc>
                <w:tcPr>
                  <w:tcW w:w="3725"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激光打标机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二氧化碳式</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激光焊接机</w:t>
                  </w:r>
                </w:p>
              </w:tc>
              <w:tc>
                <w:tcPr>
                  <w:tcW w:w="1732"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光纤</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空压机</w:t>
                  </w:r>
                </w:p>
              </w:tc>
              <w:tc>
                <w:tcPr>
                  <w:tcW w:w="1732"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超声清洗机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38/40KHZ</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11</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影像测量仪</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VMS-2010</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拉力试验机</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CTM-2200(500N)/HP-DLW</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细菌培养箱</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MJ-150F-I</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14</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电子天平</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电子显示</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显微镜</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ST-60</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卡尺类</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0-300</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17</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高压灭菌锅</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LDZX-30KBS</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18</w:t>
                  </w:r>
                </w:p>
              </w:tc>
              <w:tc>
                <w:tcPr>
                  <w:tcW w:w="989" w:type="dxa"/>
                  <w:vMerge w:val="restart"/>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环保设备</w:t>
                  </w:r>
                </w:p>
              </w:tc>
              <w:tc>
                <w:tcPr>
                  <w:tcW w:w="3725"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移动式焊接除尘装置</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有机废气处理装置</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5000m</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/h，UV光氧催化+活性炭</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c>
                <w:tcPr>
                  <w:tcW w:w="989" w:type="dxa"/>
                  <w:vMerge w:val="continue"/>
                  <w:vAlign w:val="center"/>
                </w:tcPr>
                <w:p>
                  <w:pPr>
                    <w:pStyle w:val="35"/>
                    <w:rPr>
                      <w:rFonts w:hint="eastAsia" w:ascii="Times New Roman" w:hAnsi="Times New Roman" w:eastAsia="宋体" w:cs="Times New Roman"/>
                      <w:lang w:eastAsia="zh-CN"/>
                    </w:rPr>
                  </w:pPr>
                </w:p>
              </w:tc>
              <w:tc>
                <w:tcPr>
                  <w:tcW w:w="3725"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油雾净化器</w:t>
                  </w:r>
                </w:p>
              </w:tc>
              <w:tc>
                <w:tcPr>
                  <w:tcW w:w="1732"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静电-过滤二级</w:t>
                  </w:r>
                </w:p>
              </w:tc>
              <w:tc>
                <w:tcPr>
                  <w:tcW w:w="1380" w:type="dxa"/>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17</w:t>
                  </w:r>
                </w:p>
              </w:tc>
            </w:tr>
          </w:tbl>
          <w:p>
            <w:pPr>
              <w:pStyle w:val="12"/>
              <w:rPr>
                <w:rFonts w:hint="eastAsia"/>
              </w:rPr>
            </w:pPr>
          </w:p>
          <w:p>
            <w:pPr>
              <w:pStyle w:val="12"/>
              <w:rPr>
                <w:rFonts w:hint="eastAsia"/>
              </w:rPr>
            </w:pPr>
          </w:p>
          <w:p>
            <w:pPr>
              <w:pStyle w:val="12"/>
              <w:jc w:val="center"/>
              <w:rPr>
                <w:rFonts w:hint="eastAsia"/>
              </w:rPr>
            </w:pPr>
          </w:p>
          <w:p>
            <w:pPr>
              <w:pStyle w:val="12"/>
              <w:jc w:val="center"/>
              <w:rPr>
                <w:rFonts w:hint="eastAsia"/>
              </w:rPr>
            </w:pPr>
          </w:p>
          <w:p>
            <w:pPr>
              <w:pStyle w:val="12"/>
              <w:jc w:val="center"/>
            </w:pPr>
            <w:r>
              <w:rPr>
                <w:rFonts w:hint="eastAsia"/>
              </w:rPr>
              <w:t>表</w:t>
            </w:r>
            <w:r>
              <w:t>2-</w:t>
            </w:r>
            <w:r>
              <w:rPr>
                <w:rFonts w:hint="eastAsia"/>
                <w:lang w:val="en-US" w:eastAsia="zh-CN"/>
              </w:rPr>
              <w:t>5</w:t>
            </w:r>
            <w:r>
              <w:t xml:space="preserve">   </w:t>
            </w:r>
            <w:r>
              <w:rPr>
                <w:rFonts w:hint="eastAsia"/>
                <w:lang w:eastAsia="zh-CN"/>
              </w:rPr>
              <w:t>本</w:t>
            </w:r>
            <w:r>
              <w:rPr>
                <w:rFonts w:hint="eastAsia"/>
              </w:rPr>
              <w:t>项目</w:t>
            </w:r>
            <w:r>
              <w:rPr>
                <w:rFonts w:hint="eastAsia"/>
                <w:lang w:eastAsia="zh-CN"/>
              </w:rPr>
              <w:t>扩建后新厂区</w:t>
            </w:r>
            <w:r>
              <w:rPr>
                <w:rFonts w:hint="eastAsia"/>
              </w:rPr>
              <w:t>主要设备清单</w:t>
            </w:r>
          </w:p>
          <w:tbl>
            <w:tblPr>
              <w:tblStyle w:val="16"/>
              <w:tblW w:w="8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3"/>
              <w:gridCol w:w="989"/>
              <w:gridCol w:w="3725"/>
              <w:gridCol w:w="1732"/>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blHeader/>
                <w:jc w:val="center"/>
              </w:trPr>
              <w:tc>
                <w:tcPr>
                  <w:tcW w:w="453" w:type="dxa"/>
                  <w:vAlign w:val="center"/>
                </w:tcPr>
                <w:p>
                  <w:pPr>
                    <w:pStyle w:val="35"/>
                    <w:rPr>
                      <w:b/>
                      <w:bCs/>
                    </w:rPr>
                  </w:pPr>
                  <w:r>
                    <w:rPr>
                      <w:rFonts w:hint="eastAsia"/>
                      <w:b/>
                      <w:bCs/>
                    </w:rPr>
                    <w:t>编号</w:t>
                  </w:r>
                </w:p>
              </w:tc>
              <w:tc>
                <w:tcPr>
                  <w:tcW w:w="989" w:type="dxa"/>
                  <w:vAlign w:val="center"/>
                </w:tcPr>
                <w:p>
                  <w:pPr>
                    <w:pStyle w:val="35"/>
                    <w:rPr>
                      <w:b/>
                      <w:bCs/>
                    </w:rPr>
                  </w:pPr>
                  <w:r>
                    <w:rPr>
                      <w:rFonts w:hint="eastAsia"/>
                      <w:b/>
                      <w:bCs/>
                    </w:rPr>
                    <w:t>设备类型</w:t>
                  </w:r>
                </w:p>
              </w:tc>
              <w:tc>
                <w:tcPr>
                  <w:tcW w:w="3725" w:type="dxa"/>
                  <w:vAlign w:val="center"/>
                </w:tcPr>
                <w:p>
                  <w:pPr>
                    <w:pStyle w:val="35"/>
                    <w:rPr>
                      <w:b/>
                      <w:bCs/>
                    </w:rPr>
                  </w:pPr>
                  <w:r>
                    <w:rPr>
                      <w:rFonts w:hint="eastAsia"/>
                      <w:b/>
                      <w:bCs/>
                    </w:rPr>
                    <w:t>设备名称</w:t>
                  </w:r>
                </w:p>
              </w:tc>
              <w:tc>
                <w:tcPr>
                  <w:tcW w:w="1732" w:type="dxa"/>
                  <w:vAlign w:val="center"/>
                </w:tcPr>
                <w:p>
                  <w:pPr>
                    <w:pStyle w:val="35"/>
                    <w:rPr>
                      <w:b/>
                      <w:bCs/>
                    </w:rPr>
                  </w:pPr>
                  <w:r>
                    <w:rPr>
                      <w:rFonts w:hint="eastAsia"/>
                      <w:b/>
                      <w:bCs/>
                    </w:rPr>
                    <w:t>型号</w:t>
                  </w:r>
                </w:p>
              </w:tc>
              <w:tc>
                <w:tcPr>
                  <w:tcW w:w="1380" w:type="dxa"/>
                  <w:vAlign w:val="center"/>
                </w:tcPr>
                <w:p>
                  <w:pPr>
                    <w:pStyle w:val="35"/>
                    <w:rPr>
                      <w:b/>
                      <w:bCs/>
                    </w:rPr>
                  </w:pPr>
                  <w:r>
                    <w:rPr>
                      <w:rFonts w:hint="eastAsia"/>
                      <w:b/>
                      <w:bCs/>
                    </w:rPr>
                    <w:t>数量</w:t>
                  </w:r>
                  <w:r>
                    <w:rPr>
                      <w:rStyle w:val="22"/>
                      <w:rFonts w:hint="eastAsia"/>
                      <w:b/>
                      <w:bCs/>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1</w:t>
                  </w:r>
                </w:p>
              </w:tc>
              <w:tc>
                <w:tcPr>
                  <w:tcW w:w="989" w:type="dxa"/>
                  <w:vMerge w:val="restart"/>
                  <w:vAlign w:val="center"/>
                </w:tcPr>
                <w:p>
                  <w:pPr>
                    <w:pStyle w:val="35"/>
                    <w:rPr>
                      <w:rFonts w:hint="eastAsia" w:eastAsia="宋体"/>
                      <w:lang w:eastAsia="zh-CN"/>
                    </w:rPr>
                  </w:pPr>
                  <w:r>
                    <w:rPr>
                      <w:rFonts w:hint="eastAsia"/>
                      <w:lang w:eastAsia="zh-CN"/>
                    </w:rPr>
                    <w:t>生产设备</w:t>
                  </w:r>
                </w:p>
              </w:tc>
              <w:tc>
                <w:tcPr>
                  <w:tcW w:w="3725" w:type="dxa"/>
                  <w:vAlign w:val="center"/>
                </w:tcPr>
                <w:p>
                  <w:pPr>
                    <w:pStyle w:val="35"/>
                    <w:rPr>
                      <w:rFonts w:hint="eastAsia" w:eastAsia="宋体"/>
                      <w:lang w:eastAsia="zh-CN"/>
                    </w:rPr>
                  </w:pPr>
                  <w:r>
                    <w:rPr>
                      <w:rFonts w:hint="eastAsia"/>
                      <w:lang w:eastAsia="zh-CN"/>
                    </w:rPr>
                    <w:t>激光焊接机</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2</w:t>
                  </w:r>
                </w:p>
              </w:tc>
              <w:tc>
                <w:tcPr>
                  <w:tcW w:w="989" w:type="dxa"/>
                  <w:vMerge w:val="continue"/>
                  <w:vAlign w:val="center"/>
                </w:tcPr>
                <w:p>
                  <w:pPr>
                    <w:pStyle w:val="35"/>
                  </w:pPr>
                </w:p>
              </w:tc>
              <w:tc>
                <w:tcPr>
                  <w:tcW w:w="3725" w:type="dxa"/>
                  <w:vAlign w:val="center"/>
                </w:tcPr>
                <w:p>
                  <w:pPr>
                    <w:pStyle w:val="35"/>
                    <w:rPr>
                      <w:rFonts w:hint="eastAsia" w:eastAsia="宋体"/>
                      <w:lang w:eastAsia="zh-CN"/>
                    </w:rPr>
                  </w:pPr>
                  <w:r>
                    <w:rPr>
                      <w:rFonts w:hint="eastAsia"/>
                      <w:lang w:eastAsia="zh-CN"/>
                    </w:rPr>
                    <w:t>超声波清洗机</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53" w:type="dxa"/>
                  <w:vAlign w:val="center"/>
                </w:tcPr>
                <w:p>
                  <w:pPr>
                    <w:pStyle w:val="35"/>
                    <w:rPr>
                      <w:rFonts w:hint="eastAsia" w:eastAsia="宋体"/>
                      <w:lang w:val="en-US" w:eastAsia="zh-CN"/>
                    </w:rPr>
                  </w:pPr>
                  <w:r>
                    <w:rPr>
                      <w:rFonts w:hint="eastAsia"/>
                      <w:lang w:val="en-US" w:eastAsia="zh-CN"/>
                    </w:rPr>
                    <w:t>3</w:t>
                  </w:r>
                </w:p>
              </w:tc>
              <w:tc>
                <w:tcPr>
                  <w:tcW w:w="989" w:type="dxa"/>
                  <w:vMerge w:val="continue"/>
                  <w:vAlign w:val="center"/>
                </w:tcPr>
                <w:p>
                  <w:pPr>
                    <w:pStyle w:val="35"/>
                  </w:pPr>
                </w:p>
              </w:tc>
              <w:tc>
                <w:tcPr>
                  <w:tcW w:w="3725" w:type="dxa"/>
                  <w:vAlign w:val="center"/>
                </w:tcPr>
                <w:p>
                  <w:pPr>
                    <w:pStyle w:val="35"/>
                    <w:rPr>
                      <w:rFonts w:hint="eastAsia" w:eastAsia="宋体"/>
                      <w:lang w:eastAsia="zh-CN"/>
                    </w:rPr>
                  </w:pPr>
                  <w:r>
                    <w:rPr>
                      <w:rFonts w:hint="eastAsia"/>
                      <w:lang w:eastAsia="zh-CN"/>
                    </w:rPr>
                    <w:t>拉力试验机</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4</w:t>
                  </w:r>
                </w:p>
              </w:tc>
              <w:tc>
                <w:tcPr>
                  <w:tcW w:w="989" w:type="dxa"/>
                  <w:vMerge w:val="continue"/>
                  <w:vAlign w:val="center"/>
                </w:tcPr>
                <w:p>
                  <w:pPr>
                    <w:pStyle w:val="35"/>
                  </w:pPr>
                </w:p>
              </w:tc>
              <w:tc>
                <w:tcPr>
                  <w:tcW w:w="3725" w:type="dxa"/>
                  <w:vAlign w:val="center"/>
                </w:tcPr>
                <w:p>
                  <w:pPr>
                    <w:pStyle w:val="35"/>
                    <w:rPr>
                      <w:rFonts w:hint="eastAsia" w:eastAsia="宋体"/>
                      <w:lang w:eastAsia="zh-CN"/>
                    </w:rPr>
                  </w:pPr>
                  <w:r>
                    <w:rPr>
                      <w:rFonts w:hint="eastAsia"/>
                      <w:lang w:eastAsia="zh-CN"/>
                    </w:rPr>
                    <w:t>影像测量仪</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5</w:t>
                  </w:r>
                </w:p>
              </w:tc>
              <w:tc>
                <w:tcPr>
                  <w:tcW w:w="989" w:type="dxa"/>
                  <w:vMerge w:val="continue"/>
                  <w:vAlign w:val="center"/>
                </w:tcPr>
                <w:p>
                  <w:pPr>
                    <w:pStyle w:val="35"/>
                  </w:pPr>
                </w:p>
              </w:tc>
              <w:tc>
                <w:tcPr>
                  <w:tcW w:w="3725" w:type="dxa"/>
                  <w:vAlign w:val="center"/>
                </w:tcPr>
                <w:p>
                  <w:pPr>
                    <w:pStyle w:val="35"/>
                    <w:rPr>
                      <w:rFonts w:hint="eastAsia" w:eastAsia="宋体"/>
                      <w:lang w:eastAsia="zh-CN"/>
                    </w:rPr>
                  </w:pPr>
                  <w:r>
                    <w:rPr>
                      <w:rFonts w:hint="eastAsia"/>
                      <w:lang w:eastAsia="zh-CN"/>
                    </w:rPr>
                    <w:t>直流电阻测试仪</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6</w:t>
                  </w:r>
                </w:p>
              </w:tc>
              <w:tc>
                <w:tcPr>
                  <w:tcW w:w="989" w:type="dxa"/>
                  <w:vMerge w:val="continue"/>
                  <w:vAlign w:val="center"/>
                </w:tcPr>
                <w:p>
                  <w:pPr>
                    <w:pStyle w:val="35"/>
                  </w:pPr>
                </w:p>
              </w:tc>
              <w:tc>
                <w:tcPr>
                  <w:tcW w:w="3725" w:type="dxa"/>
                  <w:vAlign w:val="center"/>
                </w:tcPr>
                <w:p>
                  <w:pPr>
                    <w:pStyle w:val="35"/>
                    <w:rPr>
                      <w:rFonts w:hint="eastAsia" w:eastAsia="宋体"/>
                      <w:lang w:eastAsia="zh-CN"/>
                    </w:rPr>
                  </w:pPr>
                  <w:r>
                    <w:rPr>
                      <w:rFonts w:hint="eastAsia"/>
                      <w:lang w:eastAsia="zh-CN"/>
                    </w:rPr>
                    <w:t>空压机</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eastAsia" w:eastAsia="宋体"/>
                      <w:lang w:val="en-US" w:eastAsia="zh-CN"/>
                    </w:rPr>
                  </w:pPr>
                  <w:r>
                    <w:rPr>
                      <w:rFonts w:hint="eastAsia"/>
                      <w:lang w:val="en-US" w:eastAsia="zh-CN"/>
                    </w:rPr>
                    <w:t>7</w:t>
                  </w:r>
                </w:p>
              </w:tc>
              <w:tc>
                <w:tcPr>
                  <w:tcW w:w="989" w:type="dxa"/>
                  <w:vMerge w:val="continue"/>
                  <w:vAlign w:val="center"/>
                </w:tcPr>
                <w:p>
                  <w:pPr>
                    <w:pStyle w:val="35"/>
                  </w:pPr>
                </w:p>
              </w:tc>
              <w:tc>
                <w:tcPr>
                  <w:tcW w:w="3725" w:type="dxa"/>
                  <w:vAlign w:val="center"/>
                </w:tcPr>
                <w:p>
                  <w:pPr>
                    <w:pStyle w:val="35"/>
                    <w:rPr>
                      <w:rFonts w:hint="default" w:eastAsia="宋体"/>
                      <w:lang w:val="en-US" w:eastAsia="zh-CN"/>
                    </w:rPr>
                  </w:pPr>
                  <w:r>
                    <w:rPr>
                      <w:rFonts w:hint="eastAsia"/>
                      <w:lang w:eastAsia="zh-CN"/>
                    </w:rPr>
                    <w:t>纯水制备机</w:t>
                  </w:r>
                </w:p>
              </w:tc>
              <w:tc>
                <w:tcPr>
                  <w:tcW w:w="1732" w:type="dxa"/>
                  <w:vAlign w:val="center"/>
                </w:tcPr>
                <w:p>
                  <w:pPr>
                    <w:pStyle w:val="35"/>
                    <w:rPr>
                      <w:rFonts w:hint="eastAsia"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lang w:val="en-US" w:eastAsia="zh-CN"/>
                    </w:rPr>
                  </w:pPr>
                  <w:r>
                    <w:rPr>
                      <w:rFonts w:hint="eastAsia"/>
                      <w:lang w:val="en-US" w:eastAsia="zh-CN"/>
                    </w:rPr>
                    <w:t>8</w:t>
                  </w:r>
                </w:p>
              </w:tc>
              <w:tc>
                <w:tcPr>
                  <w:tcW w:w="989" w:type="dxa"/>
                  <w:vMerge w:val="restart"/>
                  <w:vAlign w:val="center"/>
                </w:tcPr>
                <w:p>
                  <w:pPr>
                    <w:pStyle w:val="35"/>
                    <w:rPr>
                      <w:rFonts w:hint="eastAsia" w:eastAsia="宋体"/>
                      <w:lang w:eastAsia="zh-CN"/>
                    </w:rPr>
                  </w:pPr>
                  <w:r>
                    <w:rPr>
                      <w:rFonts w:hint="eastAsia"/>
                      <w:lang w:eastAsia="zh-CN"/>
                    </w:rPr>
                    <w:t>环保设备</w:t>
                  </w:r>
                </w:p>
              </w:tc>
              <w:tc>
                <w:tcPr>
                  <w:tcW w:w="3725" w:type="dxa"/>
                  <w:vAlign w:val="center"/>
                </w:tcPr>
                <w:p>
                  <w:pPr>
                    <w:pStyle w:val="35"/>
                    <w:rPr>
                      <w:rFonts w:hint="eastAsia"/>
                      <w:lang w:eastAsia="zh-CN"/>
                    </w:rPr>
                  </w:pPr>
                  <w:r>
                    <w:rPr>
                      <w:rFonts w:hint="eastAsia"/>
                      <w:lang w:eastAsia="zh-CN"/>
                    </w:rPr>
                    <w:t>移动式点焊除尘设备</w:t>
                  </w:r>
                </w:p>
              </w:tc>
              <w:tc>
                <w:tcPr>
                  <w:tcW w:w="1732" w:type="dxa"/>
                  <w:vAlign w:val="center"/>
                </w:tcPr>
                <w:p>
                  <w:pPr>
                    <w:pStyle w:val="35"/>
                    <w:rPr>
                      <w:rFonts w:hint="default"/>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53" w:type="dxa"/>
                  <w:vAlign w:val="center"/>
                </w:tcPr>
                <w:p>
                  <w:pPr>
                    <w:pStyle w:val="35"/>
                    <w:rPr>
                      <w:rFonts w:hint="default"/>
                      <w:lang w:val="en-US" w:eastAsia="zh-CN"/>
                    </w:rPr>
                  </w:pPr>
                  <w:r>
                    <w:rPr>
                      <w:rFonts w:hint="eastAsia"/>
                      <w:lang w:val="en-US" w:eastAsia="zh-CN"/>
                    </w:rPr>
                    <w:t>9</w:t>
                  </w:r>
                </w:p>
              </w:tc>
              <w:tc>
                <w:tcPr>
                  <w:tcW w:w="989" w:type="dxa"/>
                  <w:vMerge w:val="continue"/>
                  <w:vAlign w:val="center"/>
                </w:tcPr>
                <w:p>
                  <w:pPr>
                    <w:pStyle w:val="35"/>
                    <w:rPr>
                      <w:rFonts w:hint="eastAsia"/>
                      <w:lang w:eastAsia="zh-CN"/>
                    </w:rPr>
                  </w:pPr>
                </w:p>
              </w:tc>
              <w:tc>
                <w:tcPr>
                  <w:tcW w:w="3725" w:type="dxa"/>
                  <w:vAlign w:val="center"/>
                </w:tcPr>
                <w:p>
                  <w:pPr>
                    <w:pStyle w:val="35"/>
                    <w:rPr>
                      <w:rFonts w:hint="eastAsia"/>
                      <w:lang w:eastAsia="zh-CN"/>
                    </w:rPr>
                  </w:pPr>
                  <w:r>
                    <w:rPr>
                      <w:rFonts w:hint="eastAsia"/>
                      <w:lang w:eastAsia="zh-CN"/>
                    </w:rPr>
                    <w:t>二级活性炭吸附装置</w:t>
                  </w:r>
                </w:p>
              </w:tc>
              <w:tc>
                <w:tcPr>
                  <w:tcW w:w="1732" w:type="dxa"/>
                  <w:vAlign w:val="center"/>
                </w:tcPr>
                <w:p>
                  <w:pPr>
                    <w:pStyle w:val="35"/>
                    <w:rPr>
                      <w:rFonts w:hint="default" w:eastAsia="宋体"/>
                      <w:lang w:val="en-US" w:eastAsia="zh-CN"/>
                    </w:rPr>
                  </w:pPr>
                  <w:r>
                    <w:rPr>
                      <w:rFonts w:hint="eastAsia"/>
                      <w:lang w:val="en-US" w:eastAsia="zh-CN"/>
                    </w:rPr>
                    <w:t>/</w:t>
                  </w:r>
                </w:p>
              </w:tc>
              <w:tc>
                <w:tcPr>
                  <w:tcW w:w="1380" w:type="dxa"/>
                  <w:vAlign w:val="center"/>
                </w:tcPr>
                <w:p>
                  <w:pPr>
                    <w:pStyle w:val="35"/>
                    <w:rPr>
                      <w:rFonts w:hint="eastAsia" w:eastAsia="宋体"/>
                      <w:lang w:val="en-US" w:eastAsia="zh-CN"/>
                    </w:rPr>
                  </w:pPr>
                  <w:r>
                    <w:rPr>
                      <w:rFonts w:hint="eastAsia"/>
                      <w:lang w:val="en-US" w:eastAsia="zh-CN"/>
                    </w:rPr>
                    <w:t>1</w:t>
                  </w:r>
                </w:p>
              </w:tc>
            </w:tr>
          </w:tbl>
          <w:p>
            <w:pPr>
              <w:pStyle w:val="14"/>
            </w:pPr>
          </w:p>
          <w:p>
            <w:pPr>
              <w:pStyle w:val="14"/>
            </w:pPr>
            <w:r>
              <w:t>6</w:t>
            </w:r>
            <w:r>
              <w:rPr>
                <w:rFonts w:hint="eastAsia"/>
              </w:rPr>
              <w:t>、主要原辅材料及燃料的种类和用量</w:t>
            </w:r>
          </w:p>
          <w:p>
            <w:pPr>
              <w:pStyle w:val="12"/>
              <w:rPr>
                <w:rFonts w:hint="eastAsia"/>
              </w:rPr>
            </w:pPr>
            <w:r>
              <w:rPr>
                <w:rFonts w:hint="eastAsia"/>
              </w:rPr>
              <w:t>表</w:t>
            </w:r>
            <w:r>
              <w:t>2-</w:t>
            </w:r>
            <w:r>
              <w:rPr>
                <w:rFonts w:hint="eastAsia"/>
                <w:lang w:val="en-US" w:eastAsia="zh-CN"/>
              </w:rPr>
              <w:t>6</w:t>
            </w:r>
            <w:r>
              <w:t xml:space="preserve">  </w:t>
            </w:r>
            <w:r>
              <w:rPr>
                <w:rFonts w:hint="eastAsia"/>
                <w:lang w:eastAsia="zh-CN"/>
              </w:rPr>
              <w:t>本</w:t>
            </w:r>
            <w:r>
              <w:rPr>
                <w:rFonts w:hint="eastAsia"/>
              </w:rPr>
              <w:t>项目</w:t>
            </w:r>
            <w:r>
              <w:rPr>
                <w:rFonts w:hint="eastAsia"/>
                <w:lang w:eastAsia="zh-CN"/>
              </w:rPr>
              <w:t>扩建前旧厂区</w:t>
            </w:r>
            <w:r>
              <w:rPr>
                <w:rFonts w:hint="eastAsia"/>
              </w:rPr>
              <w:t>主要原辅料清单</w:t>
            </w:r>
          </w:p>
          <w:tbl>
            <w:tblPr>
              <w:tblStyle w:val="16"/>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606"/>
              <w:gridCol w:w="2541"/>
              <w:gridCol w:w="1088"/>
              <w:gridCol w:w="1000"/>
              <w:gridCol w:w="975"/>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619" w:type="pct"/>
                  <w:vAlign w:val="center"/>
                </w:tcPr>
                <w:p>
                  <w:pPr>
                    <w:pStyle w:val="35"/>
                    <w:rPr>
                      <w:b/>
                      <w:bCs/>
                    </w:rPr>
                  </w:pPr>
                  <w:r>
                    <w:rPr>
                      <w:rFonts w:hint="eastAsia"/>
                      <w:b/>
                      <w:bCs/>
                    </w:rPr>
                    <w:t>名称</w:t>
                  </w:r>
                </w:p>
              </w:tc>
              <w:tc>
                <w:tcPr>
                  <w:tcW w:w="365" w:type="pct"/>
                  <w:vAlign w:val="center"/>
                </w:tcPr>
                <w:p>
                  <w:pPr>
                    <w:pStyle w:val="35"/>
                    <w:rPr>
                      <w:b/>
                      <w:bCs/>
                    </w:rPr>
                  </w:pPr>
                  <w:r>
                    <w:rPr>
                      <w:rFonts w:hint="eastAsia"/>
                      <w:b/>
                      <w:bCs/>
                    </w:rPr>
                    <w:t>形态</w:t>
                  </w:r>
                </w:p>
              </w:tc>
              <w:tc>
                <w:tcPr>
                  <w:tcW w:w="1531" w:type="pct"/>
                  <w:vAlign w:val="center"/>
                </w:tcPr>
                <w:p>
                  <w:pPr>
                    <w:pStyle w:val="35"/>
                    <w:rPr>
                      <w:b/>
                      <w:bCs/>
                    </w:rPr>
                  </w:pPr>
                  <w:r>
                    <w:rPr>
                      <w:rFonts w:hint="eastAsia"/>
                      <w:b/>
                      <w:bCs/>
                    </w:rPr>
                    <w:t>规格、成分</w:t>
                  </w:r>
                </w:p>
              </w:tc>
              <w:tc>
                <w:tcPr>
                  <w:tcW w:w="655" w:type="pct"/>
                  <w:vAlign w:val="center"/>
                </w:tcPr>
                <w:p>
                  <w:pPr>
                    <w:pStyle w:val="35"/>
                    <w:rPr>
                      <w:b/>
                      <w:bCs/>
                    </w:rPr>
                  </w:pPr>
                  <w:r>
                    <w:rPr>
                      <w:rFonts w:hint="eastAsia"/>
                      <w:b/>
                      <w:bCs/>
                    </w:rPr>
                    <w:t>年用量（</w:t>
                  </w:r>
                  <w:r>
                    <w:rPr>
                      <w:rFonts w:hint="eastAsia"/>
                      <w:b/>
                      <w:bCs/>
                      <w:lang w:val="en-US" w:eastAsia="zh-CN"/>
                    </w:rPr>
                    <w:t>t</w:t>
                  </w:r>
                  <w:r>
                    <w:rPr>
                      <w:b/>
                      <w:bCs/>
                    </w:rPr>
                    <w:t>/a</w:t>
                  </w:r>
                  <w:r>
                    <w:rPr>
                      <w:rFonts w:hint="eastAsia"/>
                      <w:b/>
                      <w:bCs/>
                    </w:rPr>
                    <w:t>）</w:t>
                  </w:r>
                </w:p>
              </w:tc>
              <w:tc>
                <w:tcPr>
                  <w:tcW w:w="602" w:type="pct"/>
                  <w:vAlign w:val="center"/>
                </w:tcPr>
                <w:p>
                  <w:pPr>
                    <w:pStyle w:val="35"/>
                    <w:rPr>
                      <w:b/>
                      <w:bCs/>
                    </w:rPr>
                  </w:pPr>
                  <w:r>
                    <w:rPr>
                      <w:rFonts w:hint="eastAsia"/>
                      <w:b/>
                      <w:bCs/>
                    </w:rPr>
                    <w:t>包装规格</w:t>
                  </w:r>
                </w:p>
              </w:tc>
              <w:tc>
                <w:tcPr>
                  <w:tcW w:w="587" w:type="pct"/>
                  <w:vAlign w:val="center"/>
                </w:tcPr>
                <w:p>
                  <w:pPr>
                    <w:pStyle w:val="35"/>
                    <w:rPr>
                      <w:b/>
                      <w:bCs/>
                    </w:rPr>
                  </w:pPr>
                  <w:r>
                    <w:rPr>
                      <w:rFonts w:hint="eastAsia"/>
                      <w:b/>
                      <w:bCs/>
                    </w:rPr>
                    <w:t>厂内最大储存量</w:t>
                  </w:r>
                </w:p>
                <w:p>
                  <w:pPr>
                    <w:pStyle w:val="35"/>
                    <w:rPr>
                      <w:b/>
                      <w:bCs/>
                    </w:rPr>
                  </w:pPr>
                  <w:r>
                    <w:rPr>
                      <w:b/>
                      <w:bCs/>
                    </w:rPr>
                    <w:t>(</w:t>
                  </w:r>
                  <w:r>
                    <w:rPr>
                      <w:rFonts w:hint="eastAsia"/>
                      <w:b/>
                      <w:bCs/>
                      <w:lang w:val="en-US" w:eastAsia="zh-CN"/>
                    </w:rPr>
                    <w:t>t</w:t>
                  </w:r>
                  <w:r>
                    <w:rPr>
                      <w:rFonts w:hint="eastAsia"/>
                      <w:b/>
                      <w:bCs/>
                    </w:rPr>
                    <w:t>/</w:t>
                  </w:r>
                  <w:r>
                    <w:rPr>
                      <w:b/>
                      <w:bCs/>
                    </w:rPr>
                    <w:t>a)</w:t>
                  </w:r>
                </w:p>
              </w:tc>
              <w:tc>
                <w:tcPr>
                  <w:tcW w:w="637" w:type="pct"/>
                  <w:vAlign w:val="center"/>
                </w:tcPr>
                <w:p>
                  <w:pPr>
                    <w:pStyle w:val="35"/>
                    <w:rPr>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金属材</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2-10mm、钢制</w:t>
                  </w:r>
                </w:p>
              </w:tc>
              <w:tc>
                <w:tcPr>
                  <w:tcW w:w="655"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散装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清洗剂</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5%NaOH，配置好的成品</w:t>
                  </w:r>
                </w:p>
              </w:tc>
              <w:tc>
                <w:tcPr>
                  <w:tcW w:w="655"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0.0</w:t>
                  </w:r>
                  <w:r>
                    <w:rPr>
                      <w:rFonts w:hint="eastAsia" w:ascii="Times New Roman" w:hAnsi="Times New Roman" w:eastAsia="宋体" w:cs="Times New Roman"/>
                      <w:lang w:val="en-US" w:eastAsia="zh-CN"/>
                    </w:rPr>
                    <w:t>4</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切削液</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基础油、防锈剂、钝化剂等</w:t>
                  </w:r>
                </w:p>
              </w:tc>
              <w:tc>
                <w:tcPr>
                  <w:tcW w:w="655"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602" w:type="pct"/>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w:t>
                  </w:r>
                </w:p>
              </w:tc>
              <w:tc>
                <w:tcPr>
                  <w:tcW w:w="637" w:type="pct"/>
                  <w:vAlign w:val="center"/>
                </w:tcPr>
                <w:p>
                  <w:pPr>
                    <w:pStyle w:val="35"/>
                    <w:rPr>
                      <w:rFonts w:hint="default" w:ascii="Times New Roman" w:hAnsi="Times New Roman" w:eastAsia="宋体" w:cs="Times New Roman"/>
                      <w:lang w:val="en-US"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机油</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矿物油类</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1</w:t>
                  </w:r>
                  <w:r>
                    <w:rPr>
                      <w:rFonts w:hint="eastAsia" w:ascii="Times New Roman" w:hAnsi="Times New Roman" w:eastAsia="宋体" w:cs="Times New Roman"/>
                      <w:lang w:val="en-US" w:eastAsia="zh-CN"/>
                    </w:rPr>
                    <w:t>.8</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盐酸</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5%，配置好的成品</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w:t>
                  </w:r>
                  <w:r>
                    <w:rPr>
                      <w:rFonts w:hint="eastAsia" w:ascii="Times New Roman" w:hAnsi="Times New Roman" w:eastAsia="宋体" w:cs="Times New Roman"/>
                      <w:lang w:val="en-US" w:eastAsia="zh-CN"/>
                    </w:rPr>
                    <w:t>.3</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0.02</w:t>
                  </w:r>
                </w:p>
              </w:tc>
              <w:tc>
                <w:tcPr>
                  <w:tcW w:w="637" w:type="pct"/>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防爆柜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硫酸</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5%，配置好的成品</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w:t>
                  </w:r>
                  <w:r>
                    <w:rPr>
                      <w:rFonts w:hint="eastAsia" w:ascii="Times New Roman" w:hAnsi="Times New Roman" w:eastAsia="宋体" w:cs="Times New Roman"/>
                      <w:lang w:val="en-US" w:eastAsia="zh-CN"/>
                    </w:rPr>
                    <w:t>3</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0.02</w:t>
                  </w:r>
                </w:p>
              </w:tc>
              <w:tc>
                <w:tcPr>
                  <w:tcW w:w="637" w:type="pct"/>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防爆柜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清洗液</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液</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乙二胺四乙酸四钠15%、二甲苯磺酸氨15%、十二烷基苯磺酸钠18%、水等</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0.5</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0.05</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塑料粒子</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PP</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1.2</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袋装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漆包线</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40</w:t>
                  </w:r>
                  <w:r>
                    <w:rPr>
                      <w:rFonts w:hint="eastAsia" w:ascii="Times New Roman" w:hAnsi="Times New Roman" w:eastAsia="宋体" w:cs="Times New Roman"/>
                      <w:lang w:eastAsia="zh-CN"/>
                    </w:rPr>
                    <w:t>万米</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卷装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5万米</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塑胶件</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PP塑料配件</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万个</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盒装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2万个</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金属配件</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钢制配件</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20</w:t>
                  </w:r>
                  <w:r>
                    <w:rPr>
                      <w:rFonts w:hint="eastAsia" w:ascii="Times New Roman" w:hAnsi="Times New Roman" w:eastAsia="宋体" w:cs="Times New Roman"/>
                      <w:lang w:eastAsia="zh-CN"/>
                    </w:rPr>
                    <w:t>万个</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盒装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2万个</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TSA</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胰蛋白胨大豆琼脂培养基</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0.00</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SDA</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沙氏葡萄糖琼脂培养基</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0.00</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R2A</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琼脂培养基</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0.00</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9" w:type="pct"/>
                  <w:shd w:val="clear" w:color="auto" w:fill="auto"/>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TSB</w:t>
                  </w:r>
                </w:p>
              </w:tc>
              <w:tc>
                <w:tcPr>
                  <w:tcW w:w="365" w:type="pct"/>
                  <w:shd w:val="clear" w:color="auto" w:fill="auto"/>
                  <w:vAlign w:val="center"/>
                </w:tcPr>
                <w:p>
                  <w:pPr>
                    <w:pStyle w:val="35"/>
                    <w:rPr>
                      <w:rFonts w:hint="eastAsia" w:ascii="Times New Roman" w:hAnsi="Times New Roman" w:eastAsia="宋体" w:cs="Times New Roman"/>
                      <w:lang w:eastAsia="zh-CN"/>
                    </w:rPr>
                  </w:pPr>
                  <w:r>
                    <w:rPr>
                      <w:rFonts w:hint="eastAsia" w:ascii="Times New Roman" w:hAnsi="Times New Roman" w:eastAsia="宋体" w:cs="Times New Roman"/>
                      <w:lang w:eastAsia="zh-CN"/>
                    </w:rPr>
                    <w:t>固</w:t>
                  </w:r>
                </w:p>
              </w:tc>
              <w:tc>
                <w:tcPr>
                  <w:tcW w:w="1531"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胰酪大豆东液体培养基</w:t>
                  </w:r>
                </w:p>
              </w:tc>
              <w:tc>
                <w:tcPr>
                  <w:tcW w:w="655"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0.00</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2</w:t>
                  </w:r>
                </w:p>
              </w:tc>
              <w:tc>
                <w:tcPr>
                  <w:tcW w:w="602" w:type="pct"/>
                  <w:vAlign w:val="center"/>
                </w:tcPr>
                <w:p>
                  <w:pPr>
                    <w:pStyle w:val="35"/>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瓶装</w:t>
                  </w:r>
                </w:p>
              </w:tc>
              <w:tc>
                <w:tcPr>
                  <w:tcW w:w="587" w:type="pct"/>
                  <w:vAlign w:val="center"/>
                </w:tcPr>
                <w:p>
                  <w:pPr>
                    <w:pStyle w:val="35"/>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0.0002</w:t>
                  </w:r>
                </w:p>
              </w:tc>
              <w:tc>
                <w:tcPr>
                  <w:tcW w:w="637" w:type="pct"/>
                  <w:vAlign w:val="center"/>
                </w:tcPr>
                <w:p>
                  <w:pPr>
                    <w:pStyle w:val="35"/>
                    <w:rPr>
                      <w:rFonts w:hint="eastAsia" w:ascii="Times New Roman" w:hAnsi="Times New Roman" w:eastAsia="宋体" w:cs="Times New Roman"/>
                      <w:lang w:eastAsia="zh-CN"/>
                    </w:rPr>
                  </w:pPr>
                  <w:r>
                    <w:rPr>
                      <w:rFonts w:hint="eastAsia"/>
                    </w:rPr>
                    <w:t>原料仓库</w:t>
                  </w:r>
                </w:p>
              </w:tc>
            </w:tr>
          </w:tbl>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eastAsia="宋体"/>
                <w:szCs w:val="24"/>
              </w:rPr>
            </w:pPr>
            <w:r>
              <w:rPr>
                <w:rFonts w:hint="eastAsia"/>
              </w:rPr>
              <w:t>表</w:t>
            </w:r>
            <w:r>
              <w:t>2-</w:t>
            </w:r>
            <w:r>
              <w:rPr>
                <w:rFonts w:hint="eastAsia"/>
                <w:lang w:val="en-US" w:eastAsia="zh-CN"/>
              </w:rPr>
              <w:t>7</w:t>
            </w:r>
            <w:r>
              <w:t xml:space="preserve">  </w:t>
            </w:r>
            <w:r>
              <w:rPr>
                <w:rFonts w:hint="eastAsia"/>
              </w:rPr>
              <w:t>本项目</w:t>
            </w:r>
            <w:r>
              <w:rPr>
                <w:rFonts w:hint="eastAsia"/>
                <w:lang w:eastAsia="zh-CN"/>
              </w:rPr>
              <w:t>扩建前旧厂区</w:t>
            </w:r>
            <w:r>
              <w:rPr>
                <w:rFonts w:hint="eastAsia"/>
              </w:rPr>
              <w:t>原辅材料理化性质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706"/>
              <w:gridCol w:w="234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b/>
                      <w:bCs/>
                    </w:rPr>
                  </w:pPr>
                  <w:r>
                    <w:rPr>
                      <w:rFonts w:hint="eastAsia"/>
                      <w:b/>
                      <w:bCs/>
                    </w:rPr>
                    <w:t>名称</w:t>
                  </w:r>
                </w:p>
              </w:tc>
              <w:tc>
                <w:tcPr>
                  <w:tcW w:w="1637" w:type="pct"/>
                  <w:vAlign w:val="center"/>
                </w:tcPr>
                <w:p>
                  <w:pPr>
                    <w:pStyle w:val="35"/>
                    <w:rPr>
                      <w:b/>
                      <w:bCs/>
                    </w:rPr>
                  </w:pPr>
                  <w:r>
                    <w:rPr>
                      <w:rFonts w:hint="eastAsia"/>
                      <w:b/>
                      <w:bCs/>
                    </w:rPr>
                    <w:t>理化性质</w:t>
                  </w:r>
                </w:p>
              </w:tc>
              <w:tc>
                <w:tcPr>
                  <w:tcW w:w="1417" w:type="pct"/>
                  <w:vAlign w:val="center"/>
                </w:tcPr>
                <w:p>
                  <w:pPr>
                    <w:pStyle w:val="35"/>
                    <w:rPr>
                      <w:b/>
                      <w:bCs/>
                    </w:rPr>
                  </w:pPr>
                  <w:r>
                    <w:rPr>
                      <w:rFonts w:hint="eastAsia"/>
                      <w:b/>
                      <w:bCs/>
                    </w:rPr>
                    <w:t>燃烧爆炸性</w:t>
                  </w:r>
                </w:p>
              </w:tc>
              <w:tc>
                <w:tcPr>
                  <w:tcW w:w="1235" w:type="pct"/>
                  <w:vAlign w:val="center"/>
                </w:tcPr>
                <w:p>
                  <w:pPr>
                    <w:pStyle w:val="35"/>
                    <w:rPr>
                      <w:b/>
                      <w:bCs/>
                    </w:rPr>
                  </w:pPr>
                  <w:r>
                    <w:rPr>
                      <w:rFonts w:hint="eastAsia"/>
                      <w:b/>
                      <w:bCs/>
                    </w:rPr>
                    <w:t>毒理特性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default" w:eastAsia="宋体"/>
                      <w:lang w:val="en-US" w:eastAsia="zh-CN"/>
                    </w:rPr>
                  </w:pPr>
                  <w:r>
                    <w:rPr>
                      <w:rFonts w:hint="eastAsia" w:eastAsia="宋体"/>
                      <w:lang w:val="en-US" w:eastAsia="zh-CN"/>
                    </w:rPr>
                    <w:t>切削液</w:t>
                  </w:r>
                </w:p>
              </w:tc>
              <w:tc>
                <w:tcPr>
                  <w:tcW w:w="1637" w:type="pct"/>
                  <w:vAlign w:val="center"/>
                </w:tcPr>
                <w:p>
                  <w:pPr>
                    <w:pStyle w:val="35"/>
                    <w:rPr>
                      <w:rFonts w:hint="eastAsia"/>
                    </w:rPr>
                  </w:pPr>
                  <w:r>
                    <w:rPr>
                      <w:rFonts w:hint="eastAsia"/>
                    </w:rPr>
                    <w:t>性状:绿色液体。</w:t>
                  </w:r>
                </w:p>
                <w:p>
                  <w:pPr>
                    <w:pStyle w:val="35"/>
                    <w:rPr>
                      <w:rFonts w:hint="eastAsia"/>
                    </w:rPr>
                  </w:pPr>
                  <w:r>
                    <w:rPr>
                      <w:rFonts w:hint="eastAsia"/>
                    </w:rPr>
                    <w:t>沸点(°C) : 280</w:t>
                  </w:r>
                </w:p>
                <w:p>
                  <w:pPr>
                    <w:pStyle w:val="35"/>
                    <w:rPr>
                      <w:rFonts w:hint="eastAsia"/>
                    </w:rPr>
                  </w:pPr>
                  <w:r>
                    <w:rPr>
                      <w:rFonts w:hint="eastAsia"/>
                    </w:rPr>
                    <w:t>相对密度(水=1) : 0.88</w:t>
                  </w:r>
                </w:p>
                <w:p>
                  <w:pPr>
                    <w:pStyle w:val="35"/>
                  </w:pPr>
                  <w:r>
                    <w:rPr>
                      <w:rFonts w:hint="eastAsia"/>
                    </w:rPr>
                    <w:t>溶解性:与水混溶。</w:t>
                  </w:r>
                </w:p>
              </w:tc>
              <w:tc>
                <w:tcPr>
                  <w:tcW w:w="1417" w:type="pct"/>
                  <w:vAlign w:val="center"/>
                </w:tcPr>
                <w:p>
                  <w:pPr>
                    <w:pStyle w:val="35"/>
                    <w:rPr>
                      <w:rFonts w:hint="eastAsia"/>
                    </w:rPr>
                  </w:pPr>
                  <w:r>
                    <w:rPr>
                      <w:rFonts w:hint="eastAsia"/>
                    </w:rPr>
                    <w:t>闪点(°C) : 160</w:t>
                  </w:r>
                </w:p>
                <w:p>
                  <w:pPr>
                    <w:pStyle w:val="35"/>
                    <w:rPr>
                      <w:rFonts w:hint="eastAsia"/>
                    </w:rPr>
                  </w:pPr>
                  <w:r>
                    <w:rPr>
                      <w:rFonts w:hint="eastAsia"/>
                    </w:rPr>
                    <w:t>燃点(°C) :不自燃</w:t>
                  </w:r>
                </w:p>
                <w:p>
                  <w:pPr>
                    <w:pStyle w:val="35"/>
                  </w:pPr>
                  <w:r>
                    <w:rPr>
                      <w:rFonts w:hint="eastAsia"/>
                    </w:rPr>
                    <w:t>爆炸极限(%):无资料</w:t>
                  </w:r>
                </w:p>
              </w:tc>
              <w:tc>
                <w:tcPr>
                  <w:tcW w:w="1235" w:type="pct"/>
                  <w:vAlign w:val="center"/>
                </w:tcPr>
                <w:p>
                  <w:pPr>
                    <w:pStyle w:val="35"/>
                    <w:rPr>
                      <w:rFonts w:hint="eastAsia" w:eastAsia="宋体"/>
                      <w:lang w:eastAsia="zh-CN"/>
                    </w:rPr>
                  </w:pPr>
                  <w:r>
                    <w:rPr>
                      <w:rFonts w:hint="eastAsia"/>
                      <w:lang w:eastAsia="zh-CN"/>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eastAsia"/>
                      <w:lang w:val="en-US" w:eastAsia="zh-CN"/>
                    </w:rPr>
                  </w:pPr>
                  <w:r>
                    <w:rPr>
                      <w:rFonts w:hint="eastAsia"/>
                      <w:lang w:val="en-US" w:eastAsia="zh-CN"/>
                    </w:rPr>
                    <w:t>润滑油</w:t>
                  </w:r>
                </w:p>
              </w:tc>
              <w:tc>
                <w:tcPr>
                  <w:tcW w:w="1637" w:type="pct"/>
                  <w:vAlign w:val="center"/>
                </w:tcPr>
                <w:p>
                  <w:pPr>
                    <w:pStyle w:val="35"/>
                    <w:rPr>
                      <w:rFonts w:hint="eastAsia"/>
                    </w:rPr>
                  </w:pPr>
                  <w:r>
                    <w:rPr>
                      <w:rFonts w:hint="eastAsia"/>
                    </w:rPr>
                    <w:t>透明油状液体;相对密度:</w:t>
                  </w:r>
                </w:p>
                <w:p>
                  <w:pPr>
                    <w:pStyle w:val="35"/>
                    <w:rPr>
                      <w:rFonts w:hint="eastAsia"/>
                    </w:rPr>
                  </w:pPr>
                  <w:r>
                    <w:rPr>
                      <w:rFonts w:hint="eastAsia"/>
                    </w:rPr>
                    <w:t>0.85-0.88</w:t>
                  </w:r>
                  <w:r>
                    <w:rPr>
                      <w:rFonts w:hint="eastAsia"/>
                      <w:lang w:eastAsia="zh-CN"/>
                    </w:rPr>
                    <w:t>；</w:t>
                  </w:r>
                  <w:r>
                    <w:rPr>
                      <w:rFonts w:hint="eastAsia"/>
                    </w:rPr>
                    <w:t>闪点:≥20°C</w:t>
                  </w:r>
                  <w:r>
                    <w:rPr>
                      <w:rFonts w:hint="eastAsia"/>
                      <w:lang w:eastAsia="zh-CN"/>
                    </w:rPr>
                    <w:t>；</w:t>
                  </w:r>
                  <w:r>
                    <w:rPr>
                      <w:rFonts w:hint="eastAsia"/>
                    </w:rPr>
                    <w:t>爆炸上限: 7.0</w:t>
                  </w:r>
                  <w:r>
                    <w:rPr>
                      <w:rFonts w:hint="eastAsia"/>
                      <w:lang w:eastAsia="zh-CN"/>
                    </w:rPr>
                    <w:t>；</w:t>
                  </w:r>
                  <w:r>
                    <w:rPr>
                      <w:rFonts w:hint="eastAsia"/>
                    </w:rPr>
                    <w:t>爆炸下限: 0.9。</w:t>
                  </w:r>
                </w:p>
              </w:tc>
              <w:tc>
                <w:tcPr>
                  <w:tcW w:w="1417" w:type="pct"/>
                  <w:vAlign w:val="center"/>
                </w:tcPr>
                <w:p>
                  <w:pPr>
                    <w:pStyle w:val="35"/>
                    <w:rPr>
                      <w:rFonts w:hint="eastAsia"/>
                    </w:rPr>
                  </w:pPr>
                  <w:r>
                    <w:rPr>
                      <w:rFonts w:hint="eastAsia"/>
                    </w:rPr>
                    <w:t>本品可燃</w:t>
                  </w:r>
                </w:p>
                <w:p>
                  <w:pPr>
                    <w:pStyle w:val="35"/>
                    <w:rPr>
                      <w:rFonts w:hint="eastAsia"/>
                    </w:rPr>
                  </w:pPr>
                  <w:r>
                    <w:rPr>
                      <w:rFonts w:hint="eastAsia"/>
                    </w:rPr>
                    <w:t>闪点(°C) : 160</w:t>
                  </w:r>
                </w:p>
                <w:p>
                  <w:pPr>
                    <w:pStyle w:val="35"/>
                    <w:rPr>
                      <w:rFonts w:hint="eastAsia"/>
                    </w:rPr>
                  </w:pPr>
                  <w:r>
                    <w:rPr>
                      <w:rFonts w:hint="eastAsia"/>
                    </w:rPr>
                    <w:t>燃点(°C) :不自燃</w:t>
                  </w:r>
                </w:p>
                <w:p>
                  <w:pPr>
                    <w:pStyle w:val="35"/>
                    <w:rPr>
                      <w:rFonts w:hint="eastAsia"/>
                    </w:rPr>
                  </w:pPr>
                  <w:r>
                    <w:rPr>
                      <w:rFonts w:hint="eastAsia"/>
                    </w:rPr>
                    <w:t>爆炸极限(%) :无资料</w:t>
                  </w:r>
                </w:p>
              </w:tc>
              <w:tc>
                <w:tcPr>
                  <w:tcW w:w="1235" w:type="pct"/>
                  <w:vAlign w:val="center"/>
                </w:tcPr>
                <w:p>
                  <w:pPr>
                    <w:pStyle w:val="35"/>
                    <w:rPr>
                      <w:rFonts w:hint="eastAsia" w:eastAsia="宋体"/>
                      <w:vertAlign w:val="baseline"/>
                      <w:lang w:val="en-US" w:eastAsia="zh-CN"/>
                    </w:rPr>
                  </w:pPr>
                  <w:r>
                    <w:rPr>
                      <w:rFonts w:hint="eastAsia"/>
                    </w:rPr>
                    <w:t>LD</w:t>
                  </w:r>
                  <w:r>
                    <w:rPr>
                      <w:rFonts w:hint="eastAsia"/>
                      <w:vertAlign w:val="subscript"/>
                      <w:lang w:val="en-US" w:eastAsia="zh-CN"/>
                    </w:rPr>
                    <w:t>50</w:t>
                  </w:r>
                  <w:r>
                    <w:rPr>
                      <w:rFonts w:hint="eastAsia"/>
                    </w:rPr>
                    <w:t>&gt; 5000mg/m</w:t>
                  </w:r>
                  <w:r>
                    <w:rPr>
                      <w:rFonts w:hint="eastAsia"/>
                      <w:vertAlign w:val="superscript"/>
                      <w:lang w:val="en-US" w:eastAsia="zh-CN"/>
                    </w:rPr>
                    <w:t>3</w:t>
                  </w:r>
                  <w:r>
                    <w:rPr>
                      <w:rFonts w:hint="eastAsia"/>
                      <w:vertAlign w:val="baseline"/>
                      <w:lang w:val="en-US" w:eastAsia="zh-CN"/>
                    </w:rPr>
                    <w:t>；</w:t>
                  </w:r>
                </w:p>
                <w:p>
                  <w:pPr>
                    <w:pStyle w:val="35"/>
                    <w:rPr>
                      <w:rFonts w:hint="eastAsia"/>
                    </w:rPr>
                  </w:pPr>
                  <w:r>
                    <w:rPr>
                      <w:rFonts w:hint="eastAsia"/>
                    </w:rPr>
                    <w:t>L</w:t>
                  </w:r>
                  <w:r>
                    <w:rPr>
                      <w:rFonts w:hint="eastAsia"/>
                      <w:lang w:val="en-US" w:eastAsia="zh-CN"/>
                    </w:rPr>
                    <w:t>C</w:t>
                  </w:r>
                  <w:r>
                    <w:rPr>
                      <w:rFonts w:hint="eastAsia"/>
                      <w:vertAlign w:val="subscript"/>
                      <w:lang w:val="en-US" w:eastAsia="zh-CN"/>
                    </w:rPr>
                    <w:t>50</w:t>
                  </w:r>
                  <w:r>
                    <w:rPr>
                      <w:rFonts w:hint="eastAsia"/>
                    </w:rPr>
                    <w:t>&gt; 52000mg/kg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eastAsia"/>
                      <w:lang w:val="en-US" w:eastAsia="zh-CN"/>
                    </w:rPr>
                  </w:pPr>
                  <w:r>
                    <w:rPr>
                      <w:rFonts w:hint="eastAsia"/>
                      <w:lang w:val="en-US" w:eastAsia="zh-CN"/>
                    </w:rPr>
                    <w:t>盐酸</w:t>
                  </w:r>
                </w:p>
              </w:tc>
              <w:tc>
                <w:tcPr>
                  <w:tcW w:w="1637" w:type="pct"/>
                  <w:vAlign w:val="center"/>
                </w:tcPr>
                <w:p>
                  <w:pPr>
                    <w:pStyle w:val="35"/>
                    <w:rPr>
                      <w:rFonts w:hint="eastAsia"/>
                    </w:rPr>
                  </w:pPr>
                  <w:r>
                    <w:rPr>
                      <w:rFonts w:hint="eastAsia"/>
                    </w:rPr>
                    <w:t>性状:无色或微黄色发烟液</w:t>
                  </w:r>
                </w:p>
                <w:p>
                  <w:pPr>
                    <w:pStyle w:val="35"/>
                    <w:rPr>
                      <w:rFonts w:hint="eastAsia"/>
                    </w:rPr>
                  </w:pPr>
                  <w:r>
                    <w:rPr>
                      <w:rFonts w:hint="eastAsia"/>
                    </w:rPr>
                    <w:t>体，有刺鼻的酸味气。</w:t>
                  </w:r>
                </w:p>
                <w:p>
                  <w:pPr>
                    <w:pStyle w:val="35"/>
                    <w:rPr>
                      <w:rFonts w:hint="eastAsia"/>
                    </w:rPr>
                  </w:pPr>
                  <w:r>
                    <w:rPr>
                      <w:rFonts w:hint="eastAsia"/>
                    </w:rPr>
                    <w:t>熔点(°C) : -114.8/纯: 沸点</w:t>
                  </w:r>
                </w:p>
                <w:p>
                  <w:pPr>
                    <w:pStyle w:val="35"/>
                    <w:rPr>
                      <w:rFonts w:hint="eastAsia"/>
                    </w:rPr>
                  </w:pPr>
                  <w:r>
                    <w:rPr>
                      <w:rFonts w:hint="eastAsia"/>
                    </w:rPr>
                    <w:t>(°C) : 108.6/20%</w:t>
                  </w:r>
                </w:p>
                <w:p>
                  <w:pPr>
                    <w:pStyle w:val="35"/>
                    <w:rPr>
                      <w:rFonts w:hint="eastAsia"/>
                    </w:rPr>
                  </w:pPr>
                  <w:r>
                    <w:rPr>
                      <w:rFonts w:hint="eastAsia"/>
                    </w:rPr>
                    <w:t>相对水密度: 1.20</w:t>
                  </w:r>
                </w:p>
                <w:p>
                  <w:pPr>
                    <w:pStyle w:val="35"/>
                    <w:rPr>
                      <w:rFonts w:hint="eastAsia"/>
                    </w:rPr>
                  </w:pPr>
                  <w:r>
                    <w:rPr>
                      <w:rFonts w:hint="eastAsia"/>
                    </w:rPr>
                    <w:t>溶解性:与水混溶，溶于碱液</w:t>
                  </w:r>
                </w:p>
              </w:tc>
              <w:tc>
                <w:tcPr>
                  <w:tcW w:w="1417" w:type="pct"/>
                  <w:vAlign w:val="center"/>
                </w:tcPr>
                <w:p>
                  <w:pPr>
                    <w:pStyle w:val="35"/>
                    <w:rPr>
                      <w:rFonts w:hint="eastAsia"/>
                    </w:rPr>
                  </w:pPr>
                  <w:r>
                    <w:rPr>
                      <w:rFonts w:hint="eastAsia"/>
                    </w:rPr>
                    <w:t>闪点(°C):无资料:</w:t>
                  </w:r>
                </w:p>
                <w:p>
                  <w:pPr>
                    <w:pStyle w:val="35"/>
                    <w:rPr>
                      <w:rFonts w:hint="eastAsia"/>
                    </w:rPr>
                  </w:pPr>
                  <w:r>
                    <w:rPr>
                      <w:rFonts w:hint="eastAsia"/>
                    </w:rPr>
                    <w:t>燃点(°C):无资料:</w:t>
                  </w:r>
                </w:p>
                <w:p>
                  <w:pPr>
                    <w:pStyle w:val="35"/>
                    <w:rPr>
                      <w:rFonts w:hint="eastAsia"/>
                    </w:rPr>
                  </w:pPr>
                  <w:r>
                    <w:rPr>
                      <w:rFonts w:hint="eastAsia"/>
                    </w:rPr>
                    <w:t>爆炸极限(%) :无资料</w:t>
                  </w:r>
                </w:p>
              </w:tc>
              <w:tc>
                <w:tcPr>
                  <w:tcW w:w="1235" w:type="pct"/>
                  <w:vAlign w:val="center"/>
                </w:tcPr>
                <w:p>
                  <w:pPr>
                    <w:pStyle w:val="35"/>
                    <w:rPr>
                      <w:rFonts w:hint="eastAsia"/>
                    </w:rPr>
                  </w:pPr>
                  <w:r>
                    <w:rPr>
                      <w:rFonts w:hint="eastAsia"/>
                    </w:rPr>
                    <w:t>LD</w:t>
                  </w:r>
                  <w:r>
                    <w:rPr>
                      <w:rFonts w:hint="eastAsia"/>
                      <w:vertAlign w:val="subscript"/>
                      <w:lang w:val="en-US" w:eastAsia="zh-CN"/>
                    </w:rPr>
                    <w:t>50</w:t>
                  </w:r>
                  <w:r>
                    <w:rPr>
                      <w:rFonts w:hint="eastAsia"/>
                    </w:rPr>
                    <w:t>: 7060mg</w:t>
                  </w:r>
                  <w:r>
                    <w:rPr>
                      <w:rFonts w:hint="eastAsia"/>
                      <w:lang w:val="en-US" w:eastAsia="zh-CN"/>
                    </w:rPr>
                    <w:t>/</w:t>
                  </w:r>
                  <w:r>
                    <w:rPr>
                      <w:rFonts w:hint="eastAsia"/>
                    </w:rPr>
                    <w:t>kg (兔经口) : 7340mg/kg</w:t>
                  </w:r>
                </w:p>
                <w:p>
                  <w:pPr>
                    <w:pStyle w:val="35"/>
                    <w:rPr>
                      <w:rFonts w:hint="eastAsia"/>
                    </w:rPr>
                  </w:pPr>
                  <w:r>
                    <w:rPr>
                      <w:rFonts w:hint="eastAsia"/>
                    </w:rPr>
                    <w:t>(兔经皮)</w:t>
                  </w:r>
                </w:p>
                <w:p>
                  <w:pPr>
                    <w:pStyle w:val="35"/>
                    <w:rPr>
                      <w:rFonts w:hint="eastAsia" w:eastAsia="宋体"/>
                      <w:vertAlign w:val="superscript"/>
                      <w:lang w:val="en-US" w:eastAsia="zh-CN"/>
                    </w:rPr>
                  </w:pPr>
                  <w:r>
                    <w:rPr>
                      <w:rFonts w:hint="eastAsia"/>
                    </w:rPr>
                    <w:t>L</w:t>
                  </w:r>
                  <w:r>
                    <w:rPr>
                      <w:rFonts w:hint="eastAsia"/>
                      <w:lang w:val="en-US" w:eastAsia="zh-CN"/>
                    </w:rPr>
                    <w:t>C</w:t>
                  </w:r>
                  <w:r>
                    <w:rPr>
                      <w:rFonts w:hint="eastAsia"/>
                      <w:vertAlign w:val="subscript"/>
                      <w:lang w:val="en-US" w:eastAsia="zh-CN"/>
                    </w:rPr>
                    <w:t>50</w:t>
                  </w:r>
                  <w:r>
                    <w:rPr>
                      <w:rFonts w:hint="eastAsia"/>
                    </w:rPr>
                    <w:t>: 37620mg/m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default"/>
                      <w:lang w:val="en-US" w:eastAsia="zh-CN"/>
                    </w:rPr>
                  </w:pPr>
                  <w:r>
                    <w:rPr>
                      <w:rFonts w:hint="eastAsia"/>
                      <w:lang w:val="en-US" w:eastAsia="zh-CN"/>
                    </w:rPr>
                    <w:t>硫酸</w:t>
                  </w:r>
                </w:p>
              </w:tc>
              <w:tc>
                <w:tcPr>
                  <w:tcW w:w="1637" w:type="pct"/>
                  <w:vAlign w:val="center"/>
                </w:tcPr>
                <w:p>
                  <w:pPr>
                    <w:pStyle w:val="35"/>
                    <w:rPr>
                      <w:rFonts w:hint="eastAsia"/>
                    </w:rPr>
                  </w:pPr>
                  <w:r>
                    <w:rPr>
                      <w:rFonts w:hint="eastAsia"/>
                    </w:rPr>
                    <w:t>性状:纯品为无色透明油状液体，无臭。</w:t>
                  </w:r>
                </w:p>
                <w:p>
                  <w:pPr>
                    <w:pStyle w:val="35"/>
                    <w:rPr>
                      <w:rFonts w:hint="eastAsia"/>
                    </w:rPr>
                  </w:pPr>
                  <w:r>
                    <w:rPr>
                      <w:rFonts w:hint="eastAsia"/>
                    </w:rPr>
                    <w:t>熔点(°C): 10.5</w:t>
                  </w:r>
                  <w:r>
                    <w:rPr>
                      <w:rFonts w:hint="eastAsia"/>
                      <w:lang w:eastAsia="zh-CN"/>
                    </w:rPr>
                    <w:t>；</w:t>
                  </w:r>
                  <w:r>
                    <w:rPr>
                      <w:rFonts w:hint="eastAsia"/>
                    </w:rPr>
                    <w:t>沸点(°C):</w:t>
                  </w:r>
                </w:p>
                <w:p>
                  <w:pPr>
                    <w:pStyle w:val="35"/>
                    <w:rPr>
                      <w:rFonts w:hint="eastAsia"/>
                    </w:rPr>
                  </w:pPr>
                  <w:r>
                    <w:rPr>
                      <w:rFonts w:hint="eastAsia"/>
                    </w:rPr>
                    <w:t>330.0</w:t>
                  </w:r>
                  <w:r>
                    <w:rPr>
                      <w:rFonts w:hint="eastAsia"/>
                      <w:lang w:eastAsia="zh-CN"/>
                    </w:rPr>
                    <w:t>；</w:t>
                  </w:r>
                  <w:r>
                    <w:rPr>
                      <w:rFonts w:hint="eastAsia"/>
                    </w:rPr>
                    <w:t>相对水密度: 1.83 .</w:t>
                  </w:r>
                </w:p>
                <w:p>
                  <w:pPr>
                    <w:pStyle w:val="35"/>
                    <w:rPr>
                      <w:rFonts w:hint="eastAsia"/>
                    </w:rPr>
                  </w:pPr>
                  <w:r>
                    <w:rPr>
                      <w:rFonts w:hint="eastAsia"/>
                    </w:rPr>
                    <w:t>溶解性:与水混溶。</w:t>
                  </w:r>
                </w:p>
              </w:tc>
              <w:tc>
                <w:tcPr>
                  <w:tcW w:w="2342" w:type="dxa"/>
                  <w:vAlign w:val="center"/>
                </w:tcPr>
                <w:p>
                  <w:pPr>
                    <w:pStyle w:val="35"/>
                    <w:rPr>
                      <w:rFonts w:hint="eastAsia"/>
                    </w:rPr>
                  </w:pPr>
                  <w:r>
                    <w:rPr>
                      <w:rFonts w:hint="eastAsia"/>
                    </w:rPr>
                    <w:t>闪点(°C):无资料:</w:t>
                  </w:r>
                </w:p>
                <w:p>
                  <w:pPr>
                    <w:pStyle w:val="35"/>
                    <w:rPr>
                      <w:rFonts w:hint="eastAsia"/>
                    </w:rPr>
                  </w:pPr>
                  <w:r>
                    <w:rPr>
                      <w:rFonts w:hint="eastAsia"/>
                    </w:rPr>
                    <w:t>燃点(°C):无资料:</w:t>
                  </w:r>
                </w:p>
                <w:p>
                  <w:pPr>
                    <w:pStyle w:val="35"/>
                    <w:rPr>
                      <w:rFonts w:hint="eastAsia"/>
                    </w:rPr>
                  </w:pPr>
                  <w:r>
                    <w:rPr>
                      <w:rFonts w:hint="eastAsia"/>
                    </w:rPr>
                    <w:t>爆炸极限(%) :无资料</w:t>
                  </w:r>
                </w:p>
              </w:tc>
              <w:tc>
                <w:tcPr>
                  <w:tcW w:w="1235" w:type="pct"/>
                  <w:vAlign w:val="center"/>
                </w:tcPr>
                <w:p>
                  <w:pPr>
                    <w:pStyle w:val="35"/>
                    <w:rPr>
                      <w:rFonts w:hint="eastAsia"/>
                    </w:rPr>
                  </w:pPr>
                  <w:r>
                    <w:rPr>
                      <w:rFonts w:hint="eastAsia"/>
                    </w:rPr>
                    <w:t>LD</w:t>
                  </w:r>
                  <w:r>
                    <w:rPr>
                      <w:rFonts w:hint="eastAsia"/>
                      <w:vertAlign w:val="subscript"/>
                      <w:lang w:val="en-US" w:eastAsia="zh-CN"/>
                    </w:rPr>
                    <w:t>50</w:t>
                  </w:r>
                  <w:r>
                    <w:rPr>
                      <w:rFonts w:hint="eastAsia"/>
                    </w:rPr>
                    <w:t>: 80mg/kg (大鼠.经口)</w:t>
                  </w:r>
                </w:p>
                <w:p>
                  <w:pPr>
                    <w:pStyle w:val="35"/>
                    <w:rPr>
                      <w:rFonts w:hint="eastAsia" w:eastAsia="宋体"/>
                      <w:vertAlign w:val="superscript"/>
                      <w:lang w:val="en-US" w:eastAsia="zh-CN"/>
                    </w:rPr>
                  </w:pPr>
                  <w:r>
                    <w:rPr>
                      <w:rFonts w:hint="eastAsia"/>
                    </w:rPr>
                    <w:t>L</w:t>
                  </w:r>
                  <w:r>
                    <w:rPr>
                      <w:rFonts w:hint="eastAsia"/>
                      <w:lang w:val="en-US" w:eastAsia="zh-CN"/>
                    </w:rPr>
                    <w:t>C</w:t>
                  </w:r>
                  <w:r>
                    <w:rPr>
                      <w:rFonts w:hint="eastAsia"/>
                      <w:vertAlign w:val="subscript"/>
                      <w:lang w:val="en-US" w:eastAsia="zh-CN"/>
                    </w:rPr>
                    <w:t>50</w:t>
                  </w:r>
                  <w:r>
                    <w:rPr>
                      <w:rFonts w:hint="eastAsia"/>
                      <w:vertAlign w:val="baseline"/>
                      <w:lang w:val="en-US" w:eastAsia="zh-CN"/>
                    </w:rPr>
                    <w:t>:</w:t>
                  </w:r>
                  <w:r>
                    <w:rPr>
                      <w:rFonts w:hint="eastAsia"/>
                    </w:rPr>
                    <w:t xml:space="preserve"> 510mg/m</w:t>
                  </w:r>
                  <w:r>
                    <w:rPr>
                      <w:rFonts w:hint="eastAsia"/>
                      <w:vertAlign w:val="superscript"/>
                      <w:lang w:val="en-US" w:eastAsia="zh-CN"/>
                    </w:rPr>
                    <w:t>3</w:t>
                  </w:r>
                </w:p>
                <w:p>
                  <w:pPr>
                    <w:pStyle w:val="35"/>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eastAsia"/>
                      <w:lang w:val="en-US" w:eastAsia="zh-CN"/>
                    </w:rPr>
                  </w:pPr>
                  <w:r>
                    <w:rPr>
                      <w:rFonts w:hint="eastAsia"/>
                      <w:lang w:val="en-US" w:eastAsia="zh-CN"/>
                    </w:rPr>
                    <w:t>清洗剂</w:t>
                  </w:r>
                </w:p>
              </w:tc>
              <w:tc>
                <w:tcPr>
                  <w:tcW w:w="1637" w:type="pct"/>
                  <w:vAlign w:val="center"/>
                </w:tcPr>
                <w:p>
                  <w:pPr>
                    <w:pStyle w:val="35"/>
                    <w:rPr>
                      <w:rFonts w:hint="eastAsia"/>
                    </w:rPr>
                  </w:pPr>
                  <w:r>
                    <w:rPr>
                      <w:rFonts w:hint="eastAsia"/>
                    </w:rPr>
                    <w:t>性状:黄色液体。</w:t>
                  </w:r>
                </w:p>
                <w:p>
                  <w:pPr>
                    <w:pStyle w:val="35"/>
                    <w:rPr>
                      <w:rFonts w:hint="eastAsia"/>
                    </w:rPr>
                  </w:pPr>
                  <w:r>
                    <w:rPr>
                      <w:rFonts w:hint="eastAsia"/>
                    </w:rPr>
                    <w:t>熔点(°C):-8</w:t>
                  </w:r>
                  <w:r>
                    <w:rPr>
                      <w:rFonts w:hint="eastAsia"/>
                      <w:lang w:eastAsia="zh-CN"/>
                    </w:rPr>
                    <w:t>；</w:t>
                  </w:r>
                  <w:r>
                    <w:rPr>
                      <w:rFonts w:hint="eastAsia"/>
                    </w:rPr>
                    <w:t>沸点(°C):</w:t>
                  </w:r>
                </w:p>
                <w:p>
                  <w:pPr>
                    <w:pStyle w:val="35"/>
                    <w:rPr>
                      <w:rFonts w:hint="eastAsia" w:eastAsia="宋体"/>
                      <w:lang w:eastAsia="zh-CN"/>
                    </w:rPr>
                  </w:pPr>
                  <w:r>
                    <w:rPr>
                      <w:rFonts w:hint="eastAsia"/>
                    </w:rPr>
                    <w:t>100</w:t>
                  </w:r>
                  <w:r>
                    <w:rPr>
                      <w:rFonts w:hint="eastAsia"/>
                      <w:lang w:eastAsia="zh-CN"/>
                    </w:rPr>
                    <w:t>.</w:t>
                  </w:r>
                  <w:r>
                    <w:rPr>
                      <w:rFonts w:hint="eastAsia"/>
                    </w:rPr>
                    <w:t>0</w:t>
                  </w:r>
                  <w:r>
                    <w:rPr>
                      <w:rFonts w:hint="eastAsia"/>
                      <w:lang w:eastAsia="zh-CN"/>
                    </w:rPr>
                    <w:t>；</w:t>
                  </w:r>
                </w:p>
                <w:p>
                  <w:pPr>
                    <w:pStyle w:val="35"/>
                    <w:rPr>
                      <w:rFonts w:hint="eastAsia"/>
                    </w:rPr>
                  </w:pPr>
                  <w:r>
                    <w:rPr>
                      <w:rFonts w:hint="eastAsia"/>
                    </w:rPr>
                    <w:t>相对水密度</w:t>
                  </w:r>
                  <w:r>
                    <w:rPr>
                      <w:rFonts w:hint="eastAsia"/>
                      <w:lang w:eastAsia="zh-CN"/>
                    </w:rPr>
                    <w:t>：</w:t>
                  </w:r>
                  <w:r>
                    <w:rPr>
                      <w:rFonts w:hint="eastAsia"/>
                    </w:rPr>
                    <w:t>1.135</w:t>
                  </w:r>
                </w:p>
                <w:p>
                  <w:pPr>
                    <w:pStyle w:val="35"/>
                    <w:rPr>
                      <w:rFonts w:hint="eastAsia"/>
                    </w:rPr>
                  </w:pPr>
                  <w:r>
                    <w:rPr>
                      <w:rFonts w:hint="eastAsia"/>
                    </w:rPr>
                    <w:t>溶解性:与水混溶。</w:t>
                  </w:r>
                </w:p>
              </w:tc>
              <w:tc>
                <w:tcPr>
                  <w:tcW w:w="2342" w:type="dxa"/>
                  <w:vAlign w:val="center"/>
                </w:tcPr>
                <w:p>
                  <w:pPr>
                    <w:pStyle w:val="35"/>
                    <w:rPr>
                      <w:rFonts w:hint="eastAsia"/>
                    </w:rPr>
                  </w:pPr>
                  <w:r>
                    <w:rPr>
                      <w:rFonts w:hint="eastAsia"/>
                    </w:rPr>
                    <w:t>闪点(°C):无资料:</w:t>
                  </w:r>
                </w:p>
                <w:p>
                  <w:pPr>
                    <w:pStyle w:val="35"/>
                    <w:rPr>
                      <w:rFonts w:hint="eastAsia"/>
                    </w:rPr>
                  </w:pPr>
                  <w:r>
                    <w:rPr>
                      <w:rFonts w:hint="eastAsia"/>
                    </w:rPr>
                    <w:t>燃点(°C):无资料:</w:t>
                  </w:r>
                </w:p>
                <w:p>
                  <w:pPr>
                    <w:pStyle w:val="35"/>
                    <w:rPr>
                      <w:rFonts w:hint="eastAsia"/>
                    </w:rPr>
                  </w:pPr>
                  <w:r>
                    <w:rPr>
                      <w:rFonts w:hint="eastAsia"/>
                    </w:rPr>
                    <w:t>爆炸极限(%) :无资料</w:t>
                  </w:r>
                </w:p>
              </w:tc>
              <w:tc>
                <w:tcPr>
                  <w:tcW w:w="1235" w:type="pct"/>
                  <w:vAlign w:val="center"/>
                </w:tcPr>
                <w:p>
                  <w:pPr>
                    <w:pStyle w:val="35"/>
                    <w:rPr>
                      <w:rFonts w:hint="eastAsia"/>
                    </w:rPr>
                  </w:pPr>
                  <w:r>
                    <w:rPr>
                      <w:rFonts w:hint="eastAsia"/>
                      <w:lang w:eastAsia="zh-CN"/>
                    </w:rPr>
                    <w:t>无资料</w:t>
                  </w:r>
                </w:p>
              </w:tc>
            </w:tr>
          </w:tbl>
          <w:p>
            <w:pPr>
              <w:pStyle w:val="12"/>
              <w:jc w:val="both"/>
              <w:rPr>
                <w:rFonts w:hint="eastAsia"/>
              </w:rPr>
            </w:pPr>
          </w:p>
          <w:p>
            <w:pPr>
              <w:pStyle w:val="12"/>
              <w:jc w:val="center"/>
            </w:pPr>
            <w:r>
              <w:rPr>
                <w:rFonts w:hint="eastAsia"/>
              </w:rPr>
              <w:t>表</w:t>
            </w:r>
            <w:r>
              <w:t>2-</w:t>
            </w:r>
            <w:r>
              <w:rPr>
                <w:rFonts w:hint="eastAsia"/>
                <w:lang w:val="en-US" w:eastAsia="zh-CN"/>
              </w:rPr>
              <w:t>8</w:t>
            </w:r>
            <w:r>
              <w:t xml:space="preserve">  </w:t>
            </w:r>
            <w:r>
              <w:rPr>
                <w:rFonts w:hint="eastAsia"/>
                <w:lang w:eastAsia="zh-CN"/>
              </w:rPr>
              <w:t>本</w:t>
            </w:r>
            <w:r>
              <w:rPr>
                <w:rFonts w:hint="eastAsia"/>
              </w:rPr>
              <w:t>项目</w:t>
            </w:r>
            <w:r>
              <w:rPr>
                <w:rFonts w:hint="eastAsia"/>
                <w:lang w:eastAsia="zh-CN"/>
              </w:rPr>
              <w:t>扩建后新厂区</w:t>
            </w:r>
            <w:r>
              <w:rPr>
                <w:rFonts w:hint="eastAsia"/>
              </w:rPr>
              <w:t>主要原辅料清单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06"/>
              <w:gridCol w:w="1134"/>
              <w:gridCol w:w="1296"/>
              <w:gridCol w:w="1688"/>
              <w:gridCol w:w="868"/>
              <w:gridCol w:w="778"/>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621" w:type="pct"/>
                  <w:vAlign w:val="center"/>
                </w:tcPr>
                <w:p>
                  <w:pPr>
                    <w:pStyle w:val="35"/>
                    <w:rPr>
                      <w:b/>
                      <w:bCs/>
                    </w:rPr>
                  </w:pPr>
                  <w:r>
                    <w:rPr>
                      <w:rFonts w:hint="eastAsia"/>
                      <w:b/>
                      <w:bCs/>
                    </w:rPr>
                    <w:t>名称</w:t>
                  </w:r>
                </w:p>
              </w:tc>
              <w:tc>
                <w:tcPr>
                  <w:tcW w:w="427" w:type="pct"/>
                  <w:vAlign w:val="center"/>
                </w:tcPr>
                <w:p>
                  <w:pPr>
                    <w:pStyle w:val="35"/>
                    <w:rPr>
                      <w:b/>
                      <w:bCs/>
                    </w:rPr>
                  </w:pPr>
                  <w:r>
                    <w:rPr>
                      <w:rFonts w:hint="eastAsia"/>
                      <w:b/>
                      <w:bCs/>
                    </w:rPr>
                    <w:t>形态</w:t>
                  </w:r>
                </w:p>
              </w:tc>
              <w:tc>
                <w:tcPr>
                  <w:tcW w:w="686" w:type="pct"/>
                  <w:vAlign w:val="center"/>
                </w:tcPr>
                <w:p>
                  <w:pPr>
                    <w:pStyle w:val="35"/>
                    <w:rPr>
                      <w:b/>
                      <w:bCs/>
                    </w:rPr>
                  </w:pPr>
                  <w:r>
                    <w:rPr>
                      <w:rFonts w:hint="eastAsia"/>
                      <w:b/>
                      <w:bCs/>
                    </w:rPr>
                    <w:t>规格、成分</w:t>
                  </w:r>
                </w:p>
              </w:tc>
              <w:tc>
                <w:tcPr>
                  <w:tcW w:w="784" w:type="pct"/>
                  <w:vAlign w:val="center"/>
                </w:tcPr>
                <w:p>
                  <w:pPr>
                    <w:pStyle w:val="35"/>
                    <w:rPr>
                      <w:b/>
                      <w:bCs/>
                    </w:rPr>
                  </w:pPr>
                  <w:r>
                    <w:rPr>
                      <w:rFonts w:hint="eastAsia"/>
                      <w:b/>
                      <w:bCs/>
                    </w:rPr>
                    <w:t>年用量（</w:t>
                  </w:r>
                  <w:r>
                    <w:rPr>
                      <w:rFonts w:hint="eastAsia"/>
                      <w:b/>
                      <w:bCs/>
                      <w:lang w:val="en-US" w:eastAsia="zh-CN"/>
                    </w:rPr>
                    <w:t>t</w:t>
                  </w:r>
                  <w:r>
                    <w:rPr>
                      <w:b/>
                      <w:bCs/>
                    </w:rPr>
                    <w:t>/a</w:t>
                  </w:r>
                  <w:r>
                    <w:rPr>
                      <w:rFonts w:hint="eastAsia"/>
                      <w:b/>
                      <w:bCs/>
                    </w:rPr>
                    <w:t>）</w:t>
                  </w:r>
                </w:p>
              </w:tc>
              <w:tc>
                <w:tcPr>
                  <w:tcW w:w="1021" w:type="pct"/>
                  <w:vAlign w:val="center"/>
                </w:tcPr>
                <w:p>
                  <w:pPr>
                    <w:pStyle w:val="35"/>
                    <w:rPr>
                      <w:b/>
                      <w:bCs/>
                    </w:rPr>
                  </w:pPr>
                  <w:r>
                    <w:rPr>
                      <w:rFonts w:hint="eastAsia"/>
                      <w:b/>
                      <w:bCs/>
                    </w:rPr>
                    <w:t>包装规格</w:t>
                  </w:r>
                </w:p>
              </w:tc>
              <w:tc>
                <w:tcPr>
                  <w:tcW w:w="525" w:type="pct"/>
                  <w:vAlign w:val="center"/>
                </w:tcPr>
                <w:p>
                  <w:pPr>
                    <w:pStyle w:val="35"/>
                    <w:rPr>
                      <w:b/>
                      <w:bCs/>
                    </w:rPr>
                  </w:pPr>
                  <w:r>
                    <w:rPr>
                      <w:rFonts w:hint="eastAsia"/>
                      <w:b/>
                      <w:bCs/>
                    </w:rPr>
                    <w:t>厂内最大储存量</w:t>
                  </w:r>
                </w:p>
                <w:p>
                  <w:pPr>
                    <w:pStyle w:val="35"/>
                    <w:rPr>
                      <w:b/>
                      <w:bCs/>
                    </w:rPr>
                  </w:pPr>
                  <w:r>
                    <w:rPr>
                      <w:b/>
                      <w:bCs/>
                    </w:rPr>
                    <w:t>(</w:t>
                  </w:r>
                  <w:r>
                    <w:rPr>
                      <w:rFonts w:hint="eastAsia"/>
                      <w:b/>
                      <w:bCs/>
                      <w:lang w:val="en-US" w:eastAsia="zh-CN"/>
                    </w:rPr>
                    <w:t>t</w:t>
                  </w:r>
                  <w:r>
                    <w:rPr>
                      <w:rFonts w:hint="eastAsia"/>
                      <w:b/>
                      <w:bCs/>
                    </w:rPr>
                    <w:t>/</w:t>
                  </w:r>
                  <w:r>
                    <w:rPr>
                      <w:b/>
                      <w:bCs/>
                    </w:rPr>
                    <w:t>a)</w:t>
                  </w:r>
                </w:p>
              </w:tc>
              <w:tc>
                <w:tcPr>
                  <w:tcW w:w="470" w:type="pct"/>
                  <w:vAlign w:val="center"/>
                </w:tcPr>
                <w:p>
                  <w:pPr>
                    <w:pStyle w:val="35"/>
                    <w:rPr>
                      <w:b/>
                      <w:bCs/>
                    </w:rPr>
                  </w:pPr>
                  <w:r>
                    <w:rPr>
                      <w:rFonts w:hint="eastAsia"/>
                      <w:b/>
                      <w:bCs/>
                    </w:rPr>
                    <w:t>使用工段</w:t>
                  </w:r>
                </w:p>
              </w:tc>
              <w:tc>
                <w:tcPr>
                  <w:tcW w:w="462" w:type="pct"/>
                  <w:vAlign w:val="center"/>
                </w:tcPr>
                <w:p>
                  <w:pPr>
                    <w:pStyle w:val="35"/>
                    <w:rPr>
                      <w:b/>
                      <w:bCs/>
                    </w:rPr>
                  </w:pPr>
                  <w:r>
                    <w:rPr>
                      <w:rFonts w:hint="eastAsia"/>
                      <w:b/>
                      <w:bCs/>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 w:type="pct"/>
                  <w:shd w:val="clear" w:color="auto" w:fill="auto"/>
                  <w:vAlign w:val="center"/>
                </w:tcPr>
                <w:p>
                  <w:pPr>
                    <w:pStyle w:val="35"/>
                    <w:rPr>
                      <w:rFonts w:hint="default" w:eastAsia="宋体"/>
                      <w:lang w:val="en-US" w:eastAsia="zh-CN"/>
                    </w:rPr>
                  </w:pPr>
                  <w:r>
                    <w:rPr>
                      <w:rFonts w:hint="eastAsia"/>
                      <w:lang w:val="en-US" w:eastAsia="zh-CN"/>
                    </w:rPr>
                    <w:t>金属配件</w:t>
                  </w:r>
                </w:p>
              </w:tc>
              <w:tc>
                <w:tcPr>
                  <w:tcW w:w="427" w:type="pct"/>
                  <w:shd w:val="clear" w:color="auto" w:fill="auto"/>
                  <w:vAlign w:val="center"/>
                </w:tcPr>
                <w:p>
                  <w:pPr>
                    <w:pStyle w:val="35"/>
                  </w:pPr>
                  <w:r>
                    <w:rPr>
                      <w:rFonts w:hint="eastAsia"/>
                    </w:rPr>
                    <w:t>固态</w:t>
                  </w:r>
                </w:p>
              </w:tc>
              <w:tc>
                <w:tcPr>
                  <w:tcW w:w="686" w:type="pct"/>
                  <w:vAlign w:val="center"/>
                </w:tcPr>
                <w:p>
                  <w:pPr>
                    <w:pStyle w:val="35"/>
                  </w:pPr>
                  <w:r>
                    <w:rPr>
                      <w:rFonts w:hint="eastAsia"/>
                    </w:rPr>
                    <w:t>金属件</w:t>
                  </w:r>
                </w:p>
              </w:tc>
              <w:tc>
                <w:tcPr>
                  <w:tcW w:w="784" w:type="pct"/>
                  <w:vAlign w:val="center"/>
                </w:tcPr>
                <w:p>
                  <w:pPr>
                    <w:pStyle w:val="35"/>
                    <w:rPr>
                      <w:rFonts w:hint="default" w:eastAsia="宋体"/>
                      <w:lang w:val="en-US" w:eastAsia="zh-CN"/>
                    </w:rPr>
                  </w:pPr>
                  <w:r>
                    <w:rPr>
                      <w:rFonts w:hint="eastAsia"/>
                      <w:lang w:val="en-US" w:eastAsia="zh-CN"/>
                    </w:rPr>
                    <w:t>36</w:t>
                  </w:r>
                </w:p>
              </w:tc>
              <w:tc>
                <w:tcPr>
                  <w:tcW w:w="1021" w:type="pct"/>
                  <w:vAlign w:val="center"/>
                </w:tcPr>
                <w:p>
                  <w:pPr>
                    <w:pStyle w:val="35"/>
                    <w:rPr>
                      <w:rFonts w:hint="eastAsia" w:eastAsia="宋体"/>
                      <w:lang w:val="en-US" w:eastAsia="zh-CN"/>
                    </w:rPr>
                  </w:pPr>
                  <w:r>
                    <w:rPr>
                      <w:rFonts w:hint="eastAsia"/>
                      <w:lang w:val="en-US" w:eastAsia="zh-CN"/>
                    </w:rPr>
                    <w:t>/</w:t>
                  </w:r>
                </w:p>
              </w:tc>
              <w:tc>
                <w:tcPr>
                  <w:tcW w:w="525" w:type="pct"/>
                  <w:vAlign w:val="center"/>
                </w:tcPr>
                <w:p>
                  <w:pPr>
                    <w:pStyle w:val="35"/>
                    <w:rPr>
                      <w:rFonts w:hint="eastAsia" w:eastAsia="宋体"/>
                      <w:lang w:val="en-US" w:eastAsia="zh-CN"/>
                    </w:rPr>
                  </w:pPr>
                  <w:r>
                    <w:rPr>
                      <w:rFonts w:hint="eastAsia"/>
                      <w:lang w:val="en-US" w:eastAsia="zh-CN"/>
                    </w:rPr>
                    <w:t>5</w:t>
                  </w:r>
                </w:p>
              </w:tc>
              <w:tc>
                <w:tcPr>
                  <w:tcW w:w="470" w:type="pct"/>
                  <w:vAlign w:val="center"/>
                </w:tcPr>
                <w:p>
                  <w:pPr>
                    <w:pStyle w:val="35"/>
                    <w:rPr>
                      <w:rFonts w:hint="eastAsia" w:eastAsia="宋体"/>
                      <w:lang w:eastAsia="zh-CN"/>
                    </w:rPr>
                  </w:pPr>
                  <w:r>
                    <w:rPr>
                      <w:rFonts w:hint="eastAsia"/>
                      <w:lang w:eastAsia="zh-CN"/>
                    </w:rPr>
                    <w:t>组装</w:t>
                  </w:r>
                </w:p>
              </w:tc>
              <w:tc>
                <w:tcPr>
                  <w:tcW w:w="462" w:type="pct"/>
                  <w:vAlign w:val="center"/>
                </w:tcPr>
                <w:p>
                  <w:pPr>
                    <w:pStyle w:val="35"/>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 w:type="pct"/>
                  <w:shd w:val="clear" w:color="auto" w:fill="auto"/>
                  <w:vAlign w:val="center"/>
                </w:tcPr>
                <w:p>
                  <w:pPr>
                    <w:pStyle w:val="35"/>
                    <w:rPr>
                      <w:rFonts w:hint="eastAsia" w:eastAsia="宋体"/>
                      <w:lang w:eastAsia="zh-CN"/>
                    </w:rPr>
                  </w:pPr>
                  <w:r>
                    <w:rPr>
                      <w:rFonts w:hint="eastAsia"/>
                      <w:lang w:eastAsia="zh-CN"/>
                    </w:rPr>
                    <w:t>塑料配件</w:t>
                  </w:r>
                </w:p>
              </w:tc>
              <w:tc>
                <w:tcPr>
                  <w:tcW w:w="427" w:type="pct"/>
                  <w:shd w:val="clear" w:color="auto" w:fill="auto"/>
                  <w:vAlign w:val="center"/>
                </w:tcPr>
                <w:p>
                  <w:pPr>
                    <w:pStyle w:val="35"/>
                  </w:pPr>
                  <w:r>
                    <w:rPr>
                      <w:rFonts w:hint="eastAsia"/>
                    </w:rPr>
                    <w:t>固态</w:t>
                  </w:r>
                </w:p>
              </w:tc>
              <w:tc>
                <w:tcPr>
                  <w:tcW w:w="686" w:type="pct"/>
                  <w:vAlign w:val="center"/>
                </w:tcPr>
                <w:p>
                  <w:pPr>
                    <w:pStyle w:val="35"/>
                  </w:pPr>
                  <w:r>
                    <w:rPr>
                      <w:rFonts w:hint="eastAsia"/>
                    </w:rPr>
                    <w:t>塑料件</w:t>
                  </w:r>
                </w:p>
              </w:tc>
              <w:tc>
                <w:tcPr>
                  <w:tcW w:w="784" w:type="pct"/>
                  <w:vAlign w:val="center"/>
                </w:tcPr>
                <w:p>
                  <w:pPr>
                    <w:pStyle w:val="35"/>
                    <w:rPr>
                      <w:rFonts w:hint="default" w:eastAsia="宋体"/>
                      <w:lang w:val="en-US" w:eastAsia="zh-CN"/>
                    </w:rPr>
                  </w:pPr>
                  <w:r>
                    <w:rPr>
                      <w:rFonts w:hint="eastAsia"/>
                      <w:lang w:val="en-US" w:eastAsia="zh-CN"/>
                    </w:rPr>
                    <w:t>24</w:t>
                  </w:r>
                </w:p>
              </w:tc>
              <w:tc>
                <w:tcPr>
                  <w:tcW w:w="1021" w:type="pct"/>
                  <w:vAlign w:val="center"/>
                </w:tcPr>
                <w:p>
                  <w:pPr>
                    <w:pStyle w:val="35"/>
                    <w:rPr>
                      <w:rFonts w:hint="eastAsia" w:eastAsia="宋体"/>
                      <w:lang w:val="en-US" w:eastAsia="zh-CN"/>
                    </w:rPr>
                  </w:pPr>
                  <w:r>
                    <w:rPr>
                      <w:rFonts w:hint="eastAsia"/>
                      <w:lang w:val="en-US" w:eastAsia="zh-CN"/>
                    </w:rPr>
                    <w:t>/</w:t>
                  </w:r>
                </w:p>
              </w:tc>
              <w:tc>
                <w:tcPr>
                  <w:tcW w:w="525" w:type="pct"/>
                  <w:vAlign w:val="center"/>
                </w:tcPr>
                <w:p>
                  <w:pPr>
                    <w:pStyle w:val="35"/>
                    <w:rPr>
                      <w:rFonts w:hint="eastAsia" w:eastAsia="宋体"/>
                      <w:lang w:val="en-US" w:eastAsia="zh-CN"/>
                    </w:rPr>
                  </w:pPr>
                  <w:r>
                    <w:rPr>
                      <w:rFonts w:hint="eastAsia"/>
                      <w:lang w:val="en-US" w:eastAsia="zh-CN"/>
                    </w:rPr>
                    <w:t>2</w:t>
                  </w:r>
                </w:p>
              </w:tc>
              <w:tc>
                <w:tcPr>
                  <w:tcW w:w="470" w:type="pct"/>
                  <w:vAlign w:val="center"/>
                </w:tcPr>
                <w:p>
                  <w:pPr>
                    <w:pStyle w:val="35"/>
                    <w:rPr>
                      <w:rFonts w:hint="eastAsia" w:eastAsia="宋体"/>
                      <w:lang w:eastAsia="zh-CN"/>
                    </w:rPr>
                  </w:pPr>
                  <w:r>
                    <w:rPr>
                      <w:rFonts w:hint="eastAsia"/>
                      <w:lang w:eastAsia="zh-CN"/>
                    </w:rPr>
                    <w:t>组装</w:t>
                  </w:r>
                </w:p>
              </w:tc>
              <w:tc>
                <w:tcPr>
                  <w:tcW w:w="462" w:type="pct"/>
                  <w:vAlign w:val="center"/>
                </w:tcPr>
                <w:p>
                  <w:pPr>
                    <w:pStyle w:val="35"/>
                  </w:pPr>
                  <w:r>
                    <w:rPr>
                      <w:rFonts w:hint="eastAsia"/>
                    </w:rPr>
                    <w:t>原料仓库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 w:type="pct"/>
                  <w:shd w:val="clear" w:color="auto" w:fill="auto"/>
                  <w:vAlign w:val="center"/>
                </w:tcPr>
                <w:p>
                  <w:pPr>
                    <w:pStyle w:val="35"/>
                    <w:rPr>
                      <w:rFonts w:hint="eastAsia" w:eastAsia="宋体"/>
                      <w:lang w:eastAsia="zh-CN"/>
                    </w:rPr>
                  </w:pPr>
                  <w:r>
                    <w:rPr>
                      <w:rFonts w:hint="eastAsia"/>
                      <w:lang w:eastAsia="zh-CN"/>
                    </w:rPr>
                    <w:t>酒精</w:t>
                  </w:r>
                </w:p>
              </w:tc>
              <w:tc>
                <w:tcPr>
                  <w:tcW w:w="427" w:type="pct"/>
                  <w:shd w:val="clear" w:color="auto" w:fill="auto"/>
                  <w:vAlign w:val="center"/>
                </w:tcPr>
                <w:p>
                  <w:pPr>
                    <w:pStyle w:val="35"/>
                  </w:pPr>
                  <w:r>
                    <w:rPr>
                      <w:rFonts w:hint="eastAsia"/>
                      <w:lang w:eastAsia="zh-CN"/>
                    </w:rPr>
                    <w:t>液</w:t>
                  </w:r>
                  <w:r>
                    <w:rPr>
                      <w:rFonts w:hint="eastAsia"/>
                    </w:rPr>
                    <w:t>态</w:t>
                  </w:r>
                </w:p>
              </w:tc>
              <w:tc>
                <w:tcPr>
                  <w:tcW w:w="686" w:type="pct"/>
                  <w:vAlign w:val="center"/>
                </w:tcPr>
                <w:p>
                  <w:pPr>
                    <w:pStyle w:val="35"/>
                    <w:rPr>
                      <w:rFonts w:hint="eastAsia" w:eastAsia="宋体"/>
                      <w:lang w:eastAsia="zh-CN"/>
                    </w:rPr>
                  </w:pPr>
                  <w:r>
                    <w:rPr>
                      <w:rFonts w:hint="eastAsia"/>
                      <w:lang w:eastAsia="zh-CN"/>
                    </w:rPr>
                    <w:t>酒精</w:t>
                  </w:r>
                </w:p>
              </w:tc>
              <w:tc>
                <w:tcPr>
                  <w:tcW w:w="784" w:type="pct"/>
                  <w:vAlign w:val="center"/>
                </w:tcPr>
                <w:p>
                  <w:pPr>
                    <w:pStyle w:val="35"/>
                    <w:rPr>
                      <w:rFonts w:hint="default" w:eastAsia="宋体"/>
                      <w:lang w:val="en-US" w:eastAsia="zh-CN"/>
                    </w:rPr>
                  </w:pPr>
                  <w:r>
                    <w:rPr>
                      <w:rFonts w:hint="eastAsia"/>
                      <w:lang w:val="en-US" w:eastAsia="zh-CN"/>
                    </w:rPr>
                    <w:t>0.5</w:t>
                  </w:r>
                </w:p>
              </w:tc>
              <w:tc>
                <w:tcPr>
                  <w:tcW w:w="1021" w:type="pct"/>
                  <w:vAlign w:val="center"/>
                </w:tcPr>
                <w:p>
                  <w:pPr>
                    <w:pStyle w:val="35"/>
                  </w:pPr>
                  <w:r>
                    <w:rPr>
                      <w:rFonts w:hint="eastAsia"/>
                      <w:lang w:val="en-US" w:eastAsia="zh-CN"/>
                    </w:rPr>
                    <w:t>500ml/瓶</w:t>
                  </w:r>
                </w:p>
              </w:tc>
              <w:tc>
                <w:tcPr>
                  <w:tcW w:w="525" w:type="pct"/>
                  <w:vAlign w:val="center"/>
                </w:tcPr>
                <w:p>
                  <w:pPr>
                    <w:pStyle w:val="35"/>
                    <w:rPr>
                      <w:rFonts w:hint="default" w:eastAsia="宋体"/>
                      <w:lang w:val="en-US" w:eastAsia="zh-CN"/>
                    </w:rPr>
                  </w:pPr>
                  <w:r>
                    <w:rPr>
                      <w:rFonts w:hint="eastAsia"/>
                      <w:lang w:val="en-US" w:eastAsia="zh-CN"/>
                    </w:rPr>
                    <w:t>0.01</w:t>
                  </w:r>
                </w:p>
              </w:tc>
              <w:tc>
                <w:tcPr>
                  <w:tcW w:w="470" w:type="pct"/>
                  <w:vAlign w:val="center"/>
                </w:tcPr>
                <w:p>
                  <w:pPr>
                    <w:pStyle w:val="35"/>
                    <w:rPr>
                      <w:rFonts w:hint="eastAsia" w:eastAsia="宋体"/>
                      <w:lang w:eastAsia="zh-CN"/>
                    </w:rPr>
                  </w:pPr>
                  <w:r>
                    <w:rPr>
                      <w:rFonts w:hint="eastAsia"/>
                      <w:lang w:eastAsia="zh-CN"/>
                    </w:rPr>
                    <w:t>清洗</w:t>
                  </w:r>
                </w:p>
              </w:tc>
              <w:tc>
                <w:tcPr>
                  <w:tcW w:w="462" w:type="pct"/>
                  <w:vAlign w:val="center"/>
                </w:tcPr>
                <w:p>
                  <w:pPr>
                    <w:pStyle w:val="35"/>
                    <w:rPr>
                      <w:rFonts w:hint="default" w:eastAsia="宋体"/>
                      <w:lang w:val="en-US" w:eastAsia="zh-CN"/>
                    </w:rPr>
                  </w:pPr>
                  <w:r>
                    <w:rPr>
                      <w:rFonts w:hint="eastAsia"/>
                      <w:lang w:val="en-US" w:eastAsia="zh-CN"/>
                    </w:rPr>
                    <w:t>防爆柜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1" w:type="pct"/>
                  <w:shd w:val="clear" w:color="auto" w:fill="auto"/>
                  <w:vAlign w:val="center"/>
                </w:tcPr>
                <w:p>
                  <w:pPr>
                    <w:pStyle w:val="35"/>
                    <w:rPr>
                      <w:rFonts w:hint="eastAsia" w:eastAsia="宋体"/>
                      <w:lang w:eastAsia="zh-CN"/>
                    </w:rPr>
                  </w:pPr>
                  <w:r>
                    <w:rPr>
                      <w:rFonts w:hint="eastAsia"/>
                      <w:lang w:eastAsia="zh-CN"/>
                    </w:rPr>
                    <w:t>包装材料</w:t>
                  </w:r>
                </w:p>
              </w:tc>
              <w:tc>
                <w:tcPr>
                  <w:tcW w:w="427" w:type="pct"/>
                  <w:shd w:val="clear" w:color="auto" w:fill="auto"/>
                  <w:vAlign w:val="center"/>
                </w:tcPr>
                <w:p>
                  <w:pPr>
                    <w:pStyle w:val="35"/>
                  </w:pPr>
                  <w:r>
                    <w:rPr>
                      <w:rFonts w:hint="eastAsia"/>
                    </w:rPr>
                    <w:t>固态</w:t>
                  </w:r>
                </w:p>
              </w:tc>
              <w:tc>
                <w:tcPr>
                  <w:tcW w:w="686" w:type="pct"/>
                  <w:vAlign w:val="center"/>
                </w:tcPr>
                <w:p>
                  <w:pPr>
                    <w:pStyle w:val="35"/>
                    <w:rPr>
                      <w:rFonts w:hint="eastAsia" w:eastAsia="宋体"/>
                      <w:lang w:eastAsia="zh-CN"/>
                    </w:rPr>
                  </w:pPr>
                  <w:r>
                    <w:rPr>
                      <w:rFonts w:hint="eastAsia"/>
                      <w:lang w:eastAsia="zh-CN"/>
                    </w:rPr>
                    <w:t>纸箱</w:t>
                  </w:r>
                </w:p>
              </w:tc>
              <w:tc>
                <w:tcPr>
                  <w:tcW w:w="784" w:type="pct"/>
                  <w:vAlign w:val="center"/>
                </w:tcPr>
                <w:p>
                  <w:pPr>
                    <w:pStyle w:val="35"/>
                    <w:rPr>
                      <w:rFonts w:hint="eastAsia" w:eastAsia="宋体"/>
                      <w:lang w:val="en-US" w:eastAsia="zh-CN"/>
                    </w:rPr>
                  </w:pPr>
                  <w:r>
                    <w:rPr>
                      <w:rFonts w:hint="eastAsia"/>
                      <w:lang w:val="en-US" w:eastAsia="zh-CN"/>
                    </w:rPr>
                    <w:t>6</w:t>
                  </w:r>
                </w:p>
              </w:tc>
              <w:tc>
                <w:tcPr>
                  <w:tcW w:w="1021" w:type="pct"/>
                  <w:vAlign w:val="center"/>
                </w:tcPr>
                <w:p>
                  <w:pPr>
                    <w:pStyle w:val="35"/>
                    <w:rPr>
                      <w:rFonts w:hint="eastAsia" w:eastAsia="宋体"/>
                      <w:lang w:val="en-US" w:eastAsia="zh-CN"/>
                    </w:rPr>
                  </w:pPr>
                  <w:r>
                    <w:rPr>
                      <w:rFonts w:hint="eastAsia"/>
                      <w:lang w:val="en-US" w:eastAsia="zh-CN"/>
                    </w:rPr>
                    <w:t>/</w:t>
                  </w:r>
                </w:p>
              </w:tc>
              <w:tc>
                <w:tcPr>
                  <w:tcW w:w="525" w:type="pct"/>
                  <w:vAlign w:val="center"/>
                </w:tcPr>
                <w:p>
                  <w:pPr>
                    <w:pStyle w:val="35"/>
                    <w:rPr>
                      <w:rFonts w:hint="default" w:eastAsia="宋体"/>
                      <w:lang w:val="en-US" w:eastAsia="zh-CN"/>
                    </w:rPr>
                  </w:pPr>
                  <w:r>
                    <w:rPr>
                      <w:rFonts w:hint="eastAsia"/>
                      <w:lang w:val="en-US" w:eastAsia="zh-CN"/>
                    </w:rPr>
                    <w:t>0.1</w:t>
                  </w:r>
                </w:p>
              </w:tc>
              <w:tc>
                <w:tcPr>
                  <w:tcW w:w="470" w:type="pct"/>
                  <w:vAlign w:val="center"/>
                </w:tcPr>
                <w:p>
                  <w:pPr>
                    <w:pStyle w:val="35"/>
                    <w:rPr>
                      <w:rFonts w:hint="eastAsia" w:eastAsia="宋体"/>
                      <w:lang w:eastAsia="zh-CN"/>
                    </w:rPr>
                  </w:pPr>
                  <w:r>
                    <w:rPr>
                      <w:rFonts w:hint="eastAsia"/>
                      <w:lang w:eastAsia="zh-CN"/>
                    </w:rPr>
                    <w:t>包装</w:t>
                  </w:r>
                </w:p>
              </w:tc>
              <w:tc>
                <w:tcPr>
                  <w:tcW w:w="462" w:type="pct"/>
                  <w:vAlign w:val="center"/>
                </w:tcPr>
                <w:p>
                  <w:pPr>
                    <w:pStyle w:val="35"/>
                  </w:pPr>
                  <w:r>
                    <w:rPr>
                      <w:rFonts w:hint="eastAsia"/>
                    </w:rPr>
                    <w:t>原料仓库</w:t>
                  </w:r>
                </w:p>
              </w:tc>
            </w:tr>
          </w:tbl>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eastAsia="宋体"/>
                <w:szCs w:val="24"/>
              </w:rPr>
            </w:pPr>
            <w:r>
              <w:rPr>
                <w:rFonts w:hint="eastAsia"/>
              </w:rPr>
              <w:t>表</w:t>
            </w:r>
            <w:r>
              <w:t>2-</w:t>
            </w:r>
            <w:r>
              <w:rPr>
                <w:rFonts w:hint="eastAsia"/>
                <w:lang w:val="en-US" w:eastAsia="zh-CN"/>
              </w:rPr>
              <w:t>9</w:t>
            </w:r>
            <w:r>
              <w:t xml:space="preserve">  </w:t>
            </w:r>
            <w:r>
              <w:rPr>
                <w:rFonts w:hint="eastAsia"/>
              </w:rPr>
              <w:t>本项目</w:t>
            </w:r>
            <w:r>
              <w:rPr>
                <w:rFonts w:hint="eastAsia"/>
                <w:lang w:eastAsia="zh-CN"/>
              </w:rPr>
              <w:t>扩建后新厂区</w:t>
            </w:r>
            <w:r>
              <w:rPr>
                <w:rFonts w:hint="eastAsia"/>
              </w:rPr>
              <w:t>原辅材料理化性质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706"/>
              <w:gridCol w:w="234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b/>
                      <w:bCs/>
                    </w:rPr>
                  </w:pPr>
                  <w:r>
                    <w:rPr>
                      <w:rFonts w:hint="eastAsia"/>
                      <w:b/>
                      <w:bCs/>
                    </w:rPr>
                    <w:t>名称</w:t>
                  </w:r>
                </w:p>
              </w:tc>
              <w:tc>
                <w:tcPr>
                  <w:tcW w:w="1637" w:type="pct"/>
                  <w:vAlign w:val="center"/>
                </w:tcPr>
                <w:p>
                  <w:pPr>
                    <w:pStyle w:val="35"/>
                    <w:rPr>
                      <w:b/>
                      <w:bCs/>
                    </w:rPr>
                  </w:pPr>
                  <w:r>
                    <w:rPr>
                      <w:rFonts w:hint="eastAsia"/>
                      <w:b/>
                      <w:bCs/>
                    </w:rPr>
                    <w:t>理化性质</w:t>
                  </w:r>
                </w:p>
              </w:tc>
              <w:tc>
                <w:tcPr>
                  <w:tcW w:w="1417" w:type="pct"/>
                  <w:vAlign w:val="center"/>
                </w:tcPr>
                <w:p>
                  <w:pPr>
                    <w:pStyle w:val="35"/>
                    <w:rPr>
                      <w:b/>
                      <w:bCs/>
                    </w:rPr>
                  </w:pPr>
                  <w:r>
                    <w:rPr>
                      <w:rFonts w:hint="eastAsia"/>
                      <w:b/>
                      <w:bCs/>
                    </w:rPr>
                    <w:t>燃烧爆炸性</w:t>
                  </w:r>
                </w:p>
              </w:tc>
              <w:tc>
                <w:tcPr>
                  <w:tcW w:w="1235" w:type="pct"/>
                  <w:vAlign w:val="center"/>
                </w:tcPr>
                <w:p>
                  <w:pPr>
                    <w:pStyle w:val="35"/>
                    <w:rPr>
                      <w:b/>
                      <w:bCs/>
                    </w:rPr>
                  </w:pPr>
                  <w:r>
                    <w:rPr>
                      <w:rFonts w:hint="eastAsia"/>
                      <w:b/>
                      <w:bCs/>
                    </w:rPr>
                    <w:t>毒理特性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9" w:type="pct"/>
                  <w:vAlign w:val="center"/>
                </w:tcPr>
                <w:p>
                  <w:pPr>
                    <w:pStyle w:val="35"/>
                    <w:rPr>
                      <w:rFonts w:hint="default" w:eastAsia="宋体"/>
                      <w:lang w:val="en-US" w:eastAsia="zh-CN"/>
                    </w:rPr>
                  </w:pPr>
                  <w:r>
                    <w:rPr>
                      <w:rFonts w:hint="eastAsia"/>
                      <w:lang w:val="en-US" w:eastAsia="zh-CN"/>
                    </w:rPr>
                    <w:t>酒精</w:t>
                  </w:r>
                </w:p>
              </w:tc>
              <w:tc>
                <w:tcPr>
                  <w:tcW w:w="1637" w:type="pct"/>
                  <w:vAlign w:val="center"/>
                </w:tcPr>
                <w:p>
                  <w:pPr>
                    <w:pStyle w:val="35"/>
                    <w:rPr>
                      <w:rFonts w:hint="eastAsia"/>
                    </w:rPr>
                  </w:pPr>
                  <w:r>
                    <w:rPr>
                      <w:rFonts w:hint="eastAsia"/>
                    </w:rPr>
                    <w:t>性状:无色液体，有酒香</w:t>
                  </w:r>
                </w:p>
                <w:p>
                  <w:pPr>
                    <w:pStyle w:val="35"/>
                    <w:rPr>
                      <w:rFonts w:hint="eastAsia"/>
                    </w:rPr>
                  </w:pPr>
                  <w:r>
                    <w:rPr>
                      <w:rFonts w:hint="eastAsia"/>
                    </w:rPr>
                    <w:t>熔点-114.1%C;沸点(°C) :</w:t>
                  </w:r>
                </w:p>
                <w:p>
                  <w:pPr>
                    <w:pStyle w:val="35"/>
                    <w:rPr>
                      <w:rFonts w:hint="eastAsia"/>
                    </w:rPr>
                  </w:pPr>
                  <w:r>
                    <w:rPr>
                      <w:rFonts w:hint="eastAsia"/>
                    </w:rPr>
                    <w:t>78.3°C;</w:t>
                  </w:r>
                </w:p>
                <w:p>
                  <w:pPr>
                    <w:pStyle w:val="35"/>
                    <w:rPr>
                      <w:rFonts w:hint="eastAsia"/>
                    </w:rPr>
                  </w:pPr>
                  <w:r>
                    <w:rPr>
                      <w:rFonts w:hint="eastAsia"/>
                    </w:rPr>
                    <w:t xml:space="preserve">相对水密度: 0.79 </w:t>
                  </w:r>
                </w:p>
                <w:p>
                  <w:pPr>
                    <w:pStyle w:val="35"/>
                    <w:rPr>
                      <w:rFonts w:hint="eastAsia"/>
                    </w:rPr>
                  </w:pPr>
                  <w:r>
                    <w:rPr>
                      <w:rFonts w:hint="eastAsia"/>
                    </w:rPr>
                    <w:t>溶解性:与水混溶，可混溶于</w:t>
                  </w:r>
                </w:p>
                <w:p>
                  <w:pPr>
                    <w:pStyle w:val="35"/>
                  </w:pPr>
                  <w:r>
                    <w:rPr>
                      <w:rFonts w:hint="eastAsia"/>
                    </w:rPr>
                    <w:t>醚、氯仿等多数有机溶剂。</w:t>
                  </w:r>
                </w:p>
              </w:tc>
              <w:tc>
                <w:tcPr>
                  <w:tcW w:w="1417" w:type="pct"/>
                  <w:vAlign w:val="center"/>
                </w:tcPr>
                <w:p>
                  <w:pPr>
                    <w:pStyle w:val="35"/>
                    <w:rPr>
                      <w:rFonts w:hint="eastAsia"/>
                    </w:rPr>
                  </w:pPr>
                  <w:r>
                    <w:rPr>
                      <w:rFonts w:hint="eastAsia"/>
                    </w:rPr>
                    <w:t>闪点(°C) : 12</w:t>
                  </w:r>
                </w:p>
                <w:p>
                  <w:pPr>
                    <w:pStyle w:val="35"/>
                    <w:rPr>
                      <w:rFonts w:hint="eastAsia"/>
                    </w:rPr>
                  </w:pPr>
                  <w:r>
                    <w:rPr>
                      <w:rFonts w:hint="eastAsia"/>
                    </w:rPr>
                    <w:t>易燃，其蒸气与空气</w:t>
                  </w:r>
                </w:p>
                <w:p>
                  <w:pPr>
                    <w:pStyle w:val="35"/>
                  </w:pPr>
                  <w:r>
                    <w:rPr>
                      <w:rFonts w:hint="eastAsia"/>
                    </w:rPr>
                    <w:t>可形成爆炸性混合物</w:t>
                  </w:r>
                </w:p>
              </w:tc>
              <w:tc>
                <w:tcPr>
                  <w:tcW w:w="1235" w:type="pct"/>
                  <w:vAlign w:val="center"/>
                </w:tcPr>
                <w:p>
                  <w:pPr>
                    <w:pStyle w:val="35"/>
                    <w:rPr>
                      <w:rFonts w:hint="eastAsia"/>
                    </w:rPr>
                  </w:pPr>
                  <w:r>
                    <w:rPr>
                      <w:rFonts w:hint="eastAsia"/>
                    </w:rPr>
                    <w:t>LDso: 7060mg/kg (兔经口) : 7340mg/kg</w:t>
                  </w:r>
                </w:p>
                <w:p>
                  <w:pPr>
                    <w:pStyle w:val="35"/>
                    <w:rPr>
                      <w:rFonts w:hint="eastAsia"/>
                    </w:rPr>
                  </w:pPr>
                  <w:r>
                    <w:rPr>
                      <w:rFonts w:hint="eastAsia"/>
                    </w:rPr>
                    <w:t>(兔经皮)</w:t>
                  </w:r>
                </w:p>
                <w:p>
                  <w:pPr>
                    <w:pStyle w:val="35"/>
                  </w:pPr>
                  <w:r>
                    <w:rPr>
                      <w:rFonts w:hint="eastAsia"/>
                    </w:rPr>
                    <w:t>LCso: 37620mg/m3</w:t>
                  </w:r>
                </w:p>
              </w:tc>
            </w:tr>
          </w:tbl>
          <w:p>
            <w:pPr>
              <w:pStyle w:val="14"/>
            </w:pPr>
          </w:p>
          <w:p>
            <w:pPr>
              <w:pStyle w:val="14"/>
            </w:pPr>
            <w:r>
              <w:t>7</w:t>
            </w:r>
            <w:r>
              <w:rPr>
                <w:rFonts w:hint="eastAsia"/>
              </w:rPr>
              <w:t>、水平衡</w:t>
            </w:r>
          </w:p>
          <w:p>
            <w:pPr>
              <w:pStyle w:val="29"/>
              <w:ind w:firstLine="480"/>
            </w:pPr>
            <w:r>
              <w:rPr>
                <w:rFonts w:hint="eastAsia"/>
              </w:rPr>
              <w:t>本项目</w:t>
            </w:r>
            <w:r>
              <w:rPr>
                <w:rFonts w:hint="eastAsia"/>
                <w:lang w:eastAsia="zh-CN"/>
              </w:rPr>
              <w:t>新厂区</w:t>
            </w:r>
            <w:r>
              <w:rPr>
                <w:rFonts w:hint="eastAsia"/>
              </w:rPr>
              <w:t>不产生工艺废水，员工生活污水接入市政管网排入科技城水质净化厂集中处理。</w:t>
            </w:r>
          </w:p>
          <w:p>
            <w:pPr>
              <w:pStyle w:val="29"/>
              <w:ind w:firstLine="480"/>
            </w:pPr>
            <w:r>
              <w:rPr>
                <w:rFonts w:hint="eastAsia"/>
              </w:rPr>
              <w:t>本项目</w:t>
            </w:r>
            <w:r>
              <w:rPr>
                <w:rFonts w:hint="eastAsia"/>
                <w:lang w:eastAsia="zh-CN"/>
              </w:rPr>
              <w:t>新厂区员工</w:t>
            </w:r>
            <w:r>
              <w:rPr>
                <w:rFonts w:hint="eastAsia"/>
                <w:lang w:val="en-US" w:eastAsia="zh-CN"/>
              </w:rPr>
              <w:t>50</w:t>
            </w:r>
            <w:r>
              <w:rPr>
                <w:rFonts w:hint="eastAsia"/>
              </w:rPr>
              <w:t>人，生活用水按100L/（人.d）计，年工作2</w:t>
            </w:r>
            <w:r>
              <w:rPr>
                <w:rFonts w:hint="eastAsia"/>
                <w:lang w:val="en-US" w:eastAsia="zh-CN"/>
              </w:rPr>
              <w:t>25</w:t>
            </w:r>
            <w:r>
              <w:rPr>
                <w:rFonts w:hint="eastAsia"/>
              </w:rPr>
              <w:t>天，年用水</w:t>
            </w:r>
            <w:r>
              <w:rPr>
                <w:rFonts w:hint="eastAsia"/>
                <w:lang w:val="en-US" w:eastAsia="zh-CN"/>
              </w:rPr>
              <w:t>1125</w:t>
            </w:r>
            <w:r>
              <w:rPr>
                <w:rFonts w:hint="eastAsia"/>
              </w:rPr>
              <w:t>t，生活污水产生量按用水量的80%计，则本项目生活污水产生量为</w:t>
            </w:r>
            <w:r>
              <w:rPr>
                <w:rFonts w:hint="eastAsia"/>
                <w:lang w:val="en-US" w:eastAsia="zh-CN"/>
              </w:rPr>
              <w:t>900</w:t>
            </w:r>
            <w:r>
              <w:rPr>
                <w:rFonts w:hint="eastAsia"/>
              </w:rPr>
              <w:t>t/a。</w:t>
            </w:r>
          </w:p>
          <w:p>
            <w:pPr>
              <w:pStyle w:val="29"/>
              <w:ind w:firstLine="0" w:firstLineChars="0"/>
              <w:jc w:val="center"/>
              <w:rPr>
                <w:b/>
                <w:bCs/>
              </w:rPr>
            </w:pPr>
            <w:r>
              <w:rPr>
                <w:b/>
                <w:bCs/>
              </w:rPr>
              <w:object>
                <v:shape id="_x0000_i1025" o:spt="75" type="#_x0000_t75" style="height:137.15pt;width:311.9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pStyle w:val="12"/>
            </w:pPr>
            <w:r>
              <w:rPr>
                <w:rFonts w:hint="eastAsia"/>
              </w:rPr>
              <w:t>图</w:t>
            </w:r>
            <w:r>
              <w:t xml:space="preserve">2-1  </w:t>
            </w:r>
            <w:r>
              <w:rPr>
                <w:rFonts w:hint="eastAsia"/>
              </w:rPr>
              <w:t>本项目</w:t>
            </w:r>
            <w:r>
              <w:rPr>
                <w:rFonts w:hint="eastAsia"/>
                <w:lang w:eastAsia="zh-CN"/>
              </w:rPr>
              <w:t>扩建后新厂区</w:t>
            </w:r>
            <w:r>
              <w:rPr>
                <w:rFonts w:hint="eastAsia"/>
              </w:rPr>
              <w:t>水平衡图</w:t>
            </w:r>
            <w:r>
              <w:t xml:space="preserve">   </w:t>
            </w:r>
            <w:r>
              <w:rPr>
                <w:rFonts w:hint="eastAsia"/>
              </w:rPr>
              <w:t>单位</w:t>
            </w:r>
            <w:r>
              <w:t>t/a</w:t>
            </w:r>
          </w:p>
          <w:p/>
          <w:p>
            <w:pPr>
              <w:jc w:val="center"/>
            </w:pPr>
            <w:r>
              <w:object>
                <v:shape id="_x0000_i1026" o:spt="75" type="#_x0000_t75" style="height:162.7pt;width:339.3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pStyle w:val="12"/>
            </w:pPr>
            <w:r>
              <w:rPr>
                <w:rFonts w:hint="eastAsia"/>
              </w:rPr>
              <w:t>图</w:t>
            </w:r>
            <w:r>
              <w:t>2-</w:t>
            </w:r>
            <w:r>
              <w:rPr>
                <w:rFonts w:hint="eastAsia"/>
                <w:lang w:val="en-US" w:eastAsia="zh-CN"/>
              </w:rPr>
              <w:t>2</w:t>
            </w:r>
            <w:r>
              <w:t xml:space="preserve">  </w:t>
            </w:r>
            <w:r>
              <w:rPr>
                <w:rFonts w:hint="eastAsia"/>
              </w:rPr>
              <w:t>本项目</w:t>
            </w:r>
            <w:r>
              <w:rPr>
                <w:rFonts w:hint="eastAsia"/>
                <w:lang w:eastAsia="zh-CN"/>
              </w:rPr>
              <w:t>扩建前旧厂区</w:t>
            </w:r>
            <w:r>
              <w:rPr>
                <w:rFonts w:hint="eastAsia"/>
              </w:rPr>
              <w:t>水平衡图</w:t>
            </w:r>
            <w:r>
              <w:t xml:space="preserve">   </w:t>
            </w:r>
            <w:r>
              <w:rPr>
                <w:rFonts w:hint="eastAsia"/>
              </w:rPr>
              <w:t>单位</w:t>
            </w:r>
            <w:r>
              <w:t>t/a</w:t>
            </w:r>
          </w:p>
          <w:p>
            <w:pPr>
              <w:pStyle w:val="14"/>
              <w:rPr>
                <w:rFonts w:hint="eastAsia"/>
              </w:rPr>
            </w:pPr>
          </w:p>
          <w:p>
            <w:pPr>
              <w:pStyle w:val="14"/>
            </w:pPr>
            <w:r>
              <w:rPr>
                <w:rFonts w:hint="eastAsia"/>
              </w:rPr>
              <w:t>8、劳动定员及工作制度</w:t>
            </w:r>
          </w:p>
          <w:p>
            <w:pPr>
              <w:pStyle w:val="29"/>
              <w:ind w:firstLine="480"/>
            </w:pPr>
            <w:r>
              <w:rPr>
                <w:rFonts w:hint="eastAsia"/>
              </w:rPr>
              <w:t>企</w:t>
            </w:r>
            <w:r>
              <w:rPr>
                <w:rFonts w:hint="eastAsia"/>
                <w:color w:val="auto"/>
              </w:rPr>
              <w:t>业</w:t>
            </w:r>
            <w:r>
              <w:rPr>
                <w:rFonts w:hint="eastAsia"/>
                <w:color w:val="auto"/>
                <w:lang w:eastAsia="zh-CN"/>
              </w:rPr>
              <w:t>扩建前旧厂</w:t>
            </w:r>
            <w:r>
              <w:rPr>
                <w:rFonts w:hint="eastAsia"/>
                <w:color w:val="auto"/>
              </w:rPr>
              <w:t>现有员工</w:t>
            </w:r>
            <w:r>
              <w:rPr>
                <w:rFonts w:hint="eastAsia"/>
                <w:color w:val="auto"/>
                <w:lang w:val="en-US" w:eastAsia="zh-CN"/>
              </w:rPr>
              <w:t>70</w:t>
            </w:r>
            <w:r>
              <w:rPr>
                <w:rFonts w:hint="eastAsia"/>
                <w:color w:val="auto"/>
              </w:rPr>
              <w:t>人，全年工作</w:t>
            </w:r>
            <w:r>
              <w:rPr>
                <w:color w:val="auto"/>
              </w:rPr>
              <w:t>250</w:t>
            </w:r>
            <w:r>
              <w:rPr>
                <w:rFonts w:hint="eastAsia"/>
                <w:color w:val="auto"/>
              </w:rPr>
              <w:t>天；一班制，每班工作8小时，年工作</w:t>
            </w:r>
            <w:r>
              <w:rPr>
                <w:color w:val="auto"/>
              </w:rPr>
              <w:t>2000</w:t>
            </w:r>
            <w:r>
              <w:rPr>
                <w:rFonts w:hint="eastAsia"/>
                <w:color w:val="auto"/>
              </w:rPr>
              <w:t>小时。本次</w:t>
            </w:r>
            <w:r>
              <w:rPr>
                <w:rFonts w:hint="eastAsia"/>
                <w:color w:val="auto"/>
                <w:lang w:eastAsia="zh-CN"/>
              </w:rPr>
              <w:t>新厂</w:t>
            </w:r>
            <w:r>
              <w:rPr>
                <w:rFonts w:hint="eastAsia"/>
                <w:color w:val="auto"/>
              </w:rPr>
              <w:t>扩建项目拟新增员工</w:t>
            </w:r>
            <w:r>
              <w:rPr>
                <w:rFonts w:hint="eastAsia"/>
                <w:color w:val="auto"/>
                <w:lang w:val="en-US" w:eastAsia="zh-CN"/>
              </w:rPr>
              <w:t>50</w:t>
            </w:r>
            <w:r>
              <w:rPr>
                <w:rFonts w:hint="eastAsia"/>
                <w:color w:val="auto"/>
              </w:rPr>
              <w:t>人，扩建后员工总人数为</w:t>
            </w:r>
            <w:r>
              <w:rPr>
                <w:rFonts w:hint="eastAsia"/>
                <w:color w:val="auto"/>
                <w:lang w:val="en-US" w:eastAsia="zh-CN"/>
              </w:rPr>
              <w:t>120</w:t>
            </w:r>
            <w:r>
              <w:rPr>
                <w:rFonts w:hint="eastAsia"/>
                <w:color w:val="auto"/>
              </w:rPr>
              <w:t>人，年工作</w:t>
            </w:r>
            <w:r>
              <w:rPr>
                <w:color w:val="auto"/>
              </w:rPr>
              <w:t>250</w:t>
            </w:r>
            <w:r>
              <w:rPr>
                <w:rFonts w:hint="eastAsia"/>
                <w:color w:val="auto"/>
              </w:rPr>
              <w:t>天，一班制，每班工作8小时，年工作</w:t>
            </w:r>
            <w:r>
              <w:rPr>
                <w:color w:val="auto"/>
              </w:rPr>
              <w:t>2000</w:t>
            </w:r>
            <w:r>
              <w:rPr>
                <w:rFonts w:hint="eastAsia"/>
                <w:color w:val="auto"/>
              </w:rPr>
              <w:t>小时。</w:t>
            </w:r>
          </w:p>
          <w:p>
            <w:pPr>
              <w:pStyle w:val="14"/>
            </w:pPr>
            <w:r>
              <w:t>9</w:t>
            </w:r>
            <w:r>
              <w:rPr>
                <w:rFonts w:hint="eastAsia"/>
              </w:rPr>
              <w:t>、厂区平面布置及项目周边概况</w:t>
            </w:r>
          </w:p>
          <w:p>
            <w:pPr>
              <w:pStyle w:val="29"/>
              <w:ind w:firstLine="480"/>
              <w:rPr>
                <w:rFonts w:hint="eastAsia"/>
                <w:lang w:val="en-US" w:eastAsia="zh-CN"/>
              </w:rPr>
            </w:pPr>
            <w:r>
              <w:rPr>
                <w:rFonts w:hint="eastAsia"/>
                <w:lang w:val="en-US" w:eastAsia="zh-CN"/>
              </w:rPr>
              <w:t>本项目厂区位于江苏省苏州市高新区科技城五台山路588号科技城工业坊C区4号楼2-201，项目地理位置图见附图1。</w:t>
            </w:r>
          </w:p>
          <w:p>
            <w:pPr>
              <w:pStyle w:val="29"/>
              <w:ind w:firstLine="480"/>
            </w:pPr>
            <w:r>
              <w:rPr>
                <w:rFonts w:hint="eastAsia"/>
              </w:rPr>
              <w:t>厂区东侧为</w:t>
            </w:r>
            <w:r>
              <w:rPr>
                <w:rFonts w:hint="eastAsia"/>
                <w:lang w:eastAsia="zh-CN"/>
              </w:rPr>
              <w:t>河道</w:t>
            </w:r>
            <w:r>
              <w:rPr>
                <w:rFonts w:hint="eastAsia"/>
              </w:rPr>
              <w:t>；南侧为</w:t>
            </w:r>
            <w:r>
              <w:rPr>
                <w:rFonts w:hint="eastAsia"/>
                <w:lang w:eastAsia="zh-CN"/>
              </w:rPr>
              <w:t>五台山</w:t>
            </w:r>
            <w:r>
              <w:rPr>
                <w:rFonts w:hint="eastAsia"/>
              </w:rPr>
              <w:t>路；西侧为</w:t>
            </w:r>
            <w:r>
              <w:rPr>
                <w:rFonts w:hint="eastAsia"/>
                <w:lang w:eastAsia="zh-CN"/>
              </w:rPr>
              <w:t>通墅</w:t>
            </w:r>
            <w:r>
              <w:rPr>
                <w:rFonts w:hint="eastAsia"/>
              </w:rPr>
              <w:t>路；北侧为</w:t>
            </w:r>
            <w:r>
              <w:rPr>
                <w:rFonts w:hint="eastAsia"/>
                <w:lang w:eastAsia="zh-CN"/>
              </w:rPr>
              <w:t>通墅</w:t>
            </w:r>
            <w:r>
              <w:rPr>
                <w:rFonts w:hint="eastAsia"/>
              </w:rPr>
              <w:t>路。厂区周边500m环境概况见附图2。</w:t>
            </w:r>
          </w:p>
          <w:p>
            <w:pPr>
              <w:pStyle w:val="29"/>
              <w:ind w:firstLine="480"/>
              <w:rPr>
                <w:rFonts w:hint="eastAsia" w:eastAsia="宋体"/>
                <w:lang w:eastAsia="zh-CN"/>
              </w:rPr>
            </w:pPr>
            <w:r>
              <w:rPr>
                <w:rFonts w:hint="eastAsia"/>
                <w:color w:val="auto"/>
              </w:rPr>
              <w:t>本项目厂房各</w:t>
            </w:r>
            <w:r>
              <w:rPr>
                <w:rFonts w:hint="eastAsia"/>
                <w:color w:val="auto"/>
                <w:lang w:eastAsia="zh-CN"/>
              </w:rPr>
              <w:t>主要</w:t>
            </w:r>
            <w:r>
              <w:rPr>
                <w:rFonts w:hint="eastAsia"/>
                <w:color w:val="auto"/>
              </w:rPr>
              <w:t>建筑面积分别为成品仓库</w:t>
            </w:r>
            <w:r>
              <w:rPr>
                <w:rFonts w:hint="eastAsia"/>
                <w:color w:val="auto"/>
                <w:lang w:val="en-US" w:eastAsia="zh-CN"/>
              </w:rPr>
              <w:t>230</w:t>
            </w:r>
            <w:r>
              <w:rPr>
                <w:rFonts w:hint="eastAsia"/>
                <w:color w:val="auto"/>
              </w:rPr>
              <w:t>m</w:t>
            </w:r>
            <w:r>
              <w:rPr>
                <w:rFonts w:hint="eastAsia"/>
                <w:color w:val="auto"/>
                <w:vertAlign w:val="superscript"/>
              </w:rPr>
              <w:t>2</w:t>
            </w:r>
            <w:r>
              <w:rPr>
                <w:rFonts w:hint="eastAsia"/>
                <w:color w:val="auto"/>
              </w:rPr>
              <w:t>、包装车间116.7m</w:t>
            </w:r>
            <w:r>
              <w:rPr>
                <w:rFonts w:hint="eastAsia"/>
                <w:color w:val="auto"/>
                <w:vertAlign w:val="superscript"/>
              </w:rPr>
              <w:t>2</w:t>
            </w:r>
            <w:r>
              <w:rPr>
                <w:rFonts w:hint="eastAsia"/>
                <w:color w:val="auto"/>
              </w:rPr>
              <w:t>、净化车间472.7m</w:t>
            </w:r>
            <w:r>
              <w:rPr>
                <w:rFonts w:hint="eastAsia"/>
                <w:color w:val="auto"/>
                <w:vertAlign w:val="superscript"/>
              </w:rPr>
              <w:t>2</w:t>
            </w:r>
            <w:r>
              <w:rPr>
                <w:rFonts w:hint="eastAsia"/>
                <w:color w:val="auto"/>
              </w:rPr>
              <w:t>、组装车间344.5 m</w:t>
            </w:r>
            <w:r>
              <w:rPr>
                <w:rFonts w:hint="eastAsia"/>
                <w:color w:val="auto"/>
                <w:vertAlign w:val="superscript"/>
              </w:rPr>
              <w:t>2</w:t>
            </w:r>
            <w:r>
              <w:rPr>
                <w:rFonts w:hint="eastAsia"/>
                <w:color w:val="auto"/>
              </w:rPr>
              <w:t>。厂房平面布置见附图3</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496" w:type="dxa"/>
            <w:vAlign w:val="center"/>
          </w:tcPr>
          <w:p>
            <w:pPr>
              <w:spacing w:line="240" w:lineRule="auto"/>
            </w:pPr>
            <w:r>
              <w:t>工艺流程和产排污环节</w:t>
            </w:r>
          </w:p>
        </w:tc>
        <w:tc>
          <w:tcPr>
            <w:tcW w:w="8488" w:type="dxa"/>
          </w:tcPr>
          <w:p>
            <w:pPr>
              <w:pStyle w:val="14"/>
            </w:pPr>
            <w:r>
              <w:rPr>
                <w:rFonts w:hint="eastAsia"/>
              </w:rPr>
              <w:t>一、施工期工艺流程</w:t>
            </w:r>
          </w:p>
          <w:p>
            <w:pPr>
              <w:pStyle w:val="29"/>
              <w:ind w:firstLine="480"/>
              <w:rPr>
                <w:color w:val="auto"/>
              </w:rPr>
            </w:pPr>
            <w:r>
              <w:rPr>
                <w:rFonts w:hint="eastAsia"/>
                <w:color w:val="auto"/>
              </w:rPr>
              <w:t>本项目在现有项目已建成的厂房内建设，无需进行土建，施工期只需要进行内部的装修和管道设备的安装调试，施工流程较简单，本评价不再论述。</w:t>
            </w:r>
          </w:p>
          <w:p>
            <w:pPr>
              <w:pStyle w:val="14"/>
            </w:pPr>
            <w:r>
              <w:rPr>
                <w:rFonts w:hint="eastAsia"/>
              </w:rPr>
              <w:t>二、营运期工艺流程</w:t>
            </w:r>
          </w:p>
          <w:p>
            <w:pPr>
              <w:jc w:val="center"/>
            </w:pPr>
            <w:r>
              <w:object>
                <v:shape id="_x0000_i1027" o:spt="75" type="#_x0000_t75" style="height:318.85pt;width:181.2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12"/>
            </w:pPr>
            <w:r>
              <w:rPr>
                <w:rFonts w:hint="eastAsia"/>
              </w:rPr>
              <w:t>图</w:t>
            </w:r>
            <w:r>
              <w:t xml:space="preserve">2-3  </w:t>
            </w:r>
            <w:r>
              <w:rPr>
                <w:rFonts w:hint="eastAsia"/>
              </w:rPr>
              <w:t>本项目</w:t>
            </w:r>
            <w:r>
              <w:rPr>
                <w:rFonts w:hint="eastAsia"/>
                <w:lang w:eastAsia="zh-CN"/>
              </w:rPr>
              <w:t>医疗器械生产组装及器械</w:t>
            </w:r>
            <w:r>
              <w:rPr>
                <w:rFonts w:hint="eastAsia"/>
              </w:rPr>
              <w:t>生产工艺流程图</w:t>
            </w:r>
          </w:p>
          <w:p>
            <w:pPr>
              <w:rPr>
                <w:rFonts w:hint="eastAsia"/>
                <w:lang w:eastAsia="zh-CN"/>
              </w:rPr>
            </w:pPr>
          </w:p>
          <w:p>
            <w:pPr>
              <w:rPr>
                <w:b/>
                <w:bCs/>
              </w:rPr>
            </w:pPr>
            <w:r>
              <w:rPr>
                <w:rFonts w:hint="eastAsia"/>
                <w:b/>
                <w:bCs/>
                <w:lang w:eastAsia="zh-CN"/>
              </w:rPr>
              <w:t>医疗器械生产组装及器械</w:t>
            </w:r>
            <w:r>
              <w:rPr>
                <w:rFonts w:hint="eastAsia"/>
                <w:b/>
                <w:bCs/>
              </w:rPr>
              <w:t>生产工艺流程简述：</w:t>
            </w:r>
          </w:p>
          <w:p>
            <w:pPr>
              <w:pStyle w:val="29"/>
              <w:ind w:firstLine="480"/>
            </w:pPr>
            <w:r>
              <w:rPr>
                <w:rFonts w:hint="eastAsia"/>
              </w:rPr>
              <w:t>（1）</w:t>
            </w:r>
            <w:r>
              <w:rPr>
                <w:rFonts w:hint="eastAsia"/>
                <w:lang w:eastAsia="zh-CN"/>
              </w:rPr>
              <w:t>组装</w:t>
            </w:r>
            <w:r>
              <w:rPr>
                <w:rFonts w:hint="eastAsia"/>
              </w:rPr>
              <w:t>：</w:t>
            </w:r>
            <w:r>
              <w:rPr>
                <w:rFonts w:hint="eastAsia"/>
                <w:lang w:eastAsia="zh-CN"/>
              </w:rPr>
              <w:t>将外购已成型的需要装配的金属件和塑料件进行人工组装，此过程会产生废包装材料</w:t>
            </w:r>
            <w:r>
              <w:rPr>
                <w:rFonts w:hint="eastAsia"/>
                <w:lang w:val="en-US" w:eastAsia="zh-CN"/>
              </w:rPr>
              <w:t>S1</w:t>
            </w:r>
            <w:r>
              <w:rPr>
                <w:rFonts w:hint="eastAsia"/>
              </w:rPr>
              <w:t>。</w:t>
            </w:r>
          </w:p>
          <w:p>
            <w:pPr>
              <w:pStyle w:val="29"/>
              <w:ind w:firstLine="480"/>
            </w:pPr>
            <w:r>
              <w:rPr>
                <w:rFonts w:hint="eastAsia"/>
              </w:rPr>
              <w:t>（</w:t>
            </w:r>
            <w:r>
              <w:t>2</w:t>
            </w:r>
            <w:r>
              <w:rPr>
                <w:rFonts w:hint="eastAsia"/>
              </w:rPr>
              <w:t>）</w:t>
            </w:r>
            <w:r>
              <w:rPr>
                <w:rFonts w:hint="eastAsia"/>
                <w:lang w:eastAsia="zh-CN"/>
              </w:rPr>
              <w:t>焊接</w:t>
            </w:r>
            <w:r>
              <w:rPr>
                <w:rFonts w:hint="eastAsia"/>
              </w:rPr>
              <w:t>：</w:t>
            </w:r>
            <w:r>
              <w:rPr>
                <w:rFonts w:hint="eastAsia"/>
                <w:lang w:eastAsia="zh-CN"/>
              </w:rPr>
              <w:t>将装配好的组件经激光焊接机点焊，该过程产生焊接废气</w:t>
            </w:r>
            <w:r>
              <w:rPr>
                <w:rFonts w:hint="eastAsia"/>
                <w:lang w:val="en-US" w:eastAsia="zh-CN"/>
              </w:rPr>
              <w:t>G1，主要污染物为颗粒物，同时产生焊渣S2</w:t>
            </w:r>
            <w:r>
              <w:rPr>
                <w:rFonts w:hint="eastAsia"/>
              </w:rPr>
              <w:t>。</w:t>
            </w:r>
          </w:p>
          <w:p>
            <w:pPr>
              <w:pStyle w:val="29"/>
              <w:ind w:firstLine="480"/>
            </w:pPr>
            <w:r>
              <w:rPr>
                <w:rFonts w:hint="eastAsia"/>
              </w:rPr>
              <w:t>（</w:t>
            </w:r>
            <w:r>
              <w:t>3</w:t>
            </w:r>
            <w:r>
              <w:rPr>
                <w:rFonts w:hint="eastAsia"/>
              </w:rPr>
              <w:t>）</w:t>
            </w:r>
            <w:r>
              <w:rPr>
                <w:rFonts w:hint="eastAsia"/>
                <w:lang w:eastAsia="zh-CN"/>
              </w:rPr>
              <w:t>清洗：将焊接完后的产品进入清洗机进行清洗，利用无水乙醇对其表面进行清洗，过滤出产品后以上清洗液可重复使用，废清洗液</w:t>
            </w:r>
            <w:r>
              <w:rPr>
                <w:rFonts w:hint="eastAsia"/>
                <w:lang w:val="en-US" w:eastAsia="zh-CN"/>
              </w:rPr>
              <w:t>S3</w:t>
            </w:r>
            <w:r>
              <w:rPr>
                <w:rFonts w:hint="eastAsia"/>
                <w:lang w:eastAsia="zh-CN"/>
              </w:rPr>
              <w:t>定期做危废委外处理，同时酒精使用产生挥发废气</w:t>
            </w:r>
            <w:r>
              <w:rPr>
                <w:rFonts w:hint="eastAsia"/>
                <w:lang w:val="en-US" w:eastAsia="zh-CN"/>
              </w:rPr>
              <w:t>G2</w:t>
            </w:r>
            <w:r>
              <w:rPr>
                <w:rFonts w:hint="eastAsia"/>
              </w:rPr>
              <w:t>。</w:t>
            </w:r>
          </w:p>
          <w:p>
            <w:pPr>
              <w:pStyle w:val="29"/>
              <w:ind w:firstLine="480"/>
            </w:pPr>
            <w:r>
              <w:rPr>
                <w:rFonts w:hint="eastAsia"/>
              </w:rPr>
              <w:t>（</w:t>
            </w:r>
            <w:r>
              <w:t>4</w:t>
            </w:r>
            <w:r>
              <w:rPr>
                <w:rFonts w:hint="eastAsia"/>
              </w:rPr>
              <w:t>）</w:t>
            </w:r>
            <w:r>
              <w:rPr>
                <w:rFonts w:hint="eastAsia"/>
                <w:lang w:eastAsia="zh-CN"/>
              </w:rPr>
              <w:t>检测</w:t>
            </w:r>
            <w:r>
              <w:rPr>
                <w:rFonts w:hint="eastAsia"/>
              </w:rPr>
              <w:t>：使用</w:t>
            </w:r>
            <w:r>
              <w:rPr>
                <w:rFonts w:hint="eastAsia"/>
                <w:lang w:eastAsia="zh-CN"/>
              </w:rPr>
              <w:t>拉力试验机、影像测量仪等设备</w:t>
            </w:r>
            <w:r>
              <w:rPr>
                <w:rFonts w:hint="eastAsia"/>
              </w:rPr>
              <w:t>对产品进行检测，</w:t>
            </w:r>
            <w:r>
              <w:rPr>
                <w:rFonts w:hint="eastAsia"/>
                <w:lang w:eastAsia="zh-CN"/>
              </w:rPr>
              <w:t>本工序会</w:t>
            </w:r>
            <w:r>
              <w:rPr>
                <w:rFonts w:hint="eastAsia"/>
              </w:rPr>
              <w:t>产生</w:t>
            </w:r>
            <w:r>
              <w:rPr>
                <w:rFonts w:hint="eastAsia"/>
                <w:lang w:eastAsia="zh-CN"/>
              </w:rPr>
              <w:t>不合格品</w:t>
            </w:r>
            <w:r>
              <w:rPr>
                <w:rFonts w:hint="eastAsia"/>
              </w:rPr>
              <w:t>S</w:t>
            </w:r>
            <w:r>
              <w:rPr>
                <w:rFonts w:hint="eastAsia"/>
                <w:lang w:val="en-US" w:eastAsia="zh-CN"/>
              </w:rPr>
              <w:t>4</w:t>
            </w:r>
            <w:r>
              <w:rPr>
                <w:rFonts w:hint="eastAsia"/>
              </w:rPr>
              <w:t>。</w:t>
            </w:r>
          </w:p>
          <w:p>
            <w:pPr>
              <w:pStyle w:val="29"/>
              <w:ind w:firstLine="480"/>
            </w:pPr>
            <w:r>
              <w:rPr>
                <w:rFonts w:hint="eastAsia"/>
              </w:rPr>
              <w:t>（</w:t>
            </w:r>
            <w:r>
              <w:t>5</w:t>
            </w:r>
            <w:r>
              <w:rPr>
                <w:rFonts w:hint="eastAsia"/>
              </w:rPr>
              <w:t>）包装入库：产品进行包装入库。</w:t>
            </w:r>
          </w:p>
          <w:p>
            <w:pPr>
              <w:pStyle w:val="12"/>
            </w:pPr>
            <w:r>
              <w:rPr>
                <w:rStyle w:val="33"/>
                <w:rFonts w:hint="eastAsia" w:eastAsiaTheme="minorEastAsia" w:cstheme="minorBidi"/>
                <w:b/>
                <w:bCs/>
              </w:rPr>
              <w:t>表</w:t>
            </w:r>
            <w:r>
              <w:rPr>
                <w:rStyle w:val="33"/>
                <w:rFonts w:eastAsiaTheme="minorEastAsia" w:cstheme="minorBidi"/>
                <w:b/>
                <w:bCs/>
              </w:rPr>
              <w:t xml:space="preserve">2-6   </w:t>
            </w:r>
            <w:r>
              <w:rPr>
                <w:rStyle w:val="33"/>
                <w:rFonts w:hint="eastAsia" w:eastAsiaTheme="minorEastAsia" w:cstheme="minorBidi"/>
                <w:b/>
                <w:bCs/>
              </w:rPr>
              <w:t>本项目主要产污环节情况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44"/>
              <w:gridCol w:w="1552"/>
              <w:gridCol w:w="1885"/>
              <w:gridCol w:w="1150"/>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Align w:val="center"/>
                </w:tcPr>
                <w:p>
                  <w:pPr>
                    <w:pStyle w:val="35"/>
                  </w:pPr>
                  <w:r>
                    <w:rPr>
                      <w:rFonts w:hint="eastAsia"/>
                    </w:rPr>
                    <w:t>类别</w:t>
                  </w:r>
                </w:p>
              </w:tc>
              <w:tc>
                <w:tcPr>
                  <w:tcW w:w="510" w:type="pct"/>
                  <w:vAlign w:val="center"/>
                </w:tcPr>
                <w:p>
                  <w:pPr>
                    <w:pStyle w:val="35"/>
                  </w:pPr>
                  <w:r>
                    <w:rPr>
                      <w:rFonts w:hint="eastAsia"/>
                    </w:rPr>
                    <w:t>代码</w:t>
                  </w:r>
                </w:p>
              </w:tc>
              <w:tc>
                <w:tcPr>
                  <w:tcW w:w="939" w:type="pct"/>
                  <w:vAlign w:val="center"/>
                </w:tcPr>
                <w:p>
                  <w:pPr>
                    <w:pStyle w:val="35"/>
                  </w:pPr>
                  <w:r>
                    <w:rPr>
                      <w:rFonts w:hint="eastAsia"/>
                    </w:rPr>
                    <w:t>产生环节</w:t>
                  </w:r>
                </w:p>
              </w:tc>
              <w:tc>
                <w:tcPr>
                  <w:tcW w:w="1140" w:type="pct"/>
                  <w:vAlign w:val="center"/>
                </w:tcPr>
                <w:p>
                  <w:pPr>
                    <w:pStyle w:val="35"/>
                  </w:pPr>
                  <w:r>
                    <w:rPr>
                      <w:rFonts w:hint="eastAsia"/>
                    </w:rPr>
                    <w:t>污染物种类</w:t>
                  </w:r>
                </w:p>
              </w:tc>
              <w:tc>
                <w:tcPr>
                  <w:tcW w:w="695" w:type="pct"/>
                  <w:vAlign w:val="center"/>
                </w:tcPr>
                <w:p>
                  <w:pPr>
                    <w:pStyle w:val="35"/>
                  </w:pPr>
                  <w:r>
                    <w:rPr>
                      <w:rFonts w:hint="eastAsia"/>
                    </w:rPr>
                    <w:t>产生特征</w:t>
                  </w:r>
                </w:p>
              </w:tc>
              <w:tc>
                <w:tcPr>
                  <w:tcW w:w="1287" w:type="pct"/>
                  <w:vAlign w:val="center"/>
                </w:tcPr>
                <w:p>
                  <w:pPr>
                    <w:pStyle w:val="35"/>
                  </w:pPr>
                  <w:r>
                    <w:rPr>
                      <w:rFonts w:hint="eastAsia"/>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pStyle w:val="35"/>
                  </w:pPr>
                  <w:r>
                    <w:rPr>
                      <w:rFonts w:hint="eastAsia"/>
                    </w:rPr>
                    <w:t>废气</w:t>
                  </w:r>
                </w:p>
              </w:tc>
              <w:tc>
                <w:tcPr>
                  <w:tcW w:w="510" w:type="pct"/>
                  <w:vAlign w:val="center"/>
                </w:tcPr>
                <w:p>
                  <w:pPr>
                    <w:pStyle w:val="35"/>
                  </w:pPr>
                  <w:r>
                    <w:t>G1</w:t>
                  </w:r>
                </w:p>
              </w:tc>
              <w:tc>
                <w:tcPr>
                  <w:tcW w:w="939" w:type="pct"/>
                  <w:vAlign w:val="center"/>
                </w:tcPr>
                <w:p>
                  <w:pPr>
                    <w:pStyle w:val="35"/>
                    <w:rPr>
                      <w:rFonts w:hint="default" w:eastAsia="宋体"/>
                      <w:lang w:val="en-US" w:eastAsia="zh-CN"/>
                    </w:rPr>
                  </w:pPr>
                  <w:r>
                    <w:rPr>
                      <w:rFonts w:hint="eastAsia"/>
                      <w:lang w:val="en-US" w:eastAsia="zh-CN"/>
                    </w:rPr>
                    <w:t>点焊</w:t>
                  </w:r>
                </w:p>
              </w:tc>
              <w:tc>
                <w:tcPr>
                  <w:tcW w:w="1140" w:type="pct"/>
                  <w:vAlign w:val="center"/>
                </w:tcPr>
                <w:p>
                  <w:pPr>
                    <w:pStyle w:val="35"/>
                    <w:rPr>
                      <w:rFonts w:hint="eastAsia" w:eastAsia="宋体"/>
                      <w:lang w:eastAsia="zh-CN"/>
                    </w:rPr>
                  </w:pPr>
                  <w:r>
                    <w:rPr>
                      <w:rFonts w:hint="eastAsia"/>
                      <w:lang w:eastAsia="zh-CN"/>
                    </w:rPr>
                    <w:t>颗粒物</w:t>
                  </w:r>
                </w:p>
              </w:tc>
              <w:tc>
                <w:tcPr>
                  <w:tcW w:w="695" w:type="pct"/>
                  <w:vAlign w:val="center"/>
                </w:tcPr>
                <w:p>
                  <w:pPr>
                    <w:pStyle w:val="35"/>
                  </w:pPr>
                  <w:r>
                    <w:rPr>
                      <w:rFonts w:hint="eastAsia"/>
                    </w:rPr>
                    <w:t>间断</w:t>
                  </w:r>
                </w:p>
              </w:tc>
              <w:tc>
                <w:tcPr>
                  <w:tcW w:w="1287" w:type="pct"/>
                  <w:vAlign w:val="center"/>
                </w:tcPr>
                <w:p>
                  <w:pPr>
                    <w:pStyle w:val="35"/>
                    <w:rPr>
                      <w:rFonts w:hint="eastAsia" w:eastAsia="宋体"/>
                      <w:lang w:eastAsia="zh-CN"/>
                    </w:rPr>
                  </w:pPr>
                  <w:r>
                    <w:rPr>
                      <w:rFonts w:hint="eastAsia"/>
                      <w:lang w:eastAsia="zh-CN"/>
                    </w:rPr>
                    <w:t>移动式电焊除尘设备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pPr>
                  <w:r>
                    <w:t>G2</w:t>
                  </w:r>
                </w:p>
              </w:tc>
              <w:tc>
                <w:tcPr>
                  <w:tcW w:w="939" w:type="pct"/>
                  <w:vAlign w:val="center"/>
                </w:tcPr>
                <w:p>
                  <w:pPr>
                    <w:pStyle w:val="35"/>
                    <w:rPr>
                      <w:rFonts w:hint="eastAsia" w:eastAsia="宋体"/>
                      <w:lang w:eastAsia="zh-CN"/>
                    </w:rPr>
                  </w:pPr>
                  <w:r>
                    <w:rPr>
                      <w:rFonts w:hint="eastAsia"/>
                      <w:lang w:eastAsia="zh-CN"/>
                    </w:rPr>
                    <w:t>清洗</w:t>
                  </w:r>
                </w:p>
              </w:tc>
              <w:tc>
                <w:tcPr>
                  <w:tcW w:w="1140" w:type="pct"/>
                  <w:vAlign w:val="center"/>
                </w:tcPr>
                <w:p>
                  <w:pPr>
                    <w:pStyle w:val="35"/>
                    <w:rPr>
                      <w:rFonts w:hint="eastAsia" w:eastAsia="宋体"/>
                      <w:lang w:eastAsia="zh-CN"/>
                    </w:rPr>
                  </w:pPr>
                  <w:r>
                    <w:rPr>
                      <w:rFonts w:hint="eastAsia"/>
                      <w:lang w:eastAsia="zh-CN"/>
                    </w:rPr>
                    <w:t>非甲烷总烃</w:t>
                  </w:r>
                </w:p>
              </w:tc>
              <w:tc>
                <w:tcPr>
                  <w:tcW w:w="695" w:type="pct"/>
                  <w:vAlign w:val="center"/>
                </w:tcPr>
                <w:p>
                  <w:pPr>
                    <w:pStyle w:val="35"/>
                  </w:pPr>
                  <w:r>
                    <w:rPr>
                      <w:rFonts w:hint="eastAsia"/>
                    </w:rPr>
                    <w:t>间断</w:t>
                  </w:r>
                </w:p>
              </w:tc>
              <w:tc>
                <w:tcPr>
                  <w:tcW w:w="1287" w:type="pct"/>
                  <w:vAlign w:val="center"/>
                </w:tcPr>
                <w:p>
                  <w:pPr>
                    <w:pStyle w:val="35"/>
                    <w:rPr>
                      <w:rFonts w:hint="eastAsia" w:eastAsia="宋体"/>
                      <w:lang w:val="en-US" w:eastAsia="zh-CN"/>
                    </w:rPr>
                  </w:pPr>
                  <w:r>
                    <w:rPr>
                      <w:rFonts w:hint="eastAsia"/>
                      <w:lang w:val="en-US" w:eastAsia="zh-CN"/>
                    </w:rPr>
                    <w:t>收集后经二级活性炭吸附装置处理后通过15m高排气筒DA001排放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Align w:val="center"/>
                </w:tcPr>
                <w:p>
                  <w:pPr>
                    <w:pStyle w:val="35"/>
                  </w:pPr>
                  <w:r>
                    <w:rPr>
                      <w:rFonts w:hint="eastAsia"/>
                    </w:rPr>
                    <w:t>废水</w:t>
                  </w:r>
                </w:p>
              </w:tc>
              <w:tc>
                <w:tcPr>
                  <w:tcW w:w="510" w:type="pct"/>
                  <w:vAlign w:val="center"/>
                </w:tcPr>
                <w:p>
                  <w:pPr>
                    <w:pStyle w:val="35"/>
                  </w:pPr>
                  <w:r>
                    <w:t>W1</w:t>
                  </w:r>
                </w:p>
              </w:tc>
              <w:tc>
                <w:tcPr>
                  <w:tcW w:w="939" w:type="pct"/>
                  <w:vAlign w:val="center"/>
                </w:tcPr>
                <w:p>
                  <w:pPr>
                    <w:pStyle w:val="35"/>
                  </w:pPr>
                  <w:r>
                    <w:rPr>
                      <w:rFonts w:hint="eastAsia"/>
                    </w:rPr>
                    <w:t>生活污水</w:t>
                  </w:r>
                </w:p>
              </w:tc>
              <w:tc>
                <w:tcPr>
                  <w:tcW w:w="1140" w:type="pct"/>
                  <w:vAlign w:val="center"/>
                </w:tcPr>
                <w:p>
                  <w:pPr>
                    <w:pStyle w:val="35"/>
                  </w:pPr>
                  <w:r>
                    <w:t>COD</w:t>
                  </w:r>
                  <w:r>
                    <w:rPr>
                      <w:rFonts w:hint="eastAsia"/>
                    </w:rPr>
                    <w:t>、</w:t>
                  </w:r>
                  <w:r>
                    <w:t>SS</w:t>
                  </w:r>
                  <w:r>
                    <w:rPr>
                      <w:rFonts w:hint="eastAsia"/>
                    </w:rPr>
                    <w:t>、</w:t>
                  </w:r>
                  <w:r>
                    <w:t>NH</w:t>
                  </w:r>
                  <w:r>
                    <w:rPr>
                      <w:vertAlign w:val="subscript"/>
                    </w:rPr>
                    <w:t>3</w:t>
                  </w:r>
                  <w:r>
                    <w:t>-N</w:t>
                  </w:r>
                  <w:r>
                    <w:rPr>
                      <w:rFonts w:hint="eastAsia"/>
                    </w:rPr>
                    <w:t>、</w:t>
                  </w:r>
                  <w:r>
                    <w:t>TP</w:t>
                  </w:r>
                </w:p>
              </w:tc>
              <w:tc>
                <w:tcPr>
                  <w:tcW w:w="695" w:type="pct"/>
                  <w:vAlign w:val="center"/>
                </w:tcPr>
                <w:p>
                  <w:pPr>
                    <w:pStyle w:val="35"/>
                  </w:pPr>
                  <w:r>
                    <w:rPr>
                      <w:rFonts w:hint="eastAsia"/>
                    </w:rPr>
                    <w:t>间断</w:t>
                  </w:r>
                </w:p>
              </w:tc>
              <w:tc>
                <w:tcPr>
                  <w:tcW w:w="1287" w:type="pct"/>
                  <w:vAlign w:val="center"/>
                </w:tcPr>
                <w:p>
                  <w:pPr>
                    <w:pStyle w:val="35"/>
                  </w:pPr>
                  <w:r>
                    <w:rPr>
                      <w:rFonts w:hint="eastAsia"/>
                    </w:rPr>
                    <w:t>接管排入科技城水质净化厂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vAlign w:val="center"/>
                </w:tcPr>
                <w:p>
                  <w:pPr>
                    <w:pStyle w:val="35"/>
                  </w:pPr>
                  <w:r>
                    <w:rPr>
                      <w:rFonts w:hint="eastAsia"/>
                    </w:rPr>
                    <w:t>固废</w:t>
                  </w:r>
                </w:p>
              </w:tc>
              <w:tc>
                <w:tcPr>
                  <w:tcW w:w="510" w:type="pct"/>
                  <w:vAlign w:val="center"/>
                </w:tcPr>
                <w:p>
                  <w:pPr>
                    <w:pStyle w:val="35"/>
                  </w:pPr>
                  <w:r>
                    <w:t>S1</w:t>
                  </w:r>
                </w:p>
              </w:tc>
              <w:tc>
                <w:tcPr>
                  <w:tcW w:w="939" w:type="pct"/>
                  <w:vAlign w:val="center"/>
                </w:tcPr>
                <w:p>
                  <w:pPr>
                    <w:pStyle w:val="35"/>
                    <w:rPr>
                      <w:rFonts w:hint="eastAsia" w:eastAsia="宋体"/>
                      <w:lang w:eastAsia="zh-CN"/>
                    </w:rPr>
                  </w:pPr>
                  <w:r>
                    <w:rPr>
                      <w:rFonts w:hint="eastAsia"/>
                      <w:lang w:eastAsia="zh-CN"/>
                    </w:rPr>
                    <w:t>组装</w:t>
                  </w:r>
                </w:p>
              </w:tc>
              <w:tc>
                <w:tcPr>
                  <w:tcW w:w="1140" w:type="pct"/>
                  <w:vAlign w:val="center"/>
                </w:tcPr>
                <w:p>
                  <w:pPr>
                    <w:pStyle w:val="35"/>
                    <w:rPr>
                      <w:rFonts w:hint="eastAsia" w:eastAsia="宋体"/>
                      <w:lang w:eastAsia="zh-CN"/>
                    </w:rPr>
                  </w:pPr>
                  <w:r>
                    <w:rPr>
                      <w:rFonts w:hint="eastAsia"/>
                      <w:lang w:eastAsia="zh-CN"/>
                    </w:rPr>
                    <w:t>废包装材料</w:t>
                  </w:r>
                </w:p>
              </w:tc>
              <w:tc>
                <w:tcPr>
                  <w:tcW w:w="695" w:type="pct"/>
                  <w:vAlign w:val="center"/>
                </w:tcPr>
                <w:p>
                  <w:pPr>
                    <w:pStyle w:val="35"/>
                  </w:pPr>
                  <w:r>
                    <w:rPr>
                      <w:rFonts w:hint="eastAsia"/>
                    </w:rPr>
                    <w:t>间断</w:t>
                  </w:r>
                </w:p>
              </w:tc>
              <w:tc>
                <w:tcPr>
                  <w:tcW w:w="1287" w:type="pct"/>
                  <w:vAlign w:val="center"/>
                </w:tcPr>
                <w:p>
                  <w:pPr>
                    <w:pStyle w:val="35"/>
                  </w:pPr>
                  <w:r>
                    <w:rPr>
                      <w:rFonts w:hint="eastAsia"/>
                    </w:rPr>
                    <w:t>物资回收单位回收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pPr>
                  <w:r>
                    <w:t>S2</w:t>
                  </w:r>
                </w:p>
              </w:tc>
              <w:tc>
                <w:tcPr>
                  <w:tcW w:w="939" w:type="pct"/>
                  <w:vAlign w:val="center"/>
                </w:tcPr>
                <w:p>
                  <w:pPr>
                    <w:pStyle w:val="35"/>
                    <w:rPr>
                      <w:rFonts w:hint="eastAsia" w:eastAsia="宋体"/>
                      <w:lang w:eastAsia="zh-CN"/>
                    </w:rPr>
                  </w:pPr>
                  <w:r>
                    <w:rPr>
                      <w:rFonts w:hint="eastAsia"/>
                      <w:lang w:eastAsia="zh-CN"/>
                    </w:rPr>
                    <w:t>焊接</w:t>
                  </w:r>
                </w:p>
              </w:tc>
              <w:tc>
                <w:tcPr>
                  <w:tcW w:w="1140" w:type="pct"/>
                  <w:vAlign w:val="center"/>
                </w:tcPr>
                <w:p>
                  <w:pPr>
                    <w:pStyle w:val="35"/>
                    <w:rPr>
                      <w:rFonts w:hint="eastAsia" w:eastAsia="宋体"/>
                      <w:lang w:eastAsia="zh-CN"/>
                    </w:rPr>
                  </w:pPr>
                  <w:r>
                    <w:rPr>
                      <w:rFonts w:hint="eastAsia"/>
                      <w:lang w:eastAsia="zh-CN"/>
                    </w:rPr>
                    <w:t>焊渣</w:t>
                  </w:r>
                </w:p>
              </w:tc>
              <w:tc>
                <w:tcPr>
                  <w:tcW w:w="695" w:type="pct"/>
                  <w:vAlign w:val="center"/>
                </w:tcPr>
                <w:p>
                  <w:pPr>
                    <w:pStyle w:val="35"/>
                  </w:pPr>
                  <w:r>
                    <w:rPr>
                      <w:rFonts w:hint="eastAsia"/>
                    </w:rPr>
                    <w:t>间断</w:t>
                  </w:r>
                </w:p>
              </w:tc>
              <w:tc>
                <w:tcPr>
                  <w:tcW w:w="1287" w:type="pct"/>
                  <w:vAlign w:val="center"/>
                </w:tcPr>
                <w:p>
                  <w:pPr>
                    <w:pStyle w:val="35"/>
                  </w:pPr>
                  <w:r>
                    <w:rPr>
                      <w:rFonts w:hint="eastAsia"/>
                    </w:rPr>
                    <w:t>物资回收单位回收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pPr>
                  <w:r>
                    <w:t>S3</w:t>
                  </w:r>
                </w:p>
              </w:tc>
              <w:tc>
                <w:tcPr>
                  <w:tcW w:w="939" w:type="pct"/>
                  <w:vAlign w:val="center"/>
                </w:tcPr>
                <w:p>
                  <w:pPr>
                    <w:pStyle w:val="35"/>
                    <w:rPr>
                      <w:rFonts w:hint="eastAsia" w:eastAsia="宋体"/>
                      <w:lang w:eastAsia="zh-CN"/>
                    </w:rPr>
                  </w:pPr>
                  <w:r>
                    <w:rPr>
                      <w:rFonts w:hint="eastAsia"/>
                      <w:lang w:eastAsia="zh-CN"/>
                    </w:rPr>
                    <w:t>清洗</w:t>
                  </w:r>
                </w:p>
              </w:tc>
              <w:tc>
                <w:tcPr>
                  <w:tcW w:w="1140" w:type="pct"/>
                  <w:vAlign w:val="center"/>
                </w:tcPr>
                <w:p>
                  <w:pPr>
                    <w:pStyle w:val="35"/>
                    <w:rPr>
                      <w:rFonts w:hint="eastAsia" w:eastAsia="宋体"/>
                      <w:lang w:eastAsia="zh-CN"/>
                    </w:rPr>
                  </w:pPr>
                  <w:r>
                    <w:rPr>
                      <w:rFonts w:hint="eastAsia"/>
                      <w:lang w:eastAsia="zh-CN"/>
                    </w:rPr>
                    <w:t>废清洗液</w:t>
                  </w:r>
                </w:p>
              </w:tc>
              <w:tc>
                <w:tcPr>
                  <w:tcW w:w="695" w:type="pct"/>
                  <w:vAlign w:val="center"/>
                </w:tcPr>
                <w:p>
                  <w:pPr>
                    <w:pStyle w:val="35"/>
                  </w:pPr>
                  <w:r>
                    <w:rPr>
                      <w:rFonts w:hint="eastAsia"/>
                    </w:rPr>
                    <w:t>间断</w:t>
                  </w:r>
                </w:p>
              </w:tc>
              <w:tc>
                <w:tcPr>
                  <w:tcW w:w="1287" w:type="pct"/>
                  <w:vAlign w:val="center"/>
                </w:tcPr>
                <w:p>
                  <w:pPr>
                    <w:pStyle w:val="35"/>
                  </w:pPr>
                  <w:r>
                    <w:rPr>
                      <w:rFonts w:hint="eastAsia"/>
                    </w:rPr>
                    <w:t>委托有资质的相关单位处置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pPr>
                  <w:r>
                    <w:t>S4</w:t>
                  </w:r>
                </w:p>
              </w:tc>
              <w:tc>
                <w:tcPr>
                  <w:tcW w:w="939" w:type="pct"/>
                  <w:vAlign w:val="center"/>
                </w:tcPr>
                <w:p>
                  <w:pPr>
                    <w:pStyle w:val="35"/>
                    <w:rPr>
                      <w:rFonts w:hint="eastAsia" w:eastAsia="宋体"/>
                      <w:lang w:val="en-US" w:eastAsia="zh-CN"/>
                    </w:rPr>
                  </w:pPr>
                  <w:r>
                    <w:rPr>
                      <w:rFonts w:hint="eastAsia"/>
                      <w:lang w:val="en-US" w:eastAsia="zh-CN"/>
                    </w:rPr>
                    <w:t>检测</w:t>
                  </w:r>
                </w:p>
              </w:tc>
              <w:tc>
                <w:tcPr>
                  <w:tcW w:w="1140" w:type="pct"/>
                  <w:vAlign w:val="center"/>
                </w:tcPr>
                <w:p>
                  <w:pPr>
                    <w:pStyle w:val="35"/>
                    <w:rPr>
                      <w:rFonts w:hint="eastAsia" w:eastAsia="宋体"/>
                      <w:lang w:eastAsia="zh-CN"/>
                    </w:rPr>
                  </w:pPr>
                  <w:r>
                    <w:rPr>
                      <w:rFonts w:hint="eastAsia"/>
                      <w:lang w:val="en-US" w:eastAsia="zh-CN"/>
                    </w:rPr>
                    <w:t>不合格品</w:t>
                  </w:r>
                </w:p>
              </w:tc>
              <w:tc>
                <w:tcPr>
                  <w:tcW w:w="695" w:type="pct"/>
                  <w:vAlign w:val="center"/>
                </w:tcPr>
                <w:p>
                  <w:pPr>
                    <w:pStyle w:val="35"/>
                  </w:pPr>
                  <w:r>
                    <w:rPr>
                      <w:rFonts w:hint="eastAsia"/>
                    </w:rPr>
                    <w:t>间断</w:t>
                  </w:r>
                </w:p>
              </w:tc>
              <w:tc>
                <w:tcPr>
                  <w:tcW w:w="1287" w:type="pct"/>
                  <w:vAlign w:val="center"/>
                </w:tcPr>
                <w:p>
                  <w:pPr>
                    <w:pStyle w:val="35"/>
                  </w:pPr>
                  <w:r>
                    <w:rPr>
                      <w:rFonts w:hint="eastAsia"/>
                    </w:rPr>
                    <w:t>物资回收单位回收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rPr>
                      <w:rFonts w:hint="default" w:eastAsia="宋体"/>
                      <w:lang w:val="en-US" w:eastAsia="zh-CN"/>
                    </w:rPr>
                  </w:pPr>
                  <w:r>
                    <w:rPr>
                      <w:rFonts w:hint="eastAsia"/>
                      <w:lang w:val="en-US" w:eastAsia="zh-CN"/>
                    </w:rPr>
                    <w:t>/</w:t>
                  </w:r>
                </w:p>
              </w:tc>
              <w:tc>
                <w:tcPr>
                  <w:tcW w:w="93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140"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酒精包装瓶</w:t>
                  </w:r>
                </w:p>
              </w:tc>
              <w:tc>
                <w:tcPr>
                  <w:tcW w:w="695" w:type="pct"/>
                  <w:vAlign w:val="center"/>
                </w:tcPr>
                <w:p>
                  <w:pPr>
                    <w:pStyle w:val="35"/>
                    <w:rPr>
                      <w:rFonts w:hint="eastAsia"/>
                    </w:rPr>
                  </w:pPr>
                  <w:r>
                    <w:rPr>
                      <w:rFonts w:hint="eastAsia"/>
                    </w:rPr>
                    <w:t>间断</w:t>
                  </w:r>
                </w:p>
              </w:tc>
              <w:tc>
                <w:tcPr>
                  <w:tcW w:w="1287" w:type="pct"/>
                  <w:vAlign w:val="center"/>
                </w:tcPr>
                <w:p>
                  <w:pPr>
                    <w:pStyle w:val="35"/>
                    <w:rPr>
                      <w:rFonts w:hint="eastAsia"/>
                    </w:rPr>
                  </w:pPr>
                  <w:r>
                    <w:rPr>
                      <w:rFonts w:hint="eastAsia"/>
                    </w:rPr>
                    <w:t>委托有资质的相关单位处置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vAlign w:val="center"/>
                </w:tcPr>
                <w:p>
                  <w:pPr>
                    <w:pStyle w:val="35"/>
                  </w:pPr>
                </w:p>
              </w:tc>
              <w:tc>
                <w:tcPr>
                  <w:tcW w:w="510" w:type="pct"/>
                  <w:vAlign w:val="center"/>
                </w:tcPr>
                <w:p>
                  <w:pPr>
                    <w:pStyle w:val="35"/>
                    <w:rPr>
                      <w:rFonts w:hint="default"/>
                      <w:lang w:val="en-US" w:eastAsia="zh-CN"/>
                    </w:rPr>
                  </w:pPr>
                  <w:r>
                    <w:rPr>
                      <w:rFonts w:hint="eastAsia"/>
                      <w:lang w:val="en-US" w:eastAsia="zh-CN"/>
                    </w:rPr>
                    <w:t>/</w:t>
                  </w:r>
                </w:p>
              </w:tc>
              <w:tc>
                <w:tcPr>
                  <w:tcW w:w="939" w:type="pct"/>
                  <w:vAlign w:val="center"/>
                </w:tcPr>
                <w:p>
                  <w:pPr>
                    <w:pStyle w:val="35"/>
                    <w:rPr>
                      <w:rFonts w:hint="default"/>
                      <w:lang w:val="en-US" w:eastAsia="zh-CN"/>
                    </w:rPr>
                  </w:pPr>
                  <w:r>
                    <w:rPr>
                      <w:rFonts w:hint="eastAsia"/>
                      <w:lang w:val="en-US" w:eastAsia="zh-CN"/>
                    </w:rPr>
                    <w:t>废气处理</w:t>
                  </w:r>
                </w:p>
              </w:tc>
              <w:tc>
                <w:tcPr>
                  <w:tcW w:w="1140" w:type="pct"/>
                  <w:vAlign w:val="center"/>
                </w:tcPr>
                <w:p>
                  <w:pPr>
                    <w:pStyle w:val="35"/>
                    <w:rPr>
                      <w:rFonts w:hint="eastAsia"/>
                      <w:lang w:eastAsia="zh-CN"/>
                    </w:rPr>
                  </w:pPr>
                  <w:r>
                    <w:rPr>
                      <w:rFonts w:hint="eastAsia"/>
                      <w:lang w:eastAsia="zh-CN"/>
                    </w:rPr>
                    <w:t>废活性炭</w:t>
                  </w:r>
                </w:p>
              </w:tc>
              <w:tc>
                <w:tcPr>
                  <w:tcW w:w="695"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rPr>
                    <w:t>间断</w:t>
                  </w:r>
                </w:p>
              </w:tc>
              <w:tc>
                <w:tcPr>
                  <w:tcW w:w="1287"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rPr>
                    <w:t>委托有资质的相关单位处置</w:t>
                  </w:r>
                </w:p>
              </w:tc>
            </w:tr>
          </w:tbl>
          <w:p>
            <w:pPr>
              <w:pStyle w:val="29"/>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96" w:type="dxa"/>
            <w:vAlign w:val="center"/>
          </w:tcPr>
          <w:p>
            <w:pPr>
              <w:spacing w:line="240" w:lineRule="auto"/>
            </w:pPr>
            <w:r>
              <w:rPr>
                <w:bCs/>
              </w:rPr>
              <w:t>与项目有关的原有环境污染问题</w:t>
            </w:r>
          </w:p>
        </w:tc>
        <w:tc>
          <w:tcPr>
            <w:tcW w:w="8488" w:type="dxa"/>
          </w:tcPr>
          <w:p>
            <w:pPr>
              <w:pStyle w:val="14"/>
            </w:pPr>
            <w:r>
              <w:rPr>
                <w:rFonts w:hint="eastAsia"/>
              </w:rPr>
              <w:t>1、现有项目概况</w:t>
            </w:r>
          </w:p>
          <w:p>
            <w:pPr>
              <w:pStyle w:val="29"/>
              <w:ind w:firstLine="480"/>
            </w:pPr>
            <w:r>
              <w:rPr>
                <w:rFonts w:hint="eastAsia"/>
              </w:rPr>
              <w:t>苏州</w:t>
            </w:r>
            <w:r>
              <w:rPr>
                <w:rFonts w:hint="eastAsia"/>
                <w:lang w:eastAsia="zh-CN"/>
              </w:rPr>
              <w:t>真懿精密器械有限公司</w:t>
            </w:r>
            <w:r>
              <w:rPr>
                <w:rFonts w:hint="eastAsia"/>
              </w:rPr>
              <w:t>成立于201</w:t>
            </w:r>
            <w:r>
              <w:rPr>
                <w:rFonts w:hint="eastAsia"/>
                <w:lang w:val="en-US" w:eastAsia="zh-CN"/>
              </w:rPr>
              <w:t>1</w:t>
            </w:r>
            <w:r>
              <w:rPr>
                <w:rFonts w:hint="eastAsia"/>
              </w:rPr>
              <w:t>年</w:t>
            </w:r>
            <w:r>
              <w:rPr>
                <w:rFonts w:hint="eastAsia"/>
                <w:lang w:val="en-US" w:eastAsia="zh-CN"/>
              </w:rPr>
              <w:t>03月</w:t>
            </w:r>
            <w:r>
              <w:rPr>
                <w:rFonts w:hint="eastAsia"/>
              </w:rPr>
              <w:t>，注册</w:t>
            </w:r>
            <w:r>
              <w:rPr>
                <w:rFonts w:hint="eastAsia"/>
                <w:lang w:eastAsia="zh-CN"/>
              </w:rPr>
              <w:t>地址位</w:t>
            </w:r>
            <w:r>
              <w:rPr>
                <w:rFonts w:hint="eastAsia"/>
              </w:rPr>
              <w:t>于苏州高新区</w:t>
            </w:r>
            <w:r>
              <w:rPr>
                <w:rFonts w:hint="eastAsia"/>
                <w:lang w:eastAsia="zh-CN"/>
              </w:rPr>
              <w:t>峨眉山路</w:t>
            </w:r>
            <w:r>
              <w:rPr>
                <w:rFonts w:hint="eastAsia"/>
                <w:lang w:val="en-US" w:eastAsia="zh-CN"/>
              </w:rPr>
              <w:t>70号</w:t>
            </w:r>
            <w:r>
              <w:rPr>
                <w:rFonts w:hint="eastAsia"/>
              </w:rPr>
              <w:t>，主要营业范围</w:t>
            </w:r>
            <w:r>
              <w:rPr>
                <w:rFonts w:hint="eastAsia"/>
                <w:lang w:eastAsia="zh-CN"/>
              </w:rPr>
              <w:t>为</w:t>
            </w:r>
            <w:r>
              <w:rPr>
                <w:rFonts w:hint="eastAsia"/>
              </w:rPr>
              <w:t>机械设备、机电产品生产、加工、销售;计算机软硬件、非危险化工产品、纺织品、金属制品销售</w:t>
            </w:r>
            <w:r>
              <w:rPr>
                <w:rFonts w:hint="eastAsia"/>
                <w:lang w:eastAsia="zh-CN"/>
              </w:rPr>
              <w:t>；</w:t>
            </w:r>
            <w:r>
              <w:rPr>
                <w:rFonts w:hint="eastAsia"/>
              </w:rPr>
              <w:t>医疗器械及配套零部件的研发</w:t>
            </w:r>
            <w:r>
              <w:rPr>
                <w:rFonts w:hint="eastAsia"/>
                <w:lang w:eastAsia="zh-CN"/>
              </w:rPr>
              <w:t>；</w:t>
            </w:r>
            <w:r>
              <w:rPr>
                <w:rFonts w:hint="eastAsia"/>
              </w:rPr>
              <w:t>自营和代理各类商品及技术的进出口业务</w:t>
            </w:r>
            <w:r>
              <w:rPr>
                <w:rFonts w:hint="eastAsia"/>
                <w:lang w:eastAsia="zh-CN"/>
              </w:rPr>
              <w:t>等</w:t>
            </w:r>
            <w:r>
              <w:rPr>
                <w:rFonts w:hint="eastAsia"/>
              </w:rPr>
              <w:t>。</w:t>
            </w:r>
          </w:p>
          <w:p>
            <w:pPr>
              <w:pStyle w:val="29"/>
              <w:ind w:firstLine="480"/>
              <w:rPr>
                <w:color w:val="auto"/>
              </w:rPr>
            </w:pPr>
            <w:r>
              <w:rPr>
                <w:rFonts w:hint="eastAsia"/>
                <w:color w:val="auto"/>
              </w:rPr>
              <w:t>企业现有项目生产规模为年产</w:t>
            </w:r>
            <w:r>
              <w:rPr>
                <w:rFonts w:hint="eastAsia"/>
                <w:color w:val="auto"/>
                <w:lang w:eastAsia="zh-CN"/>
              </w:rPr>
              <w:t>机加工零件</w:t>
            </w:r>
            <w:r>
              <w:rPr>
                <w:rFonts w:hint="eastAsia"/>
                <w:color w:val="auto"/>
                <w:lang w:val="en-US" w:eastAsia="zh-CN"/>
              </w:rPr>
              <w:t>100万只，衬套已取消建设</w:t>
            </w:r>
            <w:r>
              <w:rPr>
                <w:rFonts w:hint="eastAsia"/>
                <w:color w:val="auto"/>
              </w:rPr>
              <w:t>。企业员工人数为</w:t>
            </w:r>
            <w:r>
              <w:rPr>
                <w:rFonts w:hint="eastAsia"/>
                <w:color w:val="auto"/>
                <w:lang w:val="en-US" w:eastAsia="zh-CN"/>
              </w:rPr>
              <w:t>70</w:t>
            </w:r>
            <w:r>
              <w:rPr>
                <w:rFonts w:hint="eastAsia"/>
                <w:color w:val="auto"/>
              </w:rPr>
              <w:t>人，年工作约</w:t>
            </w:r>
            <w:r>
              <w:rPr>
                <w:color w:val="auto"/>
              </w:rPr>
              <w:t xml:space="preserve">250 </w:t>
            </w:r>
            <w:r>
              <w:rPr>
                <w:rFonts w:hint="eastAsia"/>
                <w:color w:val="auto"/>
              </w:rPr>
              <w:t>天，每天工作</w:t>
            </w:r>
            <w:r>
              <w:rPr>
                <w:color w:val="auto"/>
              </w:rPr>
              <w:t>8</w:t>
            </w:r>
            <w:r>
              <w:rPr>
                <w:rFonts w:hint="eastAsia"/>
                <w:color w:val="auto"/>
              </w:rPr>
              <w:t>小时，年运行</w:t>
            </w:r>
            <w:r>
              <w:rPr>
                <w:color w:val="auto"/>
              </w:rPr>
              <w:t>2000</w:t>
            </w:r>
            <w:r>
              <w:rPr>
                <w:rFonts w:hint="eastAsia"/>
                <w:color w:val="auto"/>
              </w:rPr>
              <w:t>小时。</w:t>
            </w:r>
          </w:p>
          <w:p>
            <w:pPr>
              <w:pStyle w:val="14"/>
              <w:rPr>
                <w:rFonts w:eastAsia="宋体" w:cs="Times New Roman"/>
                <w:szCs w:val="24"/>
              </w:rPr>
            </w:pPr>
            <w:r>
              <w:rPr>
                <w:rFonts w:hint="eastAsia"/>
              </w:rPr>
              <w:t>2、现有项目环保手续执行情况</w:t>
            </w:r>
          </w:p>
          <w:p>
            <w:pPr>
              <w:pStyle w:val="29"/>
              <w:ind w:firstLine="480"/>
            </w:pPr>
            <w:r>
              <w:rPr>
                <w:rFonts w:hint="eastAsia"/>
              </w:rPr>
              <w:t>《苏州</w:t>
            </w:r>
            <w:r>
              <w:rPr>
                <w:rFonts w:hint="eastAsia"/>
                <w:lang w:eastAsia="zh-CN"/>
              </w:rPr>
              <w:t>真懿精密器械有限</w:t>
            </w:r>
            <w:r>
              <w:rPr>
                <w:rFonts w:hint="eastAsia"/>
              </w:rPr>
              <w:t>公司年产</w:t>
            </w:r>
            <w:r>
              <w:rPr>
                <w:rFonts w:hint="eastAsia"/>
                <w:lang w:eastAsia="zh-CN"/>
              </w:rPr>
              <w:t>零部件</w:t>
            </w:r>
            <w:r>
              <w:rPr>
                <w:rFonts w:hint="eastAsia"/>
                <w:lang w:val="en-US" w:eastAsia="zh-CN"/>
              </w:rPr>
              <w:t>100万只、衬套500万套等扩建项目</w:t>
            </w:r>
            <w:r>
              <w:rPr>
                <w:rFonts w:hint="eastAsia"/>
              </w:rPr>
              <w:t>建设项目环境影响报告表》于</w:t>
            </w:r>
            <w:r>
              <w:rPr>
                <w:rFonts w:hint="eastAsia"/>
                <w:lang w:val="en-US" w:eastAsia="zh-CN"/>
              </w:rPr>
              <w:t>2020</w:t>
            </w:r>
            <w:r>
              <w:rPr>
                <w:rFonts w:hint="eastAsia"/>
              </w:rPr>
              <w:t>年</w:t>
            </w:r>
            <w:r>
              <w:rPr>
                <w:rFonts w:hint="eastAsia"/>
                <w:lang w:val="en-US" w:eastAsia="zh-CN"/>
              </w:rPr>
              <w:t>6</w:t>
            </w:r>
            <w:r>
              <w:rPr>
                <w:rFonts w:hint="eastAsia"/>
              </w:rPr>
              <w:t>月2</w:t>
            </w:r>
            <w:r>
              <w:rPr>
                <w:rFonts w:hint="eastAsia"/>
                <w:lang w:val="en-US" w:eastAsia="zh-CN"/>
              </w:rPr>
              <w:t>8</w:t>
            </w:r>
            <w:r>
              <w:rPr>
                <w:rFonts w:hint="eastAsia"/>
              </w:rPr>
              <w:t>日取得</w:t>
            </w:r>
            <w:r>
              <w:rPr>
                <w:rFonts w:hint="eastAsia"/>
                <w:lang w:eastAsia="zh-CN"/>
              </w:rPr>
              <w:t>苏州市行政审批局</w:t>
            </w:r>
            <w:r>
              <w:rPr>
                <w:rFonts w:hint="eastAsia"/>
              </w:rPr>
              <w:t>的审批意见（苏</w:t>
            </w:r>
            <w:r>
              <w:rPr>
                <w:rFonts w:hint="eastAsia"/>
                <w:lang w:eastAsia="zh-CN"/>
              </w:rPr>
              <w:t>行审环评</w:t>
            </w:r>
            <w:r>
              <w:rPr>
                <w:rFonts w:hint="eastAsia"/>
              </w:rPr>
              <w:t>〔</w:t>
            </w:r>
            <w:r>
              <w:t>20</w:t>
            </w:r>
            <w:r>
              <w:rPr>
                <w:rFonts w:hint="eastAsia"/>
                <w:lang w:val="en-US" w:eastAsia="zh-CN"/>
              </w:rPr>
              <w:t>20</w:t>
            </w:r>
            <w:r>
              <w:rPr>
                <w:rFonts w:hint="eastAsia"/>
              </w:rPr>
              <w:t>〕</w:t>
            </w:r>
            <w:r>
              <w:rPr>
                <w:rFonts w:hint="eastAsia"/>
                <w:lang w:val="en-US" w:eastAsia="zh-CN"/>
              </w:rPr>
              <w:t>90206</w:t>
            </w:r>
            <w:r>
              <w:rPr>
                <w:rFonts w:hint="eastAsia"/>
              </w:rPr>
              <w:t>号），该项目于</w:t>
            </w:r>
            <w:r>
              <w:rPr>
                <w:rFonts w:hint="eastAsia"/>
                <w:lang w:val="en-US" w:eastAsia="zh-CN"/>
              </w:rPr>
              <w:t>2021</w:t>
            </w:r>
            <w:r>
              <w:rPr>
                <w:rFonts w:hint="eastAsia"/>
              </w:rPr>
              <w:t>年</w:t>
            </w:r>
            <w:r>
              <w:rPr>
                <w:rFonts w:hint="eastAsia"/>
                <w:lang w:val="en-US" w:eastAsia="zh-CN"/>
              </w:rPr>
              <w:t>7</w:t>
            </w:r>
            <w:r>
              <w:rPr>
                <w:rFonts w:hint="eastAsia"/>
              </w:rPr>
              <w:t>月2</w:t>
            </w:r>
            <w:r>
              <w:rPr>
                <w:rFonts w:hint="eastAsia"/>
                <w:lang w:val="en-US" w:eastAsia="zh-CN"/>
              </w:rPr>
              <w:t>7</w:t>
            </w:r>
            <w:r>
              <w:rPr>
                <w:rFonts w:hint="eastAsia"/>
              </w:rPr>
              <w:t>日</w:t>
            </w:r>
            <w:r>
              <w:rPr>
                <w:rFonts w:hint="eastAsia" w:ascii="Times New Roman" w:hAnsi="Helvetica" w:cs="Times New Roman"/>
                <w:sz w:val="24"/>
                <w:szCs w:val="24"/>
              </w:rPr>
              <w:t>组织成立</w:t>
            </w:r>
            <w:r>
              <w:rPr>
                <w:rFonts w:hint="eastAsia" w:hAnsi="Helvetica" w:cs="Times New Roman"/>
                <w:sz w:val="24"/>
                <w:szCs w:val="24"/>
                <w:lang w:eastAsia="zh-CN"/>
              </w:rPr>
              <w:t>自主</w:t>
            </w:r>
            <w:r>
              <w:rPr>
                <w:rFonts w:hint="eastAsia" w:ascii="Times New Roman" w:hAnsi="Helvetica" w:cs="Times New Roman"/>
                <w:sz w:val="24"/>
                <w:szCs w:val="24"/>
              </w:rPr>
              <w:t>验收工作组对“</w:t>
            </w:r>
            <w:bookmarkStart w:id="4" w:name="_Hlk48151141"/>
            <w:r>
              <w:rPr>
                <w:rFonts w:hint="eastAsia" w:ascii="Times New Roman" w:hAnsi="Helvetica" w:cs="Times New Roman"/>
                <w:sz w:val="24"/>
                <w:szCs w:val="24"/>
              </w:rPr>
              <w:t>苏州真懿精密机械有限公司</w:t>
            </w:r>
            <w:bookmarkEnd w:id="4"/>
            <w:r>
              <w:rPr>
                <w:rFonts w:hint="eastAsia" w:ascii="Times New Roman" w:hAnsi="Helvetica" w:cs="Times New Roman"/>
                <w:sz w:val="24"/>
                <w:szCs w:val="24"/>
              </w:rPr>
              <w:t>年产零部件100万只、衬套500万套等项目”进行环保验收</w:t>
            </w:r>
            <w:r>
              <w:rPr>
                <w:rFonts w:hint="eastAsia" w:hAnsi="Helvetica" w:cs="Times New Roman"/>
                <w:sz w:val="24"/>
                <w:szCs w:val="24"/>
                <w:lang w:eastAsia="zh-CN"/>
              </w:rPr>
              <w:t>，并通过验收取得专家验收意见（意见及签到表附附件）</w:t>
            </w:r>
            <w:r>
              <w:rPr>
                <w:rFonts w:hint="eastAsia"/>
              </w:rPr>
              <w:t>。企业现有项目生产规模为</w:t>
            </w:r>
            <w:r>
              <w:rPr>
                <w:rFonts w:hint="eastAsia" w:ascii="Times New Roman" w:hAnsi="Helvetica" w:cs="Times New Roman"/>
                <w:sz w:val="24"/>
                <w:szCs w:val="24"/>
              </w:rPr>
              <w:t>年产零部件100万只</w:t>
            </w:r>
            <w:r>
              <w:rPr>
                <w:rFonts w:hint="eastAsia"/>
              </w:rPr>
              <w:t>。</w:t>
            </w:r>
          </w:p>
          <w:p>
            <w:pPr>
              <w:pStyle w:val="29"/>
              <w:ind w:left="0" w:leftChars="0" w:firstLine="0" w:firstLineChars="0"/>
            </w:pPr>
          </w:p>
          <w:p>
            <w:pPr>
              <w:pStyle w:val="12"/>
            </w:pPr>
            <w:r>
              <w:rPr>
                <w:rStyle w:val="33"/>
                <w:rFonts w:hint="eastAsia" w:eastAsiaTheme="minorEastAsia" w:cstheme="minorBidi"/>
                <w:b/>
                <w:bCs/>
              </w:rPr>
              <w:t>表</w:t>
            </w:r>
            <w:r>
              <w:rPr>
                <w:rStyle w:val="33"/>
                <w:rFonts w:eastAsiaTheme="minorEastAsia" w:cstheme="minorBidi"/>
                <w:b/>
                <w:bCs/>
              </w:rPr>
              <w:t xml:space="preserve">2-7   </w:t>
            </w:r>
            <w:r>
              <w:rPr>
                <w:rStyle w:val="33"/>
                <w:rFonts w:hint="eastAsia" w:eastAsiaTheme="minorEastAsia" w:cstheme="minorBidi"/>
                <w:b/>
                <w:bCs/>
              </w:rPr>
              <w:t>企业环保手续情况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999"/>
              <w:gridCol w:w="1836"/>
              <w:gridCol w:w="1985"/>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5" w:type="dxa"/>
                  <w:vAlign w:val="center"/>
                </w:tcPr>
                <w:p>
                  <w:pPr>
                    <w:pStyle w:val="35"/>
                  </w:pPr>
                  <w:r>
                    <w:rPr>
                      <w:rFonts w:hint="eastAsia"/>
                    </w:rPr>
                    <w:t>建设项目名称</w:t>
                  </w:r>
                </w:p>
              </w:tc>
              <w:tc>
                <w:tcPr>
                  <w:tcW w:w="999" w:type="dxa"/>
                  <w:vAlign w:val="center"/>
                </w:tcPr>
                <w:p>
                  <w:pPr>
                    <w:pStyle w:val="35"/>
                  </w:pPr>
                  <w:r>
                    <w:rPr>
                      <w:rFonts w:hint="eastAsia"/>
                    </w:rPr>
                    <w:t>报告类型</w:t>
                  </w:r>
                </w:p>
              </w:tc>
              <w:tc>
                <w:tcPr>
                  <w:tcW w:w="1836" w:type="dxa"/>
                  <w:vAlign w:val="center"/>
                </w:tcPr>
                <w:p>
                  <w:pPr>
                    <w:pStyle w:val="35"/>
                  </w:pPr>
                  <w:r>
                    <w:rPr>
                      <w:rFonts w:hint="eastAsia"/>
                    </w:rPr>
                    <w:t>环评批复时间及批文号</w:t>
                  </w:r>
                </w:p>
              </w:tc>
              <w:tc>
                <w:tcPr>
                  <w:tcW w:w="1985" w:type="dxa"/>
                  <w:vAlign w:val="center"/>
                </w:tcPr>
                <w:p>
                  <w:pPr>
                    <w:pStyle w:val="35"/>
                  </w:pPr>
                  <w:r>
                    <w:rPr>
                      <w:rFonts w:hint="eastAsia"/>
                    </w:rPr>
                    <w:t>竣工验收时间</w:t>
                  </w:r>
                </w:p>
              </w:tc>
              <w:tc>
                <w:tcPr>
                  <w:tcW w:w="1137" w:type="dxa"/>
                  <w:vAlign w:val="center"/>
                </w:tcPr>
                <w:p>
                  <w:pPr>
                    <w:pStyle w:val="35"/>
                  </w:pPr>
                  <w:r>
                    <w:rPr>
                      <w:rFonts w:hint="eastAsia"/>
                    </w:rPr>
                    <w:t>实际运行情况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5" w:type="dxa"/>
                  <w:vAlign w:val="center"/>
                </w:tcPr>
                <w:p>
                  <w:pPr>
                    <w:pStyle w:val="35"/>
                  </w:pPr>
                  <w:r>
                    <w:rPr>
                      <w:rFonts w:hint="eastAsia"/>
                    </w:rPr>
                    <w:t>苏州</w:t>
                  </w:r>
                  <w:r>
                    <w:rPr>
                      <w:rFonts w:hint="eastAsia"/>
                      <w:lang w:eastAsia="zh-CN"/>
                    </w:rPr>
                    <w:t>真懿精密器械有限</w:t>
                  </w:r>
                  <w:r>
                    <w:rPr>
                      <w:rFonts w:hint="eastAsia"/>
                    </w:rPr>
                    <w:t>公司年产</w:t>
                  </w:r>
                  <w:r>
                    <w:rPr>
                      <w:rFonts w:hint="eastAsia"/>
                      <w:lang w:eastAsia="zh-CN"/>
                    </w:rPr>
                    <w:t>零部件</w:t>
                  </w:r>
                  <w:r>
                    <w:rPr>
                      <w:rFonts w:hint="eastAsia"/>
                      <w:lang w:val="en-US" w:eastAsia="zh-CN"/>
                    </w:rPr>
                    <w:t>100万只、衬套500万套等扩建项目</w:t>
                  </w:r>
                </w:p>
              </w:tc>
              <w:tc>
                <w:tcPr>
                  <w:tcW w:w="999" w:type="dxa"/>
                  <w:vAlign w:val="center"/>
                </w:tcPr>
                <w:p>
                  <w:pPr>
                    <w:pStyle w:val="35"/>
                  </w:pPr>
                  <w:r>
                    <w:rPr>
                      <w:rFonts w:hint="eastAsia"/>
                    </w:rPr>
                    <w:t>环境影响报告表</w:t>
                  </w:r>
                </w:p>
              </w:tc>
              <w:tc>
                <w:tcPr>
                  <w:tcW w:w="1836" w:type="dxa"/>
                  <w:vAlign w:val="center"/>
                </w:tcPr>
                <w:p>
                  <w:pPr>
                    <w:pStyle w:val="35"/>
                  </w:pPr>
                  <w:r>
                    <w:rPr>
                      <w:rFonts w:hint="eastAsia"/>
                    </w:rPr>
                    <w:t>20</w:t>
                  </w:r>
                  <w:r>
                    <w:rPr>
                      <w:rFonts w:hint="eastAsia"/>
                      <w:lang w:val="en-US" w:eastAsia="zh-CN"/>
                    </w:rPr>
                    <w:t>20</w:t>
                  </w:r>
                  <w:r>
                    <w:rPr>
                      <w:rFonts w:hint="eastAsia"/>
                    </w:rPr>
                    <w:t>年</w:t>
                  </w:r>
                  <w:r>
                    <w:rPr>
                      <w:rFonts w:hint="eastAsia"/>
                      <w:lang w:val="en-US" w:eastAsia="zh-CN"/>
                    </w:rPr>
                    <w:t>6</w:t>
                  </w:r>
                  <w:r>
                    <w:rPr>
                      <w:rFonts w:hint="eastAsia"/>
                    </w:rPr>
                    <w:t>月2</w:t>
                  </w:r>
                  <w:r>
                    <w:rPr>
                      <w:rFonts w:hint="eastAsia"/>
                      <w:lang w:val="en-US" w:eastAsia="zh-CN"/>
                    </w:rPr>
                    <w:t>8</w:t>
                  </w:r>
                  <w:r>
                    <w:rPr>
                      <w:rFonts w:hint="eastAsia"/>
                    </w:rPr>
                    <w:t>日；苏</w:t>
                  </w:r>
                  <w:r>
                    <w:rPr>
                      <w:rFonts w:hint="eastAsia"/>
                      <w:lang w:eastAsia="zh-CN"/>
                    </w:rPr>
                    <w:t>行审环评</w:t>
                  </w:r>
                  <w:r>
                    <w:rPr>
                      <w:rFonts w:hint="eastAsia"/>
                    </w:rPr>
                    <w:t>〔</w:t>
                  </w:r>
                  <w:r>
                    <w:t>20</w:t>
                  </w:r>
                  <w:r>
                    <w:rPr>
                      <w:rFonts w:hint="eastAsia"/>
                      <w:lang w:val="en-US" w:eastAsia="zh-CN"/>
                    </w:rPr>
                    <w:t>20</w:t>
                  </w:r>
                  <w:r>
                    <w:rPr>
                      <w:rFonts w:hint="eastAsia"/>
                    </w:rPr>
                    <w:t>〕</w:t>
                  </w:r>
                  <w:r>
                    <w:rPr>
                      <w:rFonts w:hint="eastAsia"/>
                      <w:lang w:val="en-US" w:eastAsia="zh-CN"/>
                    </w:rPr>
                    <w:t>90206</w:t>
                  </w:r>
                  <w:r>
                    <w:rPr>
                      <w:rFonts w:hint="eastAsia"/>
                    </w:rPr>
                    <w:t>号</w:t>
                  </w:r>
                </w:p>
              </w:tc>
              <w:tc>
                <w:tcPr>
                  <w:tcW w:w="1985" w:type="dxa"/>
                  <w:vAlign w:val="center"/>
                </w:tcPr>
                <w:p>
                  <w:pPr>
                    <w:pStyle w:val="35"/>
                  </w:pPr>
                  <w:r>
                    <w:rPr>
                      <w:rFonts w:hint="eastAsia"/>
                    </w:rPr>
                    <w:t>20</w:t>
                  </w:r>
                  <w:r>
                    <w:rPr>
                      <w:rFonts w:hint="eastAsia"/>
                      <w:lang w:val="en-US" w:eastAsia="zh-CN"/>
                    </w:rPr>
                    <w:t>21</w:t>
                  </w:r>
                  <w:r>
                    <w:rPr>
                      <w:rFonts w:hint="eastAsia"/>
                    </w:rPr>
                    <w:t>年</w:t>
                  </w:r>
                  <w:r>
                    <w:rPr>
                      <w:rFonts w:hint="eastAsia"/>
                      <w:lang w:val="en-US" w:eastAsia="zh-CN"/>
                    </w:rPr>
                    <w:t>7</w:t>
                  </w:r>
                  <w:r>
                    <w:rPr>
                      <w:rFonts w:hint="eastAsia"/>
                    </w:rPr>
                    <w:t>月</w:t>
                  </w:r>
                  <w:r>
                    <w:rPr>
                      <w:rFonts w:hint="eastAsia"/>
                      <w:lang w:val="en-US" w:eastAsia="zh-CN"/>
                    </w:rPr>
                    <w:t>27</w:t>
                  </w:r>
                  <w:r>
                    <w:rPr>
                      <w:rFonts w:hint="eastAsia"/>
                    </w:rPr>
                    <w:t>日；苏新环验〔2018〕23号</w:t>
                  </w:r>
                </w:p>
              </w:tc>
              <w:tc>
                <w:tcPr>
                  <w:tcW w:w="1137" w:type="dxa"/>
                  <w:vAlign w:val="center"/>
                </w:tcPr>
                <w:p>
                  <w:pPr>
                    <w:pStyle w:val="35"/>
                  </w:pPr>
                  <w:r>
                    <w:rPr>
                      <w:rFonts w:hint="eastAsia"/>
                    </w:rPr>
                    <w:t>正常运行</w:t>
                  </w:r>
                </w:p>
              </w:tc>
            </w:tr>
          </w:tbl>
          <w:p>
            <w:pPr>
              <w:pStyle w:val="14"/>
            </w:pPr>
            <w:r>
              <w:rPr>
                <w:rFonts w:hint="eastAsia"/>
              </w:rPr>
              <w:t>3、现有项目生产工艺产污环节</w:t>
            </w:r>
          </w:p>
          <w:p>
            <w:pPr>
              <w:pStyle w:val="29"/>
              <w:ind w:firstLine="480"/>
            </w:pPr>
            <w:r>
              <w:drawing>
                <wp:inline distT="0" distB="0" distL="114300" distR="114300">
                  <wp:extent cx="4839970" cy="890270"/>
                  <wp:effectExtent l="0" t="0" r="1778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4839970" cy="890270"/>
                          </a:xfrm>
                          <a:prstGeom prst="rect">
                            <a:avLst/>
                          </a:prstGeom>
                          <a:noFill/>
                          <a:ln>
                            <a:noFill/>
                          </a:ln>
                        </pic:spPr>
                      </pic:pic>
                    </a:graphicData>
                  </a:graphic>
                </wp:inline>
              </w:drawing>
            </w:r>
          </w:p>
          <w:p>
            <w:pPr>
              <w:pStyle w:val="12"/>
            </w:pPr>
            <w:r>
              <w:rPr>
                <w:rFonts w:hint="eastAsia"/>
              </w:rPr>
              <w:t>图</w:t>
            </w:r>
            <w:r>
              <w:t xml:space="preserve">2-4  </w:t>
            </w:r>
            <w:r>
              <w:rPr>
                <w:rFonts w:hint="eastAsia"/>
              </w:rPr>
              <w:t>现有项目</w:t>
            </w:r>
            <w:r>
              <w:rPr>
                <w:rFonts w:hint="eastAsia" w:ascii="Times New Roman" w:hAnsi="Times New Roman"/>
                <w:b/>
                <w:sz w:val="21"/>
                <w:szCs w:val="21"/>
                <w:lang w:eastAsia="zh-CN"/>
              </w:rPr>
              <w:t>机加工零件</w:t>
            </w:r>
            <w:r>
              <w:rPr>
                <w:rFonts w:hint="eastAsia"/>
              </w:rPr>
              <w:t>生产工艺流程图</w:t>
            </w:r>
          </w:p>
          <w:p>
            <w:pPr>
              <w:pStyle w:val="29"/>
              <w:ind w:firstLine="482"/>
              <w:rPr>
                <w:rFonts w:hint="eastAsia"/>
                <w:b/>
                <w:bCs/>
              </w:rPr>
            </w:pPr>
          </w:p>
          <w:p>
            <w:pPr>
              <w:pStyle w:val="29"/>
              <w:ind w:firstLine="482"/>
              <w:rPr>
                <w:b/>
                <w:bCs/>
              </w:rPr>
            </w:pPr>
            <w:r>
              <w:rPr>
                <w:rFonts w:hint="eastAsia"/>
                <w:b/>
                <w:bCs/>
              </w:rPr>
              <w:t>现有</w:t>
            </w:r>
            <w:r>
              <w:rPr>
                <w:rFonts w:hint="eastAsia"/>
                <w:b/>
                <w:bCs/>
                <w:lang w:eastAsia="zh-CN"/>
              </w:rPr>
              <w:t>项目机加工零件</w:t>
            </w:r>
            <w:r>
              <w:rPr>
                <w:rFonts w:hint="eastAsia"/>
                <w:b/>
                <w:bCs/>
              </w:rPr>
              <w:t>主要生产工艺流程：</w:t>
            </w:r>
          </w:p>
          <w:p>
            <w:pPr>
              <w:pStyle w:val="29"/>
              <w:ind w:firstLine="480"/>
              <w:rPr>
                <w:rFonts w:hint="eastAsia"/>
                <w:lang w:val="en-US" w:eastAsia="zh-CN"/>
              </w:rPr>
            </w:pPr>
            <w:r>
              <w:rPr>
                <w:rFonts w:hint="eastAsia"/>
                <w:b/>
                <w:bCs/>
                <w:lang w:val="en-US" w:eastAsia="zh-CN"/>
              </w:rPr>
              <w:t>机械加工：</w:t>
            </w:r>
            <w:r>
              <w:rPr>
                <w:rFonts w:hint="eastAsia"/>
                <w:lang w:val="en-US" w:eastAsia="zh-CN"/>
              </w:rPr>
              <w:t>外购进厂的不锈钢小件</w:t>
            </w:r>
            <w:r>
              <w:rPr>
                <w:rFonts w:hint="default"/>
                <w:lang w:val="en-US" w:eastAsia="zh-CN"/>
              </w:rPr>
              <w:t>（2-10mm）</w:t>
            </w:r>
            <w:r>
              <w:rPr>
                <w:rFonts w:hint="eastAsia"/>
                <w:lang w:val="en-US" w:eastAsia="zh-CN"/>
              </w:rPr>
              <w:t>进厂后进行车削加工，形成所需要的尺寸，以上环节产生金属边角料</w:t>
            </w:r>
            <w:r>
              <w:rPr>
                <w:rFonts w:hint="default"/>
                <w:lang w:val="en-US" w:eastAsia="zh-CN"/>
              </w:rPr>
              <w:t>S1</w:t>
            </w:r>
            <w:r>
              <w:rPr>
                <w:rFonts w:hint="eastAsia"/>
                <w:lang w:val="en-US" w:eastAsia="zh-CN"/>
              </w:rPr>
              <w:t>,机械加工过程使用切削液及机油，废切削液及废机油作危废定期委外处置。</w:t>
            </w:r>
          </w:p>
          <w:p>
            <w:pPr>
              <w:pStyle w:val="29"/>
              <w:ind w:firstLine="480"/>
              <w:rPr>
                <w:rFonts w:hint="eastAsia"/>
                <w:lang w:val="en-US" w:eastAsia="zh-CN"/>
              </w:rPr>
            </w:pPr>
            <w:r>
              <w:rPr>
                <w:rFonts w:hint="eastAsia"/>
                <w:b/>
                <w:bCs/>
                <w:lang w:val="en-US" w:eastAsia="zh-CN"/>
              </w:rPr>
              <w:t>除油清洗：</w:t>
            </w:r>
            <w:r>
              <w:rPr>
                <w:rFonts w:hint="eastAsia"/>
                <w:lang w:val="en-US" w:eastAsia="zh-CN"/>
              </w:rPr>
              <w:t>去毛刺后的产品进入超声波清洗机进行清洗，除油清洗分为两个阶段：第一阶段采用清洗剂对产品表面沾染的油渍进行超声清洗，去油釆用配置好的碱性清洗 剂进行，利用清洗剂与表面油污分子之间产生皂化作用，从而达到将油污与工件表面分离的目的，清洗时放入烧杯中置于超声波清洗槽以防止细小产品的流失，每次清洗剂使用量为</w:t>
            </w:r>
            <w:r>
              <w:rPr>
                <w:rFonts w:hint="default"/>
                <w:lang w:val="en-US" w:eastAsia="zh-CN"/>
              </w:rPr>
              <w:t>200mL</w:t>
            </w:r>
            <w:r>
              <w:rPr>
                <w:rFonts w:hint="eastAsia"/>
                <w:lang w:val="en-US" w:eastAsia="zh-CN"/>
              </w:rPr>
              <w:t>,自来水清洗用量为</w:t>
            </w:r>
            <w:r>
              <w:rPr>
                <w:rFonts w:hint="default"/>
                <w:lang w:val="en-US" w:eastAsia="zh-CN"/>
              </w:rPr>
              <w:t>600mL</w:t>
            </w:r>
            <w:r>
              <w:rPr>
                <w:rFonts w:hint="eastAsia"/>
                <w:lang w:val="en-US" w:eastAsia="zh-CN"/>
              </w:rPr>
              <w:t>,过滤出产品后以上清洗液可重复利用；第二阶段为自来水进行清洗，主要目的是去除由于除油清洗导致表面沾染的少量清洗剂残留；该工序产生的清洗废液作危废</w:t>
            </w:r>
            <w:r>
              <w:rPr>
                <w:rFonts w:hint="default"/>
                <w:lang w:val="en-US" w:eastAsia="zh-CN"/>
              </w:rPr>
              <w:t>S2</w:t>
            </w:r>
            <w:r>
              <w:rPr>
                <w:rFonts w:hint="eastAsia"/>
                <w:lang w:val="en-US" w:eastAsia="zh-CN"/>
              </w:rPr>
              <w:t>定期委外处理。</w:t>
            </w:r>
          </w:p>
          <w:p>
            <w:pPr>
              <w:pStyle w:val="29"/>
              <w:ind w:firstLine="480"/>
              <w:rPr>
                <w:rFonts w:hint="eastAsia"/>
                <w:lang w:val="en-US" w:eastAsia="zh-CN"/>
              </w:rPr>
            </w:pPr>
            <w:r>
              <w:rPr>
                <w:rFonts w:hint="eastAsia"/>
                <w:b/>
                <w:bCs/>
                <w:lang w:val="en-US" w:eastAsia="zh-CN"/>
              </w:rPr>
              <w:t>去毛刺：</w:t>
            </w:r>
            <w:r>
              <w:rPr>
                <w:rFonts w:hint="eastAsia"/>
                <w:lang w:val="en-US" w:eastAsia="zh-CN"/>
              </w:rPr>
              <w:t>车削后产品利用手搓砂纸进行人工打磨去毛刺处理，该工序工件操作面小,产生极少量打磨粉尘</w:t>
            </w:r>
            <w:r>
              <w:rPr>
                <w:rFonts w:hint="default"/>
                <w:lang w:val="en-US" w:eastAsia="zh-CN"/>
              </w:rPr>
              <w:t>G1</w:t>
            </w:r>
            <w:r>
              <w:rPr>
                <w:rFonts w:hint="eastAsia"/>
                <w:lang w:val="en-US" w:eastAsia="zh-CN"/>
              </w:rPr>
              <w:t>,不作定量分析。</w:t>
            </w:r>
          </w:p>
          <w:p>
            <w:pPr>
              <w:pStyle w:val="29"/>
              <w:ind w:firstLine="480"/>
              <w:rPr>
                <w:rFonts w:hint="eastAsia"/>
                <w:lang w:val="en-US" w:eastAsia="zh-CN"/>
              </w:rPr>
            </w:pPr>
            <w:r>
              <w:rPr>
                <w:rFonts w:hint="eastAsia"/>
                <w:b/>
                <w:bCs/>
                <w:lang w:val="en-US" w:eastAsia="zh-CN"/>
              </w:rPr>
              <w:t>纯水清洗：</w:t>
            </w:r>
            <w:r>
              <w:rPr>
                <w:rFonts w:hint="eastAsia"/>
                <w:lang w:val="en-US" w:eastAsia="zh-CN"/>
              </w:rPr>
              <w:t>去毛刺后的工件因表面沾有少量打磨沉积的金属，因此利用纯水进行清 洗，清洗时放入烧杯中置于超声波清洗槽以防止细小产品的流失，每次纯水使用量为</w:t>
            </w:r>
            <w:r>
              <w:rPr>
                <w:rFonts w:hint="default"/>
                <w:lang w:val="en-US" w:eastAsia="zh-CN"/>
              </w:rPr>
              <w:t>600ml</w:t>
            </w:r>
            <w:r>
              <w:rPr>
                <w:rFonts w:hint="eastAsia"/>
                <w:lang w:val="en-US" w:eastAsia="zh-CN"/>
              </w:rPr>
              <w:t>,清洗废液定期作危废委外处理。</w:t>
            </w:r>
          </w:p>
          <w:p>
            <w:pPr>
              <w:pStyle w:val="29"/>
              <w:ind w:firstLine="480"/>
              <w:rPr>
                <w:rFonts w:hint="eastAsia"/>
                <w:lang w:val="en-US" w:eastAsia="zh-CN"/>
              </w:rPr>
            </w:pPr>
            <w:r>
              <w:rPr>
                <w:rFonts w:hint="eastAsia"/>
                <w:b/>
                <w:bCs/>
                <w:lang w:val="en-US" w:eastAsia="zh-CN"/>
              </w:rPr>
              <w:t>检验：</w:t>
            </w:r>
            <w:r>
              <w:rPr>
                <w:rFonts w:hint="eastAsia"/>
                <w:lang w:val="en-US" w:eastAsia="zh-CN"/>
              </w:rPr>
              <w:t>产品检验中除了一般物理测试外，项目设置抽检产品在盐酸或硫酸溶液</w:t>
            </w:r>
            <w:r>
              <w:rPr>
                <w:rFonts w:hint="default"/>
                <w:lang w:val="en-US" w:eastAsia="zh-CN"/>
              </w:rPr>
              <w:t>（5%）</w:t>
            </w:r>
            <w:r>
              <w:rPr>
                <w:rFonts w:hint="eastAsia"/>
                <w:lang w:val="en-US" w:eastAsia="zh-CN"/>
              </w:rPr>
              <w:t>中腐蚀测试，对工件表面的抗腐蚀性能进行测试，以上盐酸和硫酸在饱和外购品购置后 在实验室通风厨中进行</w:t>
            </w:r>
            <w:r>
              <w:rPr>
                <w:rFonts w:hint="default"/>
                <w:lang w:val="en-US" w:eastAsia="zh-CN"/>
              </w:rPr>
              <w:t>5%</w:t>
            </w:r>
            <w:r>
              <w:rPr>
                <w:rFonts w:hint="eastAsia"/>
                <w:lang w:val="en-US" w:eastAsia="zh-CN"/>
              </w:rPr>
              <w:t>的浓度配置，以上用量较少，开瓶和使用时的微量酸雾挥发经通风橱外排，可以忽略不计，该工序产生不合格品</w:t>
            </w:r>
            <w:r>
              <w:rPr>
                <w:rFonts w:hint="default"/>
                <w:lang w:val="en-US" w:eastAsia="zh-CN"/>
              </w:rPr>
              <w:t>S4</w:t>
            </w:r>
            <w:r>
              <w:rPr>
                <w:rFonts w:hint="eastAsia"/>
                <w:lang w:val="en-US" w:eastAsia="zh-CN"/>
              </w:rPr>
              <w:t>,检验中使用的废酸液作为危废定期委外处置；检测合格的包装入库。</w:t>
            </w:r>
          </w:p>
          <w:p>
            <w:pPr>
              <w:pStyle w:val="12"/>
            </w:pPr>
            <w:r>
              <w:drawing>
                <wp:inline distT="0" distB="0" distL="114300" distR="114300">
                  <wp:extent cx="3565525" cy="946150"/>
                  <wp:effectExtent l="0" t="0" r="15875"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3565525" cy="946150"/>
                          </a:xfrm>
                          <a:prstGeom prst="rect">
                            <a:avLst/>
                          </a:prstGeom>
                          <a:noFill/>
                          <a:ln>
                            <a:noFill/>
                          </a:ln>
                        </pic:spPr>
                      </pic:pic>
                    </a:graphicData>
                  </a:graphic>
                </wp:inline>
              </w:drawing>
            </w:r>
          </w:p>
          <w:p>
            <w:pPr>
              <w:pStyle w:val="12"/>
            </w:pPr>
            <w:r>
              <w:rPr>
                <w:rFonts w:hint="eastAsia"/>
              </w:rPr>
              <w:t>图</w:t>
            </w:r>
            <w:r>
              <w:t>2-</w:t>
            </w:r>
            <w:r>
              <w:rPr>
                <w:rFonts w:hint="eastAsia"/>
                <w:lang w:val="en-US" w:eastAsia="zh-CN"/>
              </w:rPr>
              <w:t>5</w:t>
            </w:r>
            <w:r>
              <w:t xml:space="preserve">  </w:t>
            </w:r>
            <w:r>
              <w:rPr>
                <w:rFonts w:hint="eastAsia"/>
              </w:rPr>
              <w:t>现有项目</w:t>
            </w:r>
            <w:r>
              <w:rPr>
                <w:rFonts w:hint="eastAsia"/>
                <w:b/>
                <w:sz w:val="21"/>
                <w:szCs w:val="21"/>
                <w:lang w:eastAsia="zh-CN"/>
              </w:rPr>
              <w:t>微注塑</w:t>
            </w:r>
            <w:r>
              <w:rPr>
                <w:rFonts w:hint="eastAsia" w:ascii="Times New Roman" w:hAnsi="Times New Roman"/>
                <w:b/>
                <w:sz w:val="21"/>
                <w:szCs w:val="21"/>
                <w:lang w:eastAsia="zh-CN"/>
              </w:rPr>
              <w:t>零件</w:t>
            </w:r>
            <w:r>
              <w:rPr>
                <w:rFonts w:hint="eastAsia"/>
              </w:rPr>
              <w:t>生产工艺流程图</w:t>
            </w:r>
          </w:p>
          <w:p>
            <w:pPr>
              <w:pStyle w:val="29"/>
              <w:ind w:firstLine="482"/>
              <w:rPr>
                <w:rFonts w:hint="eastAsia"/>
                <w:b/>
                <w:bCs/>
              </w:rPr>
            </w:pPr>
          </w:p>
          <w:p>
            <w:pPr>
              <w:pStyle w:val="29"/>
              <w:ind w:firstLine="482"/>
              <w:rPr>
                <w:b/>
                <w:bCs/>
              </w:rPr>
            </w:pPr>
            <w:r>
              <w:rPr>
                <w:rFonts w:hint="eastAsia"/>
                <w:b/>
                <w:bCs/>
              </w:rPr>
              <w:t>现有</w:t>
            </w:r>
            <w:r>
              <w:rPr>
                <w:rFonts w:hint="eastAsia"/>
                <w:b/>
                <w:bCs/>
                <w:lang w:eastAsia="zh-CN"/>
              </w:rPr>
              <w:t>项目微注塑零件</w:t>
            </w:r>
            <w:r>
              <w:rPr>
                <w:rFonts w:hint="eastAsia"/>
                <w:b/>
                <w:bCs/>
              </w:rPr>
              <w:t>主要生产工艺流程：</w:t>
            </w:r>
          </w:p>
          <w:p>
            <w:pPr>
              <w:pStyle w:val="54"/>
              <w:spacing w:after="220" w:line="360" w:lineRule="auto"/>
              <w:ind w:firstLine="482"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注塑：</w:t>
            </w:r>
            <w:r>
              <w:rPr>
                <w:rFonts w:hint="eastAsia" w:ascii="Times New Roman" w:hAnsi="Times New Roman" w:eastAsia="宋体" w:cs="Times New Roman"/>
                <w:b w:val="0"/>
                <w:bCs w:val="0"/>
                <w:kern w:val="2"/>
                <w:sz w:val="24"/>
                <w:szCs w:val="24"/>
                <w:lang w:val="en-US" w:eastAsia="zh-CN" w:bidi="ar-SA"/>
              </w:rPr>
              <w:t>外购进厂的塑料粒子</w:t>
            </w:r>
            <w:r>
              <w:rPr>
                <w:rFonts w:hint="default" w:ascii="Times New Roman" w:hAnsi="Times New Roman" w:eastAsia="宋体" w:cs="Times New Roman"/>
                <w:b w:val="0"/>
                <w:bCs w:val="0"/>
                <w:kern w:val="2"/>
                <w:sz w:val="24"/>
                <w:szCs w:val="24"/>
                <w:lang w:val="en-US" w:eastAsia="zh-CN" w:bidi="ar-SA"/>
              </w:rPr>
              <w:t>PP</w:t>
            </w:r>
            <w:r>
              <w:rPr>
                <w:rFonts w:hint="eastAsia" w:ascii="Times New Roman" w:hAnsi="Times New Roman" w:eastAsia="宋体" w:cs="Times New Roman"/>
                <w:b w:val="0"/>
                <w:bCs w:val="0"/>
                <w:kern w:val="2"/>
                <w:sz w:val="24"/>
                <w:szCs w:val="24"/>
                <w:lang w:val="en-US" w:eastAsia="zh-CN" w:bidi="ar-SA"/>
              </w:rPr>
              <w:t>利用注塑机进行加热、融熔、增压等过程的成型，注塑机螺杆的转速为</w:t>
            </w:r>
            <w:r>
              <w:rPr>
                <w:rFonts w:hint="default" w:ascii="Times New Roman" w:hAnsi="Times New Roman" w:eastAsia="宋体" w:cs="Times New Roman"/>
                <w:b w:val="0"/>
                <w:bCs w:val="0"/>
                <w:kern w:val="2"/>
                <w:sz w:val="24"/>
                <w:szCs w:val="24"/>
                <w:lang w:val="en-US" w:eastAsia="zh-CN" w:bidi="ar-SA"/>
              </w:rPr>
              <w:t>2000</w:t>
            </w:r>
            <w:r>
              <w:rPr>
                <w:rFonts w:hint="eastAsia" w:ascii="Times New Roman" w:hAnsi="Times New Roman" w:eastAsia="宋体" w:cs="Times New Roman"/>
                <w:b w:val="0"/>
                <w:bCs w:val="0"/>
                <w:kern w:val="2"/>
                <w:sz w:val="24"/>
                <w:szCs w:val="24"/>
                <w:lang w:val="en-US" w:eastAsia="zh-CN" w:bidi="ar-SA"/>
              </w:rPr>
              <w:t>转/分钟，以此来控制充料速度和移动速度（射出速度），温度约</w:t>
            </w:r>
            <w:r>
              <w:rPr>
                <w:rFonts w:hint="default" w:ascii="Times New Roman" w:hAnsi="Times New Roman" w:eastAsia="宋体" w:cs="Times New Roman"/>
                <w:b w:val="0"/>
                <w:bCs w:val="0"/>
                <w:kern w:val="2"/>
                <w:sz w:val="24"/>
                <w:szCs w:val="24"/>
                <w:lang w:val="en-US" w:eastAsia="zh-CN" w:bidi="ar-SA"/>
              </w:rPr>
              <w:t>210-220℃</w:t>
            </w:r>
            <w:r>
              <w:rPr>
                <w:rFonts w:hint="eastAsia" w:ascii="Times New Roman" w:hAnsi="Times New Roman" w:eastAsia="宋体" w:cs="Times New Roman"/>
                <w:b w:val="0"/>
                <w:bCs w:val="0"/>
                <w:kern w:val="2"/>
                <w:sz w:val="24"/>
                <w:szCs w:val="24"/>
                <w:lang w:val="en-US" w:eastAsia="zh-CN" w:bidi="ar-SA"/>
              </w:rPr>
              <w:t>，该工序产生注塑废气</w:t>
            </w:r>
            <w:r>
              <w:rPr>
                <w:rFonts w:hint="default" w:ascii="Times New Roman" w:hAnsi="Times New Roman" w:eastAsia="宋体" w:cs="Times New Roman"/>
                <w:b w:val="0"/>
                <w:bCs w:val="0"/>
                <w:kern w:val="2"/>
                <w:sz w:val="24"/>
                <w:szCs w:val="24"/>
                <w:lang w:val="en-US" w:eastAsia="zh-CN" w:bidi="ar-SA"/>
              </w:rPr>
              <w:t>G2</w:t>
            </w:r>
            <w:r>
              <w:rPr>
                <w:rFonts w:hint="eastAsia" w:ascii="Times New Roman" w:hAnsi="Times New Roman" w:eastAsia="宋体" w:cs="Times New Roman"/>
                <w:b w:val="0"/>
                <w:bCs w:val="0"/>
                <w:kern w:val="2"/>
                <w:sz w:val="24"/>
                <w:szCs w:val="24"/>
                <w:lang w:val="en-US" w:eastAsia="zh-CN" w:bidi="ar-SA"/>
              </w:rPr>
              <w:t>。</w:t>
            </w:r>
          </w:p>
          <w:p>
            <w:pPr>
              <w:pStyle w:val="54"/>
              <w:spacing w:after="220" w:line="360" w:lineRule="auto"/>
              <w:ind w:firstLine="482"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检测/包装：</w:t>
            </w:r>
            <w:r>
              <w:rPr>
                <w:rFonts w:hint="eastAsia" w:ascii="Times New Roman" w:hAnsi="Times New Roman" w:eastAsia="宋体" w:cs="Times New Roman"/>
                <w:b w:val="0"/>
                <w:bCs w:val="0"/>
                <w:kern w:val="2"/>
                <w:sz w:val="24"/>
                <w:szCs w:val="24"/>
                <w:lang w:val="en-US" w:eastAsia="zh-CN" w:bidi="ar-SA"/>
              </w:rPr>
              <w:t>最终产品经检验，产生不合格品</w:t>
            </w:r>
            <w:r>
              <w:rPr>
                <w:rFonts w:hint="default" w:ascii="Times New Roman" w:hAnsi="Times New Roman" w:eastAsia="宋体" w:cs="Times New Roman"/>
                <w:b w:val="0"/>
                <w:bCs w:val="0"/>
                <w:kern w:val="2"/>
                <w:sz w:val="24"/>
                <w:szCs w:val="24"/>
                <w:lang w:val="en-US" w:eastAsia="zh-CN" w:bidi="ar-SA"/>
              </w:rPr>
              <w:t>S6</w:t>
            </w:r>
            <w:r>
              <w:rPr>
                <w:rFonts w:hint="eastAsia" w:ascii="Times New Roman" w:hAnsi="Times New Roman" w:eastAsia="宋体" w:cs="Times New Roman"/>
                <w:b w:val="0"/>
                <w:bCs w:val="0"/>
                <w:kern w:val="2"/>
                <w:sz w:val="24"/>
                <w:szCs w:val="24"/>
                <w:lang w:val="en-US" w:eastAsia="zh-CN" w:bidi="ar-SA"/>
              </w:rPr>
              <w:t>；合格的包装入库。</w:t>
            </w:r>
          </w:p>
          <w:p>
            <w:pPr>
              <w:pStyle w:val="29"/>
              <w:ind w:firstLine="480"/>
            </w:pPr>
          </w:p>
          <w:p>
            <w:pPr>
              <w:pStyle w:val="12"/>
            </w:pPr>
            <w:r>
              <w:drawing>
                <wp:inline distT="0" distB="0" distL="114300" distR="114300">
                  <wp:extent cx="3911600" cy="1030605"/>
                  <wp:effectExtent l="0" t="0" r="12700" b="171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3911600" cy="1030605"/>
                          </a:xfrm>
                          <a:prstGeom prst="rect">
                            <a:avLst/>
                          </a:prstGeom>
                          <a:noFill/>
                          <a:ln>
                            <a:noFill/>
                          </a:ln>
                        </pic:spPr>
                      </pic:pic>
                    </a:graphicData>
                  </a:graphic>
                </wp:inline>
              </w:drawing>
            </w:r>
          </w:p>
          <w:p>
            <w:pPr>
              <w:pStyle w:val="12"/>
            </w:pPr>
          </w:p>
          <w:p>
            <w:pPr>
              <w:pStyle w:val="12"/>
            </w:pPr>
            <w:r>
              <w:rPr>
                <w:rFonts w:hint="eastAsia"/>
              </w:rPr>
              <w:t>图</w:t>
            </w:r>
            <w:r>
              <w:t>2-</w:t>
            </w:r>
            <w:r>
              <w:rPr>
                <w:rFonts w:hint="eastAsia"/>
                <w:lang w:val="en-US" w:eastAsia="zh-CN"/>
              </w:rPr>
              <w:t>6</w:t>
            </w:r>
            <w:r>
              <w:t xml:space="preserve">  </w:t>
            </w:r>
            <w:r>
              <w:rPr>
                <w:rFonts w:hint="eastAsia"/>
              </w:rPr>
              <w:t>现有项目</w:t>
            </w:r>
            <w:r>
              <w:rPr>
                <w:rFonts w:hint="eastAsia"/>
                <w:b/>
                <w:sz w:val="21"/>
                <w:szCs w:val="21"/>
                <w:lang w:eastAsia="zh-CN"/>
              </w:rPr>
              <w:t>装配</w:t>
            </w:r>
            <w:r>
              <w:rPr>
                <w:rFonts w:hint="eastAsia" w:ascii="Times New Roman" w:hAnsi="Times New Roman"/>
                <w:b/>
                <w:sz w:val="21"/>
                <w:szCs w:val="21"/>
                <w:lang w:eastAsia="zh-CN"/>
              </w:rPr>
              <w:t>零件</w:t>
            </w:r>
            <w:r>
              <w:rPr>
                <w:rFonts w:hint="eastAsia"/>
              </w:rPr>
              <w:t>生产工艺流程图</w:t>
            </w:r>
          </w:p>
          <w:p>
            <w:pPr>
              <w:pStyle w:val="29"/>
              <w:ind w:firstLine="482"/>
              <w:rPr>
                <w:rFonts w:hint="eastAsia"/>
                <w:b/>
                <w:bCs/>
              </w:rPr>
            </w:pPr>
          </w:p>
          <w:p>
            <w:pPr>
              <w:pStyle w:val="29"/>
              <w:ind w:firstLine="482"/>
              <w:rPr>
                <w:b/>
                <w:bCs/>
              </w:rPr>
            </w:pPr>
            <w:r>
              <w:rPr>
                <w:rFonts w:hint="eastAsia"/>
                <w:b/>
                <w:bCs/>
              </w:rPr>
              <w:t>现有</w:t>
            </w:r>
            <w:r>
              <w:rPr>
                <w:rFonts w:hint="eastAsia"/>
                <w:b/>
                <w:bCs/>
                <w:lang w:eastAsia="zh-CN"/>
              </w:rPr>
              <w:t>项目装配零件</w:t>
            </w:r>
            <w:r>
              <w:rPr>
                <w:rFonts w:hint="eastAsia"/>
                <w:b/>
                <w:bCs/>
              </w:rPr>
              <w:t>主要生产工艺流程：</w:t>
            </w:r>
          </w:p>
          <w:p>
            <w:pPr>
              <w:pStyle w:val="54"/>
              <w:spacing w:after="220" w:line="360" w:lineRule="auto"/>
              <w:ind w:firstLine="482"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装配：</w:t>
            </w:r>
            <w:r>
              <w:rPr>
                <w:rFonts w:hint="eastAsia" w:ascii="Times New Roman" w:hAnsi="Times New Roman" w:eastAsia="宋体" w:cs="Times New Roman"/>
                <w:b w:val="0"/>
                <w:bCs w:val="0"/>
                <w:kern w:val="2"/>
                <w:sz w:val="24"/>
                <w:szCs w:val="24"/>
                <w:lang w:val="en-US" w:eastAsia="zh-CN" w:bidi="ar-SA"/>
              </w:rPr>
              <w:t>外购进厂的需要装配的塑料件和金属件进厂后利用人工手工进行组装，含穿 线、装夹、剥线皮、折弯压线和固定电极等，之后利用激光焊接机进行点焊，采用激光 发出高能的光束准确的将需要焊接的部位进行高能熔化接线，该工序产生焊接烟尘G3。</w:t>
            </w:r>
          </w:p>
          <w:p>
            <w:pPr>
              <w:pStyle w:val="54"/>
              <w:spacing w:after="220" w:line="360" w:lineRule="auto"/>
              <w:ind w:firstLine="482"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清洗：</w:t>
            </w:r>
            <w:r>
              <w:rPr>
                <w:rFonts w:hint="eastAsia" w:ascii="Times New Roman" w:hAnsi="Times New Roman" w:eastAsia="宋体" w:cs="Times New Roman"/>
                <w:b w:val="0"/>
                <w:bCs w:val="0"/>
                <w:kern w:val="2"/>
                <w:sz w:val="24"/>
                <w:szCs w:val="24"/>
                <w:lang w:val="en-US" w:eastAsia="zh-CN" w:bidi="ar-SA"/>
              </w:rPr>
              <w:t>去毛刺后的产品进入清洗机进行清洗，利用酒精与水配置的清洗液对工件表 面进行清洗，过滤出产品后以上清洗液可重复利用，定期作危废委外处理，同时酒精使用产生挥发废气G4。</w:t>
            </w:r>
          </w:p>
          <w:p>
            <w:pPr>
              <w:pStyle w:val="54"/>
              <w:spacing w:after="220" w:line="360" w:lineRule="auto"/>
              <w:ind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检测/包装：</w:t>
            </w:r>
            <w:r>
              <w:rPr>
                <w:rFonts w:hint="eastAsia" w:ascii="Times New Roman" w:hAnsi="Times New Roman" w:eastAsia="宋体" w:cs="Times New Roman"/>
                <w:b w:val="0"/>
                <w:bCs w:val="0"/>
                <w:kern w:val="2"/>
                <w:sz w:val="24"/>
                <w:szCs w:val="24"/>
                <w:lang w:val="en-US" w:eastAsia="zh-CN" w:bidi="ar-SA"/>
              </w:rPr>
              <w:t>最终产品经检验，产生不合格品S8；合格的包装入库。</w:t>
            </w:r>
          </w:p>
          <w:p>
            <w:pPr>
              <w:pStyle w:val="29"/>
              <w:ind w:firstLine="480"/>
            </w:pPr>
          </w:p>
          <w:p>
            <w:pPr>
              <w:pStyle w:val="14"/>
            </w:pPr>
          </w:p>
          <w:p>
            <w:pPr>
              <w:pStyle w:val="14"/>
              <w:jc w:val="center"/>
            </w:pPr>
            <w:r>
              <w:drawing>
                <wp:inline distT="0" distB="0" distL="114300" distR="114300">
                  <wp:extent cx="3421380" cy="1052195"/>
                  <wp:effectExtent l="0" t="0" r="7620"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3421380" cy="1052195"/>
                          </a:xfrm>
                          <a:prstGeom prst="rect">
                            <a:avLst/>
                          </a:prstGeom>
                          <a:noFill/>
                          <a:ln>
                            <a:noFill/>
                          </a:ln>
                        </pic:spPr>
                      </pic:pic>
                    </a:graphicData>
                  </a:graphic>
                </wp:inline>
              </w:drawing>
            </w:r>
          </w:p>
          <w:p>
            <w:pPr>
              <w:jc w:val="center"/>
              <w:rPr>
                <w:rFonts w:hint="eastAsia" w:ascii="Times New Roman" w:hAnsi="Times New Roman" w:eastAsiaTheme="minorEastAsia" w:cstheme="minorBidi"/>
                <w:b/>
                <w:bCs/>
                <w:kern w:val="28"/>
                <w:sz w:val="24"/>
                <w:szCs w:val="32"/>
                <w:lang w:val="en-US" w:eastAsia="zh-CN" w:bidi="ar-SA"/>
              </w:rPr>
            </w:pPr>
            <w:r>
              <w:rPr>
                <w:rFonts w:hint="eastAsia" w:ascii="Times New Roman" w:hAnsi="Times New Roman" w:eastAsiaTheme="minorEastAsia" w:cstheme="minorBidi"/>
                <w:b/>
                <w:bCs/>
                <w:kern w:val="28"/>
                <w:sz w:val="24"/>
                <w:szCs w:val="32"/>
                <w:lang w:val="en-US" w:eastAsia="zh-CN" w:bidi="ar-SA"/>
              </w:rPr>
              <w:t>图2-7  现有项目配套实验室生产工艺流程图</w:t>
            </w:r>
          </w:p>
          <w:p>
            <w:pPr>
              <w:pStyle w:val="29"/>
              <w:ind w:left="0" w:leftChars="0" w:firstLine="0" w:firstLineChars="0"/>
              <w:rPr>
                <w:b/>
                <w:bCs/>
              </w:rPr>
            </w:pPr>
            <w:r>
              <w:rPr>
                <w:rFonts w:hint="eastAsia"/>
                <w:b/>
                <w:bCs/>
              </w:rPr>
              <w:t>现有</w:t>
            </w:r>
            <w:r>
              <w:rPr>
                <w:rFonts w:hint="eastAsia"/>
                <w:b/>
                <w:bCs/>
                <w:lang w:eastAsia="zh-CN"/>
              </w:rPr>
              <w:t>项目配套实验室</w:t>
            </w:r>
            <w:r>
              <w:rPr>
                <w:rFonts w:hint="eastAsia"/>
                <w:b/>
                <w:bCs/>
              </w:rPr>
              <w:t>主要生产工艺流程：</w:t>
            </w:r>
          </w:p>
          <w:p>
            <w:pPr>
              <w:pStyle w:val="54"/>
              <w:spacing w:after="220" w:line="360" w:lineRule="auto"/>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首先由实验人员对洁净车间的空气或纯水进行取样，取样后送入实验室，在加入了培养基的细菌培养箱中进行培养（根据实验要求不同，釆用的培养基不同），控制培养 箱温度至</w:t>
            </w:r>
            <w:r>
              <w:rPr>
                <w:rFonts w:hint="default" w:ascii="Times New Roman" w:hAnsi="Times New Roman" w:eastAsia="宋体" w:cs="Times New Roman"/>
                <w:b w:val="0"/>
                <w:bCs w:val="0"/>
                <w:kern w:val="2"/>
                <w:sz w:val="24"/>
                <w:szCs w:val="24"/>
                <w:lang w:val="en-US" w:eastAsia="zh-CN" w:bidi="ar-SA"/>
              </w:rPr>
              <w:t>35-38℃</w:t>
            </w:r>
            <w:r>
              <w:rPr>
                <w:rFonts w:hint="eastAsia" w:ascii="Times New Roman" w:hAnsi="Times New Roman" w:eastAsia="宋体" w:cs="Times New Roman"/>
                <w:b w:val="0"/>
                <w:bCs w:val="0"/>
                <w:kern w:val="2"/>
                <w:sz w:val="24"/>
                <w:szCs w:val="24"/>
                <w:lang w:val="en-US" w:eastAsia="zh-CN" w:bidi="ar-SA"/>
              </w:rPr>
              <w:t>,培养周期为</w:t>
            </w:r>
            <w:r>
              <w:rPr>
                <w:rFonts w:hint="default" w:ascii="Times New Roman" w:hAnsi="Times New Roman" w:eastAsia="宋体" w:cs="Times New Roman"/>
                <w:b w:val="0"/>
                <w:bCs w:val="0"/>
                <w:kern w:val="2"/>
                <w:sz w:val="24"/>
                <w:szCs w:val="24"/>
                <w:lang w:val="en-US" w:eastAsia="zh-CN" w:bidi="ar-SA"/>
              </w:rPr>
              <w:t>24-48h</w:t>
            </w:r>
            <w:r>
              <w:rPr>
                <w:rFonts w:hint="eastAsia" w:ascii="Times New Roman" w:hAnsi="Times New Roman" w:eastAsia="宋体" w:cs="Times New Roman"/>
                <w:b w:val="0"/>
                <w:bCs w:val="0"/>
                <w:kern w:val="2"/>
                <w:sz w:val="24"/>
                <w:szCs w:val="24"/>
                <w:lang w:val="en-US" w:eastAsia="zh-CN" w:bidi="ar-SA"/>
              </w:rPr>
              <w:t>，培养完成后取出进行细菌平板计数，随后对照 需求进行比对，看是否符合工艺要求，随后进行高压灭菌处理，该过程产生实验室清洗废液</w:t>
            </w:r>
            <w:r>
              <w:rPr>
                <w:rFonts w:hint="default" w:ascii="Times New Roman" w:hAnsi="Times New Roman" w:eastAsia="宋体" w:cs="Times New Roman"/>
                <w:b w:val="0"/>
                <w:bCs w:val="0"/>
                <w:kern w:val="2"/>
                <w:sz w:val="24"/>
                <w:szCs w:val="24"/>
                <w:lang w:val="en-US" w:eastAsia="zh-CN" w:bidi="ar-SA"/>
              </w:rPr>
              <w:t>W1</w:t>
            </w:r>
            <w:r>
              <w:rPr>
                <w:rFonts w:hint="eastAsia" w:ascii="Times New Roman" w:hAnsi="Times New Roman" w:eastAsia="宋体" w:cs="Times New Roman"/>
                <w:b w:val="0"/>
                <w:bCs w:val="0"/>
                <w:kern w:val="2"/>
                <w:sz w:val="24"/>
                <w:szCs w:val="24"/>
                <w:lang w:val="en-US" w:eastAsia="zh-CN" w:bidi="ar-SA"/>
              </w:rPr>
              <w:t>（含废培养基）。</w:t>
            </w:r>
          </w:p>
          <w:p>
            <w:pPr>
              <w:pStyle w:val="14"/>
            </w:pPr>
          </w:p>
          <w:p>
            <w:pPr>
              <w:pStyle w:val="14"/>
            </w:pPr>
            <w:r>
              <w:rPr>
                <w:rFonts w:hint="eastAsia"/>
              </w:rPr>
              <w:t>4、现有项目污染治理措施及污染物产生排放情况</w:t>
            </w:r>
          </w:p>
          <w:p>
            <w:pPr>
              <w:rPr>
                <w:color w:val="auto"/>
              </w:rPr>
            </w:pPr>
            <w:r>
              <w:rPr>
                <w:rFonts w:hint="eastAsia"/>
                <w:color w:val="auto"/>
              </w:rPr>
              <w:t>（1）废气</w:t>
            </w:r>
          </w:p>
          <w:p>
            <w:pPr>
              <w:ind w:firstLine="480" w:firstLineChars="200"/>
              <w:rPr>
                <w:rFonts w:hint="default" w:eastAsia="宋体"/>
                <w:color w:val="auto"/>
                <w:lang w:val="en-US" w:eastAsia="zh-CN"/>
              </w:rPr>
            </w:pPr>
            <w:r>
              <w:rPr>
                <w:rFonts w:hint="eastAsia"/>
                <w:color w:val="auto"/>
              </w:rPr>
              <w:t>现有项目产生的废气主要为焊接过程产生的焊接烟尘、注塑废气及清洗废气，焊接烟尘经车间通风无组织排放</w:t>
            </w:r>
            <w:r>
              <w:rPr>
                <w:rFonts w:hint="eastAsia"/>
                <w:color w:val="auto"/>
                <w:lang w:eastAsia="zh-CN"/>
              </w:rPr>
              <w:t>；</w:t>
            </w:r>
            <w:r>
              <w:rPr>
                <w:rFonts w:hint="eastAsia"/>
                <w:color w:val="auto"/>
              </w:rPr>
              <w:t>注塑废气、清洗废气经一套二级活性炭吸附装置处理后经</w:t>
            </w:r>
            <w:r>
              <w:rPr>
                <w:rFonts w:hint="eastAsia"/>
                <w:color w:val="auto"/>
                <w:lang w:eastAsia="zh-CN"/>
              </w:rPr>
              <w:t>一根</w:t>
            </w:r>
            <w:r>
              <w:rPr>
                <w:rFonts w:hint="eastAsia"/>
                <w:color w:val="auto"/>
                <w:lang w:val="en-US" w:eastAsia="zh-CN"/>
              </w:rPr>
              <w:t>15m高排气筒#1排放。</w:t>
            </w:r>
          </w:p>
          <w:p>
            <w:r>
              <w:rPr>
                <w:rFonts w:hint="eastAsia"/>
              </w:rPr>
              <w:t>（</w:t>
            </w:r>
            <w:r>
              <w:t>2</w:t>
            </w:r>
            <w:r>
              <w:rPr>
                <w:rFonts w:hint="eastAsia"/>
              </w:rPr>
              <w:t>）废水</w:t>
            </w:r>
          </w:p>
          <w:p>
            <w:pPr>
              <w:pStyle w:val="29"/>
              <w:ind w:firstLine="480"/>
            </w:pPr>
            <w:r>
              <w:rPr>
                <w:rFonts w:hint="eastAsia"/>
              </w:rPr>
              <w:t>现有项目员工生活污水</w:t>
            </w:r>
            <w:r>
              <w:rPr>
                <w:rFonts w:hint="eastAsia"/>
                <w:lang w:eastAsia="zh-CN"/>
              </w:rPr>
              <w:t>、冷却系统排水及清洗废水</w:t>
            </w:r>
            <w:r>
              <w:rPr>
                <w:rFonts w:hint="eastAsia"/>
              </w:rPr>
              <w:t>接入市政管网排入</w:t>
            </w:r>
            <w:r>
              <w:rPr>
                <w:rFonts w:hint="eastAsia"/>
                <w:lang w:eastAsia="zh-CN"/>
              </w:rPr>
              <w:t>镇湖污水处理厂</w:t>
            </w:r>
            <w:r>
              <w:rPr>
                <w:rFonts w:hint="eastAsia"/>
              </w:rPr>
              <w:t>集中处理。</w:t>
            </w:r>
          </w:p>
          <w:p>
            <w:pPr>
              <w:pStyle w:val="29"/>
              <w:ind w:firstLine="480"/>
            </w:pPr>
            <w:r>
              <w:rPr>
                <w:rFonts w:hint="eastAsia"/>
              </w:rPr>
              <w:t>根据企业委托江苏</w:t>
            </w:r>
            <w:r>
              <w:rPr>
                <w:rFonts w:hint="eastAsia"/>
                <w:lang w:eastAsia="zh-CN"/>
              </w:rPr>
              <w:t>安诺检测</w:t>
            </w:r>
            <w:r>
              <w:rPr>
                <w:rFonts w:hint="eastAsia"/>
              </w:rPr>
              <w:t>技术有限公司于2</w:t>
            </w:r>
            <w:r>
              <w:t>021</w:t>
            </w:r>
            <w:r>
              <w:rPr>
                <w:rFonts w:hint="eastAsia"/>
              </w:rPr>
              <w:t>年</w:t>
            </w:r>
            <w:r>
              <w:rPr>
                <w:rFonts w:hint="eastAsia"/>
                <w:lang w:val="en-US" w:eastAsia="zh-CN"/>
              </w:rPr>
              <w:t>6</w:t>
            </w:r>
            <w:r>
              <w:rPr>
                <w:rFonts w:hint="eastAsia"/>
              </w:rPr>
              <w:t>月</w:t>
            </w:r>
            <w:r>
              <w:rPr>
                <w:rFonts w:hint="eastAsia"/>
                <w:lang w:val="en-US" w:eastAsia="zh-CN"/>
              </w:rPr>
              <w:t>24</w:t>
            </w:r>
            <w:r>
              <w:rPr>
                <w:rFonts w:hint="eastAsia"/>
              </w:rPr>
              <w:t>日出具的废水、厂界环境噪声检测报告（报告编号：</w:t>
            </w:r>
            <w:r>
              <w:rPr>
                <w:rFonts w:hint="eastAsia"/>
                <w:lang w:val="en-US" w:eastAsia="zh-CN"/>
              </w:rPr>
              <w:t>AN21060701</w:t>
            </w:r>
            <w:r>
              <w:rPr>
                <w:rFonts w:hint="eastAsia"/>
              </w:rPr>
              <w:t>），生活污水污染物浓度能够满足相应的排放标准，检测数据见下表。</w:t>
            </w:r>
          </w:p>
          <w:p>
            <w:pPr>
              <w:pStyle w:val="12"/>
            </w:pPr>
            <w:r>
              <w:rPr>
                <w:rStyle w:val="33"/>
                <w:rFonts w:hint="eastAsia" w:eastAsiaTheme="minorEastAsia" w:cstheme="minorBidi"/>
                <w:b/>
                <w:bCs/>
              </w:rPr>
              <w:t>表</w:t>
            </w:r>
            <w:r>
              <w:rPr>
                <w:rStyle w:val="33"/>
                <w:rFonts w:eastAsiaTheme="minorEastAsia" w:cstheme="minorBidi"/>
                <w:b/>
                <w:bCs/>
              </w:rPr>
              <w:t xml:space="preserve">2-8   </w:t>
            </w:r>
            <w:r>
              <w:rPr>
                <w:rStyle w:val="33"/>
                <w:rFonts w:hint="eastAsia" w:eastAsiaTheme="minorEastAsia" w:cstheme="minorBidi"/>
                <w:b/>
                <w:bCs/>
              </w:rPr>
              <w:t>现有项目生活废水检测结果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77"/>
              <w:gridCol w:w="1377"/>
              <w:gridCol w:w="1577"/>
              <w:gridCol w:w="1418"/>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vAlign w:val="center"/>
                </w:tcPr>
                <w:p>
                  <w:pPr>
                    <w:pStyle w:val="35"/>
                  </w:pPr>
                  <w:r>
                    <w:rPr>
                      <w:rFonts w:hint="eastAsia"/>
                    </w:rPr>
                    <w:t>采样点位</w:t>
                  </w:r>
                </w:p>
              </w:tc>
              <w:tc>
                <w:tcPr>
                  <w:tcW w:w="1377" w:type="dxa"/>
                  <w:vAlign w:val="center"/>
                </w:tcPr>
                <w:p>
                  <w:pPr>
                    <w:pStyle w:val="35"/>
                  </w:pPr>
                  <w:r>
                    <w:rPr>
                      <w:rFonts w:hint="eastAsia"/>
                    </w:rPr>
                    <w:t>采样日期</w:t>
                  </w:r>
                </w:p>
              </w:tc>
              <w:tc>
                <w:tcPr>
                  <w:tcW w:w="1377" w:type="dxa"/>
                  <w:vAlign w:val="center"/>
                </w:tcPr>
                <w:p>
                  <w:pPr>
                    <w:pStyle w:val="35"/>
                  </w:pPr>
                  <w:r>
                    <w:rPr>
                      <w:rFonts w:hint="eastAsia"/>
                    </w:rPr>
                    <w:t>检测项目</w:t>
                  </w:r>
                </w:p>
              </w:tc>
              <w:tc>
                <w:tcPr>
                  <w:tcW w:w="1577" w:type="dxa"/>
                  <w:vAlign w:val="center"/>
                </w:tcPr>
                <w:p>
                  <w:pPr>
                    <w:pStyle w:val="35"/>
                  </w:pPr>
                  <w:r>
                    <w:rPr>
                      <w:rFonts w:hint="eastAsia"/>
                    </w:rPr>
                    <w:t>检测值（mg</w:t>
                  </w:r>
                  <w:r>
                    <w:t>/L</w:t>
                  </w:r>
                  <w:r>
                    <w:rPr>
                      <w:rFonts w:hint="eastAsia"/>
                    </w:rPr>
                    <w:t>）</w:t>
                  </w:r>
                </w:p>
              </w:tc>
              <w:tc>
                <w:tcPr>
                  <w:tcW w:w="1418" w:type="dxa"/>
                  <w:vAlign w:val="center"/>
                </w:tcPr>
                <w:p>
                  <w:pPr>
                    <w:pStyle w:val="35"/>
                  </w:pPr>
                  <w:r>
                    <w:rPr>
                      <w:rFonts w:hint="eastAsia"/>
                    </w:rPr>
                    <w:t>标准限值（mg</w:t>
                  </w:r>
                  <w:r>
                    <w:t>/L</w:t>
                  </w:r>
                  <w:r>
                    <w:rPr>
                      <w:rFonts w:hint="eastAsia"/>
                    </w:rPr>
                    <w:t>）</w:t>
                  </w:r>
                </w:p>
              </w:tc>
              <w:tc>
                <w:tcPr>
                  <w:tcW w:w="1137" w:type="dxa"/>
                  <w:vAlign w:val="center"/>
                </w:tcPr>
                <w:p>
                  <w:pPr>
                    <w:pStyle w:val="35"/>
                  </w:pPr>
                  <w:r>
                    <w:rPr>
                      <w:rFonts w:hint="eastAsia"/>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vMerge w:val="restart"/>
                  <w:vAlign w:val="center"/>
                </w:tcPr>
                <w:p>
                  <w:pPr>
                    <w:pStyle w:val="35"/>
                    <w:rPr>
                      <w:rFonts w:hint="default" w:eastAsia="宋体"/>
                      <w:lang w:val="en-US" w:eastAsia="zh-CN"/>
                    </w:rPr>
                  </w:pPr>
                  <w:r>
                    <w:rPr>
                      <w:rFonts w:hint="eastAsia"/>
                      <w:lang w:eastAsia="zh-CN"/>
                    </w:rPr>
                    <w:t>废水处理设施排口</w:t>
                  </w:r>
                  <w:r>
                    <w:rPr>
                      <w:rFonts w:hint="eastAsia"/>
                      <w:lang w:val="en-US" w:eastAsia="zh-CN"/>
                    </w:rPr>
                    <w:t>S1</w:t>
                  </w:r>
                </w:p>
              </w:tc>
              <w:tc>
                <w:tcPr>
                  <w:tcW w:w="1377" w:type="dxa"/>
                  <w:vMerge w:val="restart"/>
                  <w:vAlign w:val="center"/>
                </w:tcPr>
                <w:p>
                  <w:pPr>
                    <w:pStyle w:val="35"/>
                    <w:rPr>
                      <w:rFonts w:hint="default" w:eastAsia="宋体"/>
                      <w:lang w:val="en-US" w:eastAsia="zh-CN"/>
                    </w:rPr>
                  </w:pPr>
                  <w:r>
                    <w:rPr>
                      <w:rFonts w:hint="eastAsia"/>
                    </w:rPr>
                    <w:t>2</w:t>
                  </w:r>
                  <w:r>
                    <w:t>021.06.</w:t>
                  </w:r>
                  <w:r>
                    <w:rPr>
                      <w:rFonts w:hint="eastAsia"/>
                      <w:lang w:val="en-US" w:eastAsia="zh-CN"/>
                    </w:rPr>
                    <w:t>10</w:t>
                  </w:r>
                </w:p>
              </w:tc>
              <w:tc>
                <w:tcPr>
                  <w:tcW w:w="1377" w:type="dxa"/>
                  <w:vAlign w:val="center"/>
                </w:tcPr>
                <w:p>
                  <w:pPr>
                    <w:pStyle w:val="35"/>
                  </w:pPr>
                  <w:r>
                    <w:rPr>
                      <w:rFonts w:hint="eastAsia"/>
                    </w:rPr>
                    <w:t>pH值</w:t>
                  </w:r>
                </w:p>
              </w:tc>
              <w:tc>
                <w:tcPr>
                  <w:tcW w:w="1577" w:type="dxa"/>
                  <w:vAlign w:val="center"/>
                </w:tcPr>
                <w:p>
                  <w:pPr>
                    <w:pStyle w:val="35"/>
                  </w:pPr>
                  <w:r>
                    <w:rPr>
                      <w:rFonts w:hint="eastAsia"/>
                    </w:rPr>
                    <w:t>6</w:t>
                  </w:r>
                  <w:r>
                    <w:t>-9</w:t>
                  </w:r>
                </w:p>
              </w:tc>
              <w:tc>
                <w:tcPr>
                  <w:tcW w:w="1418" w:type="dxa"/>
                  <w:vAlign w:val="center"/>
                </w:tcPr>
                <w:p>
                  <w:pPr>
                    <w:pStyle w:val="35"/>
                  </w:pPr>
                  <w:r>
                    <w:rPr>
                      <w:rFonts w:hint="eastAsia"/>
                    </w:rPr>
                    <w:t>6</w:t>
                  </w:r>
                  <w:r>
                    <w:t>-9</w:t>
                  </w:r>
                </w:p>
              </w:tc>
              <w:tc>
                <w:tcPr>
                  <w:tcW w:w="1137" w:type="dxa"/>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vMerge w:val="continue"/>
                  <w:vAlign w:val="center"/>
                </w:tcPr>
                <w:p>
                  <w:pPr>
                    <w:pStyle w:val="35"/>
                  </w:pPr>
                </w:p>
              </w:tc>
              <w:tc>
                <w:tcPr>
                  <w:tcW w:w="1377" w:type="dxa"/>
                  <w:vMerge w:val="continue"/>
                  <w:vAlign w:val="center"/>
                </w:tcPr>
                <w:p>
                  <w:pPr>
                    <w:pStyle w:val="35"/>
                  </w:pPr>
                </w:p>
              </w:tc>
              <w:tc>
                <w:tcPr>
                  <w:tcW w:w="1377" w:type="dxa"/>
                  <w:vAlign w:val="center"/>
                </w:tcPr>
                <w:p>
                  <w:pPr>
                    <w:pStyle w:val="35"/>
                  </w:pPr>
                  <w:r>
                    <w:rPr>
                      <w:rFonts w:hint="eastAsia"/>
                    </w:rPr>
                    <w:t>化学需氧量</w:t>
                  </w:r>
                </w:p>
              </w:tc>
              <w:tc>
                <w:tcPr>
                  <w:tcW w:w="1577" w:type="dxa"/>
                  <w:vAlign w:val="center"/>
                </w:tcPr>
                <w:p>
                  <w:pPr>
                    <w:pStyle w:val="35"/>
                    <w:rPr>
                      <w:rFonts w:hint="eastAsia"/>
                    </w:rPr>
                  </w:pPr>
                  <w:r>
                    <w:rPr>
                      <w:rFonts w:hint="eastAsia"/>
                      <w:lang w:val="en-US" w:eastAsia="zh-CN"/>
                    </w:rPr>
                    <w:t>432</w:t>
                  </w:r>
                </w:p>
              </w:tc>
              <w:tc>
                <w:tcPr>
                  <w:tcW w:w="1418" w:type="dxa"/>
                  <w:vAlign w:val="center"/>
                </w:tcPr>
                <w:p>
                  <w:pPr>
                    <w:pStyle w:val="35"/>
                    <w:rPr>
                      <w:rFonts w:hint="eastAsia"/>
                    </w:rPr>
                  </w:pPr>
                  <w:r>
                    <w:rPr>
                      <w:rFonts w:hint="eastAsia"/>
                      <w:lang w:eastAsia="zh-CN"/>
                    </w:rPr>
                    <w:t>500</w:t>
                  </w:r>
                </w:p>
              </w:tc>
              <w:tc>
                <w:tcPr>
                  <w:tcW w:w="1137" w:type="dxa"/>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6" w:type="dxa"/>
                  <w:vMerge w:val="continue"/>
                  <w:vAlign w:val="center"/>
                </w:tcPr>
                <w:p>
                  <w:pPr>
                    <w:pStyle w:val="35"/>
                  </w:pPr>
                </w:p>
              </w:tc>
              <w:tc>
                <w:tcPr>
                  <w:tcW w:w="1377" w:type="dxa"/>
                  <w:vMerge w:val="continue"/>
                  <w:vAlign w:val="center"/>
                </w:tcPr>
                <w:p>
                  <w:pPr>
                    <w:pStyle w:val="35"/>
                  </w:pPr>
                </w:p>
              </w:tc>
              <w:tc>
                <w:tcPr>
                  <w:tcW w:w="1377" w:type="dxa"/>
                  <w:vAlign w:val="center"/>
                </w:tcPr>
                <w:p>
                  <w:pPr>
                    <w:pStyle w:val="35"/>
                  </w:pPr>
                  <w:r>
                    <w:rPr>
                      <w:rFonts w:hint="eastAsia"/>
                    </w:rPr>
                    <w:t>悬浮物</w:t>
                  </w:r>
                </w:p>
              </w:tc>
              <w:tc>
                <w:tcPr>
                  <w:tcW w:w="1577" w:type="dxa"/>
                  <w:vAlign w:val="center"/>
                </w:tcPr>
                <w:p>
                  <w:pPr>
                    <w:pStyle w:val="35"/>
                    <w:rPr>
                      <w:rFonts w:hint="eastAsia"/>
                    </w:rPr>
                  </w:pPr>
                  <w:r>
                    <w:rPr>
                      <w:rFonts w:hint="eastAsia"/>
                      <w:lang w:val="en-US" w:eastAsia="zh-CN"/>
                    </w:rPr>
                    <w:t>254</w:t>
                  </w:r>
                </w:p>
              </w:tc>
              <w:tc>
                <w:tcPr>
                  <w:tcW w:w="1418" w:type="dxa"/>
                  <w:vAlign w:val="center"/>
                </w:tcPr>
                <w:p>
                  <w:pPr>
                    <w:pStyle w:val="35"/>
                    <w:rPr>
                      <w:rFonts w:hint="eastAsia"/>
                    </w:rPr>
                  </w:pPr>
                  <w:r>
                    <w:rPr>
                      <w:rFonts w:hint="eastAsia"/>
                      <w:lang w:eastAsia="zh-CN"/>
                    </w:rPr>
                    <w:t>400</w:t>
                  </w:r>
                </w:p>
              </w:tc>
              <w:tc>
                <w:tcPr>
                  <w:tcW w:w="1137" w:type="dxa"/>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vMerge w:val="continue"/>
                  <w:vAlign w:val="center"/>
                </w:tcPr>
                <w:p>
                  <w:pPr>
                    <w:pStyle w:val="35"/>
                  </w:pPr>
                </w:p>
              </w:tc>
              <w:tc>
                <w:tcPr>
                  <w:tcW w:w="1377" w:type="dxa"/>
                  <w:vMerge w:val="continue"/>
                  <w:vAlign w:val="center"/>
                </w:tcPr>
                <w:p>
                  <w:pPr>
                    <w:pStyle w:val="35"/>
                  </w:pPr>
                </w:p>
              </w:tc>
              <w:tc>
                <w:tcPr>
                  <w:tcW w:w="1377" w:type="dxa"/>
                  <w:vAlign w:val="center"/>
                </w:tcPr>
                <w:p>
                  <w:pPr>
                    <w:pStyle w:val="35"/>
                  </w:pPr>
                  <w:r>
                    <w:rPr>
                      <w:rFonts w:hint="eastAsia"/>
                    </w:rPr>
                    <w:t>氨氮</w:t>
                  </w:r>
                </w:p>
              </w:tc>
              <w:tc>
                <w:tcPr>
                  <w:tcW w:w="1577" w:type="dxa"/>
                  <w:vAlign w:val="center"/>
                </w:tcPr>
                <w:p>
                  <w:pPr>
                    <w:pStyle w:val="35"/>
                    <w:rPr>
                      <w:rFonts w:hint="eastAsia"/>
                    </w:rPr>
                  </w:pPr>
                  <w:r>
                    <w:rPr>
                      <w:rFonts w:hint="eastAsia"/>
                      <w:lang w:val="en-US" w:eastAsia="zh-CN"/>
                    </w:rPr>
                    <w:t>3.93</w:t>
                  </w:r>
                </w:p>
              </w:tc>
              <w:tc>
                <w:tcPr>
                  <w:tcW w:w="1418" w:type="dxa"/>
                  <w:vAlign w:val="center"/>
                </w:tcPr>
                <w:p>
                  <w:pPr>
                    <w:pStyle w:val="35"/>
                    <w:rPr>
                      <w:rFonts w:hint="eastAsia"/>
                    </w:rPr>
                  </w:pPr>
                  <w:r>
                    <w:rPr>
                      <w:rFonts w:hint="eastAsia"/>
                      <w:lang w:eastAsia="zh-CN"/>
                    </w:rPr>
                    <w:t>45</w:t>
                  </w:r>
                </w:p>
              </w:tc>
              <w:tc>
                <w:tcPr>
                  <w:tcW w:w="1137" w:type="dxa"/>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vMerge w:val="continue"/>
                  <w:vAlign w:val="center"/>
                </w:tcPr>
                <w:p>
                  <w:pPr>
                    <w:pStyle w:val="35"/>
                  </w:pPr>
                </w:p>
              </w:tc>
              <w:tc>
                <w:tcPr>
                  <w:tcW w:w="1377" w:type="dxa"/>
                  <w:vMerge w:val="continue"/>
                  <w:vAlign w:val="center"/>
                </w:tcPr>
                <w:p>
                  <w:pPr>
                    <w:pStyle w:val="35"/>
                  </w:pPr>
                </w:p>
              </w:tc>
              <w:tc>
                <w:tcPr>
                  <w:tcW w:w="1377" w:type="dxa"/>
                  <w:vAlign w:val="center"/>
                </w:tcPr>
                <w:p>
                  <w:pPr>
                    <w:pStyle w:val="35"/>
                  </w:pPr>
                  <w:r>
                    <w:rPr>
                      <w:rFonts w:hint="eastAsia"/>
                    </w:rPr>
                    <w:t>总磷</w:t>
                  </w:r>
                </w:p>
              </w:tc>
              <w:tc>
                <w:tcPr>
                  <w:tcW w:w="1577" w:type="dxa"/>
                  <w:vAlign w:val="center"/>
                </w:tcPr>
                <w:p>
                  <w:pPr>
                    <w:pStyle w:val="35"/>
                    <w:rPr>
                      <w:rFonts w:hint="eastAsia"/>
                    </w:rPr>
                  </w:pPr>
                  <w:r>
                    <w:rPr>
                      <w:rFonts w:hint="eastAsia"/>
                      <w:lang w:val="en-US" w:eastAsia="zh-CN"/>
                    </w:rPr>
                    <w:t>7.13</w:t>
                  </w:r>
                </w:p>
              </w:tc>
              <w:tc>
                <w:tcPr>
                  <w:tcW w:w="1418" w:type="dxa"/>
                  <w:vAlign w:val="center"/>
                </w:tcPr>
                <w:p>
                  <w:pPr>
                    <w:pStyle w:val="35"/>
                    <w:rPr>
                      <w:rFonts w:hint="eastAsia"/>
                    </w:rPr>
                  </w:pPr>
                  <w:r>
                    <w:rPr>
                      <w:rFonts w:hint="eastAsia"/>
                      <w:lang w:eastAsia="zh-CN"/>
                    </w:rPr>
                    <w:t>8</w:t>
                  </w:r>
                </w:p>
              </w:tc>
              <w:tc>
                <w:tcPr>
                  <w:tcW w:w="1137" w:type="dxa"/>
                  <w:vAlign w:val="center"/>
                </w:tcPr>
                <w:p>
                  <w:pPr>
                    <w:pStyle w:val="35"/>
                  </w:pPr>
                  <w:r>
                    <w:rPr>
                      <w:rFonts w:hint="eastAsia"/>
                    </w:rPr>
                    <w:t>达标</w:t>
                  </w:r>
                </w:p>
              </w:tc>
            </w:tr>
          </w:tbl>
          <w:p>
            <w:pPr>
              <w:pStyle w:val="29"/>
              <w:ind w:firstLine="480"/>
            </w:pPr>
            <w:r>
              <w:rPr>
                <w:rFonts w:hint="eastAsia"/>
              </w:rPr>
              <w:t>由上表可以看出，现有项目运行期间企业生活废水检测排放浓度满足《污水综合排放标准》（GB8978-1996）和《污水排入城镇下水道水质标准》（GB/T31962-2015）相关排放限值要求。</w:t>
            </w:r>
          </w:p>
          <w:p>
            <w:r>
              <w:rPr>
                <w:rFonts w:hint="eastAsia"/>
              </w:rPr>
              <w:t>（</w:t>
            </w:r>
            <w:r>
              <w:t>3</w:t>
            </w:r>
            <w:r>
              <w:rPr>
                <w:rFonts w:hint="eastAsia"/>
              </w:rPr>
              <w:t>）噪声</w:t>
            </w:r>
          </w:p>
          <w:p>
            <w:pPr>
              <w:pStyle w:val="29"/>
              <w:ind w:firstLine="480"/>
            </w:pPr>
            <w:r>
              <w:rPr>
                <w:rFonts w:hint="eastAsia"/>
              </w:rPr>
              <w:t>根据企业委托江苏</w:t>
            </w:r>
            <w:r>
              <w:rPr>
                <w:rFonts w:hint="eastAsia"/>
                <w:lang w:eastAsia="zh-CN"/>
              </w:rPr>
              <w:t>安诺检测</w:t>
            </w:r>
            <w:r>
              <w:rPr>
                <w:rFonts w:hint="eastAsia"/>
              </w:rPr>
              <w:t>技术有限公司于2</w:t>
            </w:r>
            <w:r>
              <w:t>021</w:t>
            </w:r>
            <w:r>
              <w:rPr>
                <w:rFonts w:hint="eastAsia"/>
              </w:rPr>
              <w:t>年</w:t>
            </w:r>
            <w:r>
              <w:rPr>
                <w:rFonts w:hint="eastAsia"/>
                <w:lang w:val="en-US" w:eastAsia="zh-CN"/>
              </w:rPr>
              <w:t>6</w:t>
            </w:r>
            <w:r>
              <w:rPr>
                <w:rFonts w:hint="eastAsia"/>
              </w:rPr>
              <w:t>月</w:t>
            </w:r>
            <w:r>
              <w:rPr>
                <w:rFonts w:hint="eastAsia"/>
                <w:lang w:val="en-US" w:eastAsia="zh-CN"/>
              </w:rPr>
              <w:t>24</w:t>
            </w:r>
            <w:r>
              <w:rPr>
                <w:rFonts w:hint="eastAsia"/>
              </w:rPr>
              <w:t>日出具的废水、厂界环境噪声检测报告（报告编号：</w:t>
            </w:r>
            <w:r>
              <w:rPr>
                <w:rFonts w:hint="eastAsia"/>
                <w:lang w:val="en-US" w:eastAsia="zh-CN"/>
              </w:rPr>
              <w:t>AN21060701</w:t>
            </w:r>
            <w:r>
              <w:rPr>
                <w:rFonts w:hint="eastAsia"/>
              </w:rPr>
              <w:t>），检测期间现有项目正常生产，厂界环境噪声检测结果见下表。</w:t>
            </w:r>
          </w:p>
          <w:p>
            <w:pPr>
              <w:pStyle w:val="12"/>
            </w:pPr>
            <w:r>
              <w:rPr>
                <w:rStyle w:val="33"/>
                <w:rFonts w:hint="eastAsia" w:eastAsiaTheme="minorEastAsia" w:cstheme="minorBidi"/>
                <w:b/>
                <w:bCs/>
              </w:rPr>
              <w:t>表</w:t>
            </w:r>
            <w:r>
              <w:rPr>
                <w:rStyle w:val="33"/>
                <w:rFonts w:eastAsiaTheme="minorEastAsia" w:cstheme="minorBidi"/>
                <w:b/>
                <w:bCs/>
              </w:rPr>
              <w:t xml:space="preserve">2-9   </w:t>
            </w:r>
            <w:r>
              <w:rPr>
                <w:rStyle w:val="33"/>
                <w:rFonts w:hint="eastAsia" w:eastAsiaTheme="minorEastAsia" w:cstheme="minorBidi"/>
                <w:b/>
                <w:bCs/>
              </w:rPr>
              <w:t>现有项目厂界环境噪声检测结果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2409"/>
              <w:gridCol w:w="4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restart"/>
                  <w:vAlign w:val="center"/>
                </w:tcPr>
                <w:p>
                  <w:pPr>
                    <w:pStyle w:val="35"/>
                  </w:pPr>
                  <w:r>
                    <w:rPr>
                      <w:rFonts w:hint="eastAsia"/>
                    </w:rPr>
                    <w:t>测点号</w:t>
                  </w:r>
                </w:p>
              </w:tc>
              <w:tc>
                <w:tcPr>
                  <w:tcW w:w="2409" w:type="dxa"/>
                  <w:vMerge w:val="restart"/>
                  <w:vAlign w:val="center"/>
                </w:tcPr>
                <w:p>
                  <w:pPr>
                    <w:pStyle w:val="35"/>
                  </w:pPr>
                  <w:r>
                    <w:rPr>
                      <w:rFonts w:hint="eastAsia"/>
                    </w:rPr>
                    <w:t>测点位置</w:t>
                  </w:r>
                </w:p>
              </w:tc>
              <w:tc>
                <w:tcPr>
                  <w:tcW w:w="4256" w:type="dxa"/>
                  <w:vAlign w:val="center"/>
                </w:tcPr>
                <w:p>
                  <w:pPr>
                    <w:pStyle w:val="35"/>
                  </w:pPr>
                  <w:r>
                    <w:rPr>
                      <w:rFonts w:hint="eastAsia"/>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Merge w:val="continue"/>
                  <w:vAlign w:val="center"/>
                </w:tcPr>
                <w:p>
                  <w:pPr>
                    <w:pStyle w:val="35"/>
                  </w:pPr>
                </w:p>
              </w:tc>
              <w:tc>
                <w:tcPr>
                  <w:tcW w:w="2409" w:type="dxa"/>
                  <w:vMerge w:val="continue"/>
                  <w:vAlign w:val="center"/>
                </w:tcPr>
                <w:p>
                  <w:pPr>
                    <w:pStyle w:val="35"/>
                  </w:pPr>
                </w:p>
              </w:tc>
              <w:tc>
                <w:tcPr>
                  <w:tcW w:w="4256" w:type="dxa"/>
                  <w:vAlign w:val="center"/>
                </w:tcPr>
                <w:p>
                  <w:pPr>
                    <w:pStyle w:val="35"/>
                  </w:pPr>
                  <w:r>
                    <w:rPr>
                      <w:rFonts w:hint="eastAsia"/>
                    </w:rPr>
                    <w:t>2</w:t>
                  </w:r>
                  <w:r>
                    <w:t>021</w:t>
                  </w:r>
                  <w:r>
                    <w:rPr>
                      <w:rFonts w:hint="eastAsia"/>
                    </w:rPr>
                    <w:t>年6月</w:t>
                  </w:r>
                  <w:r>
                    <w:rPr>
                      <w:rFonts w:hint="eastAsia"/>
                      <w:lang w:val="en-US" w:eastAsia="zh-CN"/>
                    </w:rPr>
                    <w:t>10</w:t>
                  </w:r>
                  <w:r>
                    <w:rPr>
                      <w:rFonts w:hint="eastAsia"/>
                    </w:rPr>
                    <w:t>日昼间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t>1#</w:t>
                  </w:r>
                </w:p>
              </w:tc>
              <w:tc>
                <w:tcPr>
                  <w:tcW w:w="2409" w:type="dxa"/>
                  <w:vAlign w:val="center"/>
                </w:tcPr>
                <w:p>
                  <w:pPr>
                    <w:pStyle w:val="35"/>
                  </w:pPr>
                  <w:r>
                    <w:rPr>
                      <w:rFonts w:hint="eastAsia"/>
                    </w:rPr>
                    <w:t>厂界外北侧1</w:t>
                  </w:r>
                  <w:r>
                    <w:t>m</w:t>
                  </w:r>
                </w:p>
              </w:tc>
              <w:tc>
                <w:tcPr>
                  <w:tcW w:w="4256" w:type="dxa"/>
                  <w:vAlign w:val="center"/>
                </w:tcPr>
                <w:p>
                  <w:pPr>
                    <w:pStyle w:val="35"/>
                    <w:rPr>
                      <w:rFonts w:hint="default" w:eastAsia="宋体"/>
                      <w:lang w:val="en-US" w:eastAsia="zh-CN"/>
                    </w:rPr>
                  </w:pPr>
                  <w:r>
                    <w:rPr>
                      <w:rFonts w:hint="eastAsia"/>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t>2#</w:t>
                  </w:r>
                </w:p>
              </w:tc>
              <w:tc>
                <w:tcPr>
                  <w:tcW w:w="2409" w:type="dxa"/>
                  <w:vAlign w:val="center"/>
                </w:tcPr>
                <w:p>
                  <w:pPr>
                    <w:pStyle w:val="35"/>
                  </w:pPr>
                  <w:r>
                    <w:rPr>
                      <w:rFonts w:hint="eastAsia"/>
                    </w:rPr>
                    <w:t>厂界外东侧1</w:t>
                  </w:r>
                  <w:r>
                    <w:t>m</w:t>
                  </w:r>
                </w:p>
              </w:tc>
              <w:tc>
                <w:tcPr>
                  <w:tcW w:w="4256" w:type="dxa"/>
                  <w:vAlign w:val="center"/>
                </w:tcPr>
                <w:p>
                  <w:pPr>
                    <w:pStyle w:val="35"/>
                    <w:rPr>
                      <w:rFonts w:hint="default" w:eastAsia="宋体"/>
                      <w:lang w:val="en-US" w:eastAsia="zh-CN"/>
                    </w:rPr>
                  </w:pPr>
                  <w:r>
                    <w:rPr>
                      <w:rFonts w:hint="eastAsia"/>
                      <w:lang w:val="en-US" w:eastAsia="zh-CN"/>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t>3#</w:t>
                  </w:r>
                </w:p>
              </w:tc>
              <w:tc>
                <w:tcPr>
                  <w:tcW w:w="2409" w:type="dxa"/>
                  <w:vAlign w:val="center"/>
                </w:tcPr>
                <w:p>
                  <w:pPr>
                    <w:pStyle w:val="35"/>
                  </w:pPr>
                  <w:r>
                    <w:rPr>
                      <w:rFonts w:hint="eastAsia"/>
                    </w:rPr>
                    <w:t>厂界外南侧1</w:t>
                  </w:r>
                  <w:r>
                    <w:t>m</w:t>
                  </w:r>
                </w:p>
              </w:tc>
              <w:tc>
                <w:tcPr>
                  <w:tcW w:w="4256" w:type="dxa"/>
                  <w:vAlign w:val="center"/>
                </w:tcPr>
                <w:p>
                  <w:pPr>
                    <w:pStyle w:val="35"/>
                    <w:rPr>
                      <w:rFonts w:hint="default" w:eastAsia="宋体"/>
                      <w:lang w:val="en-US" w:eastAsia="zh-CN"/>
                    </w:rPr>
                  </w:pPr>
                  <w:r>
                    <w:rPr>
                      <w:rFonts w:hint="eastAsia"/>
                      <w:lang w:val="en-US" w:eastAsia="zh-CN"/>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t>4#</w:t>
                  </w:r>
                </w:p>
              </w:tc>
              <w:tc>
                <w:tcPr>
                  <w:tcW w:w="2409" w:type="dxa"/>
                  <w:vAlign w:val="center"/>
                </w:tcPr>
                <w:p>
                  <w:pPr>
                    <w:pStyle w:val="35"/>
                  </w:pPr>
                  <w:r>
                    <w:rPr>
                      <w:rFonts w:hint="eastAsia"/>
                    </w:rPr>
                    <w:t>厂界外西侧1</w:t>
                  </w:r>
                  <w:r>
                    <w:t>m</w:t>
                  </w:r>
                </w:p>
              </w:tc>
              <w:tc>
                <w:tcPr>
                  <w:tcW w:w="4256" w:type="dxa"/>
                  <w:vAlign w:val="center"/>
                </w:tcPr>
                <w:p>
                  <w:pPr>
                    <w:pStyle w:val="35"/>
                    <w:rPr>
                      <w:rFonts w:hint="default" w:eastAsia="宋体"/>
                      <w:lang w:val="en-US" w:eastAsia="zh-CN"/>
                    </w:rPr>
                  </w:pPr>
                  <w:r>
                    <w:rPr>
                      <w:rFonts w:hint="eastAsia"/>
                      <w:lang w:val="en-US" w:eastAsia="zh-CN"/>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6" w:type="dxa"/>
                  <w:gridSpan w:val="2"/>
                  <w:vAlign w:val="center"/>
                </w:tcPr>
                <w:p>
                  <w:pPr>
                    <w:pStyle w:val="35"/>
                  </w:pPr>
                  <w:r>
                    <w:rPr>
                      <w:rFonts w:hint="eastAsia"/>
                    </w:rPr>
                    <w:t>3类标准</w:t>
                  </w:r>
                </w:p>
              </w:tc>
              <w:tc>
                <w:tcPr>
                  <w:tcW w:w="4256" w:type="dxa"/>
                  <w:vAlign w:val="center"/>
                </w:tcPr>
                <w:p>
                  <w:pPr>
                    <w:pStyle w:val="35"/>
                  </w:pPr>
                  <w:r>
                    <w:rPr>
                      <w:rFonts w:hint="eastAsia"/>
                    </w:rPr>
                    <w:t>6</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6" w:type="dxa"/>
                  <w:gridSpan w:val="2"/>
                  <w:vAlign w:val="center"/>
                </w:tcPr>
                <w:p>
                  <w:pPr>
                    <w:pStyle w:val="35"/>
                  </w:pPr>
                  <w:r>
                    <w:rPr>
                      <w:rFonts w:hint="eastAsia"/>
                    </w:rPr>
                    <w:t>气象条件</w:t>
                  </w:r>
                </w:p>
              </w:tc>
              <w:tc>
                <w:tcPr>
                  <w:tcW w:w="4256" w:type="dxa"/>
                  <w:vAlign w:val="center"/>
                </w:tcPr>
                <w:p>
                  <w:pPr>
                    <w:pStyle w:val="35"/>
                  </w:pPr>
                  <w:r>
                    <w:rPr>
                      <w:rFonts w:hint="eastAsia"/>
                    </w:rPr>
                    <w:t>昼间多云，风速</w:t>
                  </w:r>
                  <w:r>
                    <w:rPr>
                      <w:rFonts w:hint="eastAsia"/>
                      <w:lang w:val="en-US" w:eastAsia="zh-CN"/>
                    </w:rPr>
                    <w:t>3.1</w:t>
                  </w:r>
                  <w:r>
                    <w:t>m/s</w:t>
                  </w:r>
                </w:p>
              </w:tc>
            </w:tr>
          </w:tbl>
          <w:p>
            <w:pPr>
              <w:pStyle w:val="29"/>
              <w:ind w:firstLine="480"/>
            </w:pPr>
            <w:r>
              <w:rPr>
                <w:rFonts w:hint="eastAsia"/>
              </w:rPr>
              <w:t>上表结果表明，企业昼夜厂界环境等效A声级噪声值均达到《工业企业厂界环境噪声排放标准》（GB12348-2008）3类标准的要求。</w:t>
            </w:r>
          </w:p>
          <w:p>
            <w:r>
              <w:rPr>
                <w:rFonts w:hint="eastAsia"/>
              </w:rPr>
              <w:t>（4）固废</w:t>
            </w:r>
          </w:p>
          <w:p>
            <w:pPr>
              <w:pStyle w:val="29"/>
              <w:ind w:firstLine="480"/>
            </w:pPr>
            <w:r>
              <w:rPr>
                <w:rFonts w:hint="eastAsia"/>
              </w:rPr>
              <w:t>根据企业现有项目环评和验收报告，现有项目产生的固体废物主要为</w:t>
            </w:r>
            <w:r>
              <w:rPr>
                <w:rFonts w:hint="eastAsia"/>
                <w:lang w:eastAsia="zh-CN"/>
              </w:rPr>
              <w:t>不合格品、废包装、废机油、废切削液、废包装桶、废酸液、废清洗液、清洗废水、实验室清洗废液、废活性炭、生活垃圾</w:t>
            </w:r>
            <w:r>
              <w:rPr>
                <w:rFonts w:hint="eastAsia"/>
              </w:rPr>
              <w:t>等。</w:t>
            </w:r>
          </w:p>
          <w:p>
            <w:pPr>
              <w:pStyle w:val="12"/>
            </w:pPr>
            <w:r>
              <w:rPr>
                <w:rStyle w:val="33"/>
                <w:rFonts w:hint="eastAsia" w:eastAsiaTheme="minorEastAsia" w:cstheme="minorBidi"/>
                <w:b/>
                <w:bCs/>
              </w:rPr>
              <w:t>表</w:t>
            </w:r>
            <w:r>
              <w:rPr>
                <w:rStyle w:val="33"/>
                <w:rFonts w:eastAsiaTheme="minorEastAsia" w:cstheme="minorBidi"/>
                <w:b/>
                <w:bCs/>
              </w:rPr>
              <w:t xml:space="preserve">2-10   </w:t>
            </w:r>
            <w:r>
              <w:rPr>
                <w:rStyle w:val="33"/>
                <w:rFonts w:hint="eastAsia" w:eastAsiaTheme="minorEastAsia" w:cstheme="minorBidi"/>
                <w:b/>
                <w:bCs/>
              </w:rPr>
              <w:t>现有项目固体废物产生及处置情况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20"/>
              <w:gridCol w:w="680"/>
              <w:gridCol w:w="875"/>
              <w:gridCol w:w="975"/>
              <w:gridCol w:w="1439"/>
              <w:gridCol w:w="85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pPr>
                  <w:r>
                    <w:rPr>
                      <w:rFonts w:hint="eastAsia"/>
                    </w:rPr>
                    <w:t>序号</w:t>
                  </w:r>
                </w:p>
              </w:tc>
              <w:tc>
                <w:tcPr>
                  <w:tcW w:w="1320" w:type="dxa"/>
                  <w:vAlign w:val="center"/>
                </w:tcPr>
                <w:p>
                  <w:pPr>
                    <w:pStyle w:val="35"/>
                  </w:pPr>
                  <w:r>
                    <w:rPr>
                      <w:rFonts w:hint="eastAsia"/>
                    </w:rPr>
                    <w:t>固废名称</w:t>
                  </w:r>
                </w:p>
              </w:tc>
              <w:tc>
                <w:tcPr>
                  <w:tcW w:w="680" w:type="dxa"/>
                  <w:vAlign w:val="center"/>
                </w:tcPr>
                <w:p>
                  <w:pPr>
                    <w:pStyle w:val="35"/>
                  </w:pPr>
                  <w:r>
                    <w:rPr>
                      <w:rFonts w:hint="eastAsia"/>
                    </w:rPr>
                    <w:t>属性</w:t>
                  </w:r>
                </w:p>
              </w:tc>
              <w:tc>
                <w:tcPr>
                  <w:tcW w:w="875" w:type="dxa"/>
                  <w:vAlign w:val="center"/>
                </w:tcPr>
                <w:p>
                  <w:pPr>
                    <w:pStyle w:val="35"/>
                  </w:pPr>
                  <w:r>
                    <w:rPr>
                      <w:rFonts w:hint="eastAsia"/>
                    </w:rPr>
                    <w:t>形态</w:t>
                  </w:r>
                </w:p>
              </w:tc>
              <w:tc>
                <w:tcPr>
                  <w:tcW w:w="975" w:type="dxa"/>
                  <w:vAlign w:val="center"/>
                </w:tcPr>
                <w:p>
                  <w:pPr>
                    <w:pStyle w:val="35"/>
                  </w:pPr>
                  <w:r>
                    <w:rPr>
                      <w:rFonts w:hint="eastAsia"/>
                    </w:rPr>
                    <w:t>废物类别</w:t>
                  </w:r>
                </w:p>
              </w:tc>
              <w:tc>
                <w:tcPr>
                  <w:tcW w:w="1439" w:type="dxa"/>
                  <w:vAlign w:val="center"/>
                </w:tcPr>
                <w:p>
                  <w:pPr>
                    <w:pStyle w:val="35"/>
                  </w:pPr>
                  <w:r>
                    <w:rPr>
                      <w:rFonts w:hint="eastAsia"/>
                    </w:rPr>
                    <w:t>废物代码</w:t>
                  </w:r>
                </w:p>
              </w:tc>
              <w:tc>
                <w:tcPr>
                  <w:tcW w:w="850" w:type="dxa"/>
                  <w:vAlign w:val="center"/>
                </w:tcPr>
                <w:p>
                  <w:pPr>
                    <w:pStyle w:val="35"/>
                  </w:pPr>
                  <w:r>
                    <w:rPr>
                      <w:rFonts w:hint="eastAsia"/>
                    </w:rPr>
                    <w:t>产生量t/a</w:t>
                  </w:r>
                </w:p>
              </w:tc>
              <w:tc>
                <w:tcPr>
                  <w:tcW w:w="1421" w:type="dxa"/>
                  <w:vAlign w:val="center"/>
                </w:tcPr>
                <w:p>
                  <w:pPr>
                    <w:pStyle w:val="35"/>
                  </w:pPr>
                  <w:r>
                    <w:rPr>
                      <w:rFonts w:hint="eastAsia"/>
                    </w:rPr>
                    <w:t>处置处理方式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rPr>
                  </w:pPr>
                  <w:r>
                    <w:rPr>
                      <w:rFonts w:hint="eastAsia"/>
                    </w:rPr>
                    <w:t>1</w:t>
                  </w:r>
                </w:p>
              </w:tc>
              <w:tc>
                <w:tcPr>
                  <w:tcW w:w="1320" w:type="dxa"/>
                  <w:vAlign w:val="center"/>
                </w:tcPr>
                <w:p>
                  <w:pPr>
                    <w:pStyle w:val="35"/>
                    <w:rPr>
                      <w:rFonts w:hint="eastAsia"/>
                      <w:lang w:val="en-US" w:eastAsia="zh-CN"/>
                    </w:rPr>
                  </w:pPr>
                  <w:r>
                    <w:rPr>
                      <w:rFonts w:hint="eastAsia"/>
                      <w:lang w:eastAsia="zh-CN"/>
                    </w:rPr>
                    <w:t>不合格品</w:t>
                  </w:r>
                </w:p>
              </w:tc>
              <w:tc>
                <w:tcPr>
                  <w:tcW w:w="680" w:type="dxa"/>
                  <w:vMerge w:val="restart"/>
                  <w:vAlign w:val="center"/>
                </w:tcPr>
                <w:p>
                  <w:pPr>
                    <w:pStyle w:val="35"/>
                    <w:rPr>
                      <w:rFonts w:hint="eastAsia" w:eastAsia="宋体"/>
                      <w:lang w:eastAsia="zh-CN"/>
                    </w:rPr>
                  </w:pPr>
                  <w:r>
                    <w:rPr>
                      <w:rFonts w:hint="eastAsia"/>
                      <w:lang w:eastAsia="zh-CN"/>
                    </w:rPr>
                    <w:t>一般固废</w:t>
                  </w:r>
                </w:p>
              </w:tc>
              <w:tc>
                <w:tcPr>
                  <w:tcW w:w="875" w:type="dxa"/>
                  <w:vAlign w:val="center"/>
                </w:tcPr>
                <w:p>
                  <w:pPr>
                    <w:pStyle w:val="35"/>
                    <w:rPr>
                      <w:rFonts w:hint="eastAsia" w:eastAsia="宋体"/>
                      <w:lang w:eastAsia="zh-CN"/>
                    </w:rPr>
                  </w:pPr>
                  <w:r>
                    <w:rPr>
                      <w:rFonts w:hint="eastAsia"/>
                      <w:lang w:eastAsia="zh-CN"/>
                    </w:rPr>
                    <w:t>固</w:t>
                  </w:r>
                </w:p>
              </w:tc>
              <w:tc>
                <w:tcPr>
                  <w:tcW w:w="975" w:type="dxa"/>
                  <w:vAlign w:val="center"/>
                </w:tcPr>
                <w:p>
                  <w:pPr>
                    <w:pStyle w:val="35"/>
                    <w:rPr>
                      <w:rFonts w:hint="eastAsia" w:eastAsia="宋体"/>
                      <w:lang w:val="en-US" w:eastAsia="zh-CN"/>
                    </w:rPr>
                  </w:pPr>
                  <w:r>
                    <w:rPr>
                      <w:rFonts w:hint="eastAsia"/>
                      <w:lang w:val="en-US" w:eastAsia="zh-CN"/>
                    </w:rPr>
                    <w:t>/</w:t>
                  </w:r>
                </w:p>
              </w:tc>
              <w:tc>
                <w:tcPr>
                  <w:tcW w:w="1439" w:type="dxa"/>
                  <w:vAlign w:val="center"/>
                </w:tcPr>
                <w:p>
                  <w:pPr>
                    <w:pStyle w:val="35"/>
                    <w:rPr>
                      <w:rFonts w:hint="eastAsia"/>
                      <w:lang w:val="en-US" w:eastAsia="zh-CN"/>
                    </w:rPr>
                  </w:pPr>
                  <w:r>
                    <w:rPr>
                      <w:rFonts w:hint="eastAsia"/>
                      <w:lang w:val="en-US" w:eastAsia="zh-CN"/>
                    </w:rPr>
                    <w:t>99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0.2</w:t>
                  </w:r>
                </w:p>
              </w:tc>
              <w:tc>
                <w:tcPr>
                  <w:tcW w:w="1421" w:type="dxa"/>
                  <w:vMerge w:val="restart"/>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委托物资回收单位处理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rPr>
                  </w:pPr>
                  <w:r>
                    <w:rPr>
                      <w:rFonts w:hint="eastAsia"/>
                    </w:rPr>
                    <w:t>2</w:t>
                  </w:r>
                </w:p>
              </w:tc>
              <w:tc>
                <w:tcPr>
                  <w:tcW w:w="1320" w:type="dxa"/>
                  <w:vAlign w:val="center"/>
                </w:tcPr>
                <w:p>
                  <w:pPr>
                    <w:pStyle w:val="35"/>
                    <w:rPr>
                      <w:rFonts w:hint="eastAsia"/>
                      <w:lang w:val="en-US" w:eastAsia="zh-CN"/>
                    </w:rPr>
                  </w:pPr>
                  <w:r>
                    <w:rPr>
                      <w:rFonts w:hint="eastAsia"/>
                      <w:lang w:eastAsia="zh-CN"/>
                    </w:rPr>
                    <w:t>废包装</w:t>
                  </w:r>
                </w:p>
              </w:tc>
              <w:tc>
                <w:tcPr>
                  <w:tcW w:w="680" w:type="dxa"/>
                  <w:vMerge w:val="continue"/>
                  <w:vAlign w:val="center"/>
                </w:tcPr>
                <w:p>
                  <w:pPr>
                    <w:pStyle w:val="35"/>
                    <w:rPr>
                      <w:rFonts w:hint="eastAsia"/>
                    </w:rPr>
                  </w:pPr>
                </w:p>
              </w:tc>
              <w:tc>
                <w:tcPr>
                  <w:tcW w:w="875" w:type="dxa"/>
                  <w:vAlign w:val="center"/>
                </w:tcPr>
                <w:p>
                  <w:pPr>
                    <w:pStyle w:val="35"/>
                    <w:rPr>
                      <w:rFonts w:hint="eastAsia" w:eastAsia="宋体"/>
                      <w:lang w:eastAsia="zh-CN"/>
                    </w:rPr>
                  </w:pPr>
                  <w:r>
                    <w:rPr>
                      <w:rFonts w:hint="eastAsia"/>
                      <w:lang w:eastAsia="zh-CN"/>
                    </w:rPr>
                    <w:t>固</w:t>
                  </w:r>
                </w:p>
              </w:tc>
              <w:tc>
                <w:tcPr>
                  <w:tcW w:w="975" w:type="dxa"/>
                  <w:vAlign w:val="center"/>
                </w:tcPr>
                <w:p>
                  <w:pPr>
                    <w:pStyle w:val="35"/>
                    <w:rPr>
                      <w:rFonts w:hint="eastAsia" w:eastAsia="宋体"/>
                      <w:lang w:val="en-US" w:eastAsia="zh-CN"/>
                    </w:rPr>
                  </w:pPr>
                  <w:r>
                    <w:rPr>
                      <w:rFonts w:hint="eastAsia"/>
                      <w:lang w:val="en-US" w:eastAsia="zh-CN"/>
                    </w:rPr>
                    <w:t>/</w:t>
                  </w:r>
                </w:p>
              </w:tc>
              <w:tc>
                <w:tcPr>
                  <w:tcW w:w="1439" w:type="dxa"/>
                  <w:vAlign w:val="center"/>
                </w:tcPr>
                <w:p>
                  <w:pPr>
                    <w:pStyle w:val="35"/>
                    <w:rPr>
                      <w:rFonts w:hint="eastAsia"/>
                      <w:lang w:val="en-US" w:eastAsia="zh-CN"/>
                    </w:rPr>
                  </w:pPr>
                  <w:r>
                    <w:rPr>
                      <w:rFonts w:hint="eastAsia"/>
                      <w:lang w:val="en-US" w:eastAsia="zh-CN"/>
                    </w:rPr>
                    <w:t>99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02" w:type="dxa"/>
                  <w:vAlign w:val="center"/>
                </w:tcPr>
                <w:p>
                  <w:pPr>
                    <w:pStyle w:val="35"/>
                    <w:rPr>
                      <w:rFonts w:hint="eastAsia"/>
                    </w:rPr>
                  </w:pPr>
                  <w:r>
                    <w:rPr>
                      <w:rFonts w:hint="eastAsia"/>
                    </w:rPr>
                    <w:t>3</w:t>
                  </w:r>
                </w:p>
              </w:tc>
              <w:tc>
                <w:tcPr>
                  <w:tcW w:w="1320" w:type="dxa"/>
                  <w:vAlign w:val="center"/>
                </w:tcPr>
                <w:p>
                  <w:pPr>
                    <w:pStyle w:val="35"/>
                    <w:rPr>
                      <w:rFonts w:hint="eastAsia"/>
                      <w:lang w:val="en-US" w:eastAsia="zh-CN"/>
                    </w:rPr>
                  </w:pPr>
                  <w:r>
                    <w:rPr>
                      <w:rFonts w:hint="eastAsia"/>
                      <w:lang w:eastAsia="zh-CN"/>
                    </w:rPr>
                    <w:t>废机油</w:t>
                  </w:r>
                </w:p>
              </w:tc>
              <w:tc>
                <w:tcPr>
                  <w:tcW w:w="680" w:type="dxa"/>
                  <w:vMerge w:val="restart"/>
                  <w:vAlign w:val="center"/>
                </w:tcPr>
                <w:p>
                  <w:pPr>
                    <w:pStyle w:val="35"/>
                    <w:rPr>
                      <w:rFonts w:hint="eastAsia" w:eastAsia="宋体"/>
                      <w:lang w:eastAsia="zh-CN"/>
                    </w:rPr>
                  </w:pPr>
                  <w:r>
                    <w:rPr>
                      <w:rFonts w:hint="eastAsia"/>
                      <w:lang w:eastAsia="zh-CN"/>
                    </w:rPr>
                    <w:t>危险废物</w:t>
                  </w:r>
                </w:p>
              </w:tc>
              <w:tc>
                <w:tcPr>
                  <w:tcW w:w="875" w:type="dxa"/>
                  <w:vAlign w:val="center"/>
                </w:tcPr>
                <w:p>
                  <w:pPr>
                    <w:pStyle w:val="35"/>
                    <w:rPr>
                      <w:rFonts w:hint="eastAsia" w:eastAsia="宋体"/>
                      <w:lang w:eastAsia="zh-CN"/>
                    </w:rPr>
                  </w:pPr>
                  <w:r>
                    <w:rPr>
                      <w:rFonts w:hint="eastAsia"/>
                      <w:lang w:eastAsia="zh-CN"/>
                    </w:rPr>
                    <w:t>液</w:t>
                  </w:r>
                </w:p>
              </w:tc>
              <w:tc>
                <w:tcPr>
                  <w:tcW w:w="975" w:type="dxa"/>
                  <w:vAlign w:val="center"/>
                </w:tcPr>
                <w:p>
                  <w:pPr>
                    <w:pStyle w:val="35"/>
                    <w:rPr>
                      <w:rFonts w:hint="eastAsia"/>
                    </w:rPr>
                  </w:pPr>
                  <w:r>
                    <w:rPr>
                      <w:rFonts w:hint="eastAsia"/>
                      <w:lang w:val="en-US" w:eastAsia="zh-CN"/>
                    </w:rPr>
                    <w:t>HW08</w:t>
                  </w:r>
                </w:p>
              </w:tc>
              <w:tc>
                <w:tcPr>
                  <w:tcW w:w="1439" w:type="dxa"/>
                  <w:vAlign w:val="center"/>
                </w:tcPr>
                <w:p>
                  <w:pPr>
                    <w:pStyle w:val="35"/>
                    <w:rPr>
                      <w:rFonts w:hint="eastAsia"/>
                      <w:lang w:val="en-US" w:eastAsia="zh-CN"/>
                    </w:rPr>
                  </w:pPr>
                  <w:r>
                    <w:rPr>
                      <w:rFonts w:hint="eastAsia"/>
                      <w:lang w:val="en-US" w:eastAsia="zh-CN"/>
                    </w:rPr>
                    <w:t>900-249-08</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1421" w:type="dxa"/>
                  <w:vMerge w:val="restart"/>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4</w:t>
                  </w:r>
                </w:p>
              </w:tc>
              <w:tc>
                <w:tcPr>
                  <w:tcW w:w="1320" w:type="dxa"/>
                  <w:vAlign w:val="center"/>
                </w:tcPr>
                <w:p>
                  <w:pPr>
                    <w:pStyle w:val="35"/>
                    <w:rPr>
                      <w:rFonts w:hint="eastAsia"/>
                      <w:lang w:val="en-US" w:eastAsia="zh-CN"/>
                    </w:rPr>
                  </w:pPr>
                  <w:r>
                    <w:rPr>
                      <w:rFonts w:hint="eastAsia"/>
                      <w:lang w:eastAsia="zh-CN"/>
                    </w:rPr>
                    <w:t>废切削液</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液</w:t>
                  </w:r>
                </w:p>
              </w:tc>
              <w:tc>
                <w:tcPr>
                  <w:tcW w:w="975" w:type="dxa"/>
                  <w:vAlign w:val="center"/>
                </w:tcPr>
                <w:p>
                  <w:pPr>
                    <w:pStyle w:val="35"/>
                    <w:rPr>
                      <w:rFonts w:hint="eastAsia"/>
                    </w:rPr>
                  </w:pPr>
                  <w:r>
                    <w:rPr>
                      <w:rFonts w:hint="eastAsia"/>
                      <w:lang w:val="en-US" w:eastAsia="zh-CN"/>
                    </w:rPr>
                    <w:t>HW09</w:t>
                  </w:r>
                </w:p>
              </w:tc>
              <w:tc>
                <w:tcPr>
                  <w:tcW w:w="1439" w:type="dxa"/>
                  <w:vAlign w:val="center"/>
                </w:tcPr>
                <w:p>
                  <w:pPr>
                    <w:pStyle w:val="35"/>
                    <w:rPr>
                      <w:rFonts w:hint="eastAsia"/>
                      <w:lang w:val="en-US" w:eastAsia="zh-CN"/>
                    </w:rPr>
                  </w:pPr>
                  <w:r>
                    <w:rPr>
                      <w:rFonts w:hint="eastAsia"/>
                      <w:lang w:val="en-US" w:eastAsia="zh-CN"/>
                    </w:rPr>
                    <w:t>900-006-09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5</w:t>
                  </w:r>
                </w:p>
              </w:tc>
              <w:tc>
                <w:tcPr>
                  <w:tcW w:w="1320" w:type="dxa"/>
                  <w:vAlign w:val="center"/>
                </w:tcPr>
                <w:p>
                  <w:pPr>
                    <w:pStyle w:val="35"/>
                    <w:rPr>
                      <w:rFonts w:hint="eastAsia"/>
                      <w:lang w:val="en-US" w:eastAsia="zh-CN"/>
                    </w:rPr>
                  </w:pPr>
                  <w:r>
                    <w:rPr>
                      <w:rFonts w:hint="eastAsia"/>
                      <w:lang w:eastAsia="zh-CN"/>
                    </w:rPr>
                    <w:t>废包装桶</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固</w:t>
                  </w:r>
                </w:p>
              </w:tc>
              <w:tc>
                <w:tcPr>
                  <w:tcW w:w="975" w:type="dxa"/>
                  <w:vAlign w:val="center"/>
                </w:tcPr>
                <w:p>
                  <w:pPr>
                    <w:pStyle w:val="35"/>
                    <w:rPr>
                      <w:rFonts w:hint="eastAsia"/>
                    </w:rPr>
                  </w:pPr>
                  <w:r>
                    <w:rPr>
                      <w:rFonts w:hint="eastAsia"/>
                      <w:lang w:val="en-US" w:eastAsia="zh-CN"/>
                    </w:rPr>
                    <w:t>HW49</w:t>
                  </w:r>
                </w:p>
              </w:tc>
              <w:tc>
                <w:tcPr>
                  <w:tcW w:w="1439" w:type="dxa"/>
                  <w:vAlign w:val="center"/>
                </w:tcPr>
                <w:p>
                  <w:pPr>
                    <w:pStyle w:val="35"/>
                    <w:rPr>
                      <w:rFonts w:hint="eastAsia"/>
                      <w:lang w:val="en-US" w:eastAsia="zh-CN"/>
                    </w:rPr>
                  </w:pPr>
                  <w:r>
                    <w:rPr>
                      <w:rFonts w:hint="eastAsia"/>
                      <w:lang w:val="en-US" w:eastAsia="zh-CN"/>
                    </w:rPr>
                    <w:t>900-041-49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0.082</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6</w:t>
                  </w:r>
                </w:p>
              </w:tc>
              <w:tc>
                <w:tcPr>
                  <w:tcW w:w="1320" w:type="dxa"/>
                  <w:vAlign w:val="center"/>
                </w:tcPr>
                <w:p>
                  <w:pPr>
                    <w:pStyle w:val="35"/>
                    <w:rPr>
                      <w:rFonts w:hint="eastAsia"/>
                      <w:lang w:val="en-US" w:eastAsia="zh-CN"/>
                    </w:rPr>
                  </w:pPr>
                  <w:r>
                    <w:rPr>
                      <w:rFonts w:hint="eastAsia"/>
                      <w:lang w:eastAsia="zh-CN"/>
                    </w:rPr>
                    <w:t>废酸液</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液</w:t>
                  </w:r>
                </w:p>
              </w:tc>
              <w:tc>
                <w:tcPr>
                  <w:tcW w:w="975" w:type="dxa"/>
                  <w:vAlign w:val="center"/>
                </w:tcPr>
                <w:p>
                  <w:pPr>
                    <w:pStyle w:val="35"/>
                    <w:rPr>
                      <w:rFonts w:hint="eastAsia"/>
                    </w:rPr>
                  </w:pPr>
                  <w:r>
                    <w:rPr>
                      <w:rFonts w:hint="eastAsia"/>
                      <w:lang w:val="en-US" w:eastAsia="zh-CN"/>
                    </w:rPr>
                    <w:t>HW34</w:t>
                  </w:r>
                </w:p>
              </w:tc>
              <w:tc>
                <w:tcPr>
                  <w:tcW w:w="1439" w:type="dxa"/>
                  <w:vAlign w:val="center"/>
                </w:tcPr>
                <w:p>
                  <w:pPr>
                    <w:pStyle w:val="35"/>
                    <w:rPr>
                      <w:rFonts w:hint="eastAsia"/>
                      <w:lang w:val="en-US" w:eastAsia="zh-CN"/>
                    </w:rPr>
                  </w:pPr>
                  <w:r>
                    <w:rPr>
                      <w:rFonts w:hint="eastAsia"/>
                      <w:lang w:val="en-US" w:eastAsia="zh-CN"/>
                    </w:rPr>
                    <w:t>900-304-34</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0.42</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7</w:t>
                  </w:r>
                </w:p>
              </w:tc>
              <w:tc>
                <w:tcPr>
                  <w:tcW w:w="1320" w:type="dxa"/>
                  <w:vAlign w:val="center"/>
                </w:tcPr>
                <w:p>
                  <w:pPr>
                    <w:pStyle w:val="35"/>
                    <w:rPr>
                      <w:rFonts w:hint="eastAsia"/>
                      <w:lang w:val="en-US" w:eastAsia="zh-CN"/>
                    </w:rPr>
                  </w:pPr>
                  <w:r>
                    <w:rPr>
                      <w:rFonts w:hint="eastAsia"/>
                      <w:lang w:eastAsia="zh-CN"/>
                    </w:rPr>
                    <w:t>废清洗液</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液</w:t>
                  </w:r>
                </w:p>
              </w:tc>
              <w:tc>
                <w:tcPr>
                  <w:tcW w:w="975" w:type="dxa"/>
                  <w:vAlign w:val="center"/>
                </w:tcPr>
                <w:p>
                  <w:pPr>
                    <w:pStyle w:val="35"/>
                    <w:rPr>
                      <w:rFonts w:hint="eastAsia"/>
                    </w:rPr>
                  </w:pPr>
                  <w:r>
                    <w:rPr>
                      <w:rFonts w:hint="eastAsia"/>
                      <w:lang w:val="en-US" w:eastAsia="zh-CN"/>
                    </w:rPr>
                    <w:t>HW06</w:t>
                  </w:r>
                </w:p>
              </w:tc>
              <w:tc>
                <w:tcPr>
                  <w:tcW w:w="1439" w:type="dxa"/>
                  <w:vAlign w:val="center"/>
                </w:tcPr>
                <w:p>
                  <w:pPr>
                    <w:pStyle w:val="35"/>
                    <w:rPr>
                      <w:rFonts w:hint="eastAsia"/>
                      <w:lang w:val="en-US" w:eastAsia="zh-CN"/>
                    </w:rPr>
                  </w:pPr>
                  <w:r>
                    <w:rPr>
                      <w:rFonts w:hint="eastAsia"/>
                      <w:lang w:val="en-US" w:eastAsia="zh-CN"/>
                    </w:rPr>
                    <w:t>900-404-06</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0.03</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8</w:t>
                  </w:r>
                </w:p>
              </w:tc>
              <w:tc>
                <w:tcPr>
                  <w:tcW w:w="1320" w:type="dxa"/>
                  <w:vAlign w:val="center"/>
                </w:tcPr>
                <w:p>
                  <w:pPr>
                    <w:pStyle w:val="35"/>
                    <w:rPr>
                      <w:rFonts w:hint="eastAsia"/>
                      <w:lang w:val="en-US" w:eastAsia="zh-CN"/>
                    </w:rPr>
                  </w:pPr>
                  <w:r>
                    <w:rPr>
                      <w:rFonts w:hint="eastAsia"/>
                      <w:lang w:eastAsia="zh-CN"/>
                    </w:rPr>
                    <w:t>清洗废水</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液</w:t>
                  </w:r>
                </w:p>
              </w:tc>
              <w:tc>
                <w:tcPr>
                  <w:tcW w:w="975" w:type="dxa"/>
                  <w:vAlign w:val="center"/>
                </w:tcPr>
                <w:p>
                  <w:pPr>
                    <w:pStyle w:val="35"/>
                    <w:rPr>
                      <w:rFonts w:hint="eastAsia"/>
                    </w:rPr>
                  </w:pPr>
                  <w:r>
                    <w:rPr>
                      <w:rFonts w:hint="eastAsia"/>
                      <w:lang w:val="en-US" w:eastAsia="zh-CN"/>
                    </w:rPr>
                    <w:t>HW06</w:t>
                  </w:r>
                </w:p>
              </w:tc>
              <w:tc>
                <w:tcPr>
                  <w:tcW w:w="1439" w:type="dxa"/>
                  <w:vAlign w:val="center"/>
                </w:tcPr>
                <w:p>
                  <w:pPr>
                    <w:pStyle w:val="35"/>
                    <w:rPr>
                      <w:rFonts w:hint="eastAsia"/>
                      <w:lang w:val="en-US" w:eastAsia="zh-CN"/>
                    </w:rPr>
                  </w:pPr>
                  <w:r>
                    <w:rPr>
                      <w:rFonts w:hint="eastAsia"/>
                      <w:lang w:val="en-US" w:eastAsia="zh-CN"/>
                    </w:rPr>
                    <w:t>900-404-06</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0.62</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eastAsia"/>
                      <w:lang w:val="en-US" w:eastAsia="zh-CN"/>
                    </w:rPr>
                  </w:pPr>
                  <w:r>
                    <w:rPr>
                      <w:rFonts w:hint="eastAsia"/>
                      <w:lang w:val="en-US" w:eastAsia="zh-CN"/>
                    </w:rPr>
                    <w:t>9</w:t>
                  </w:r>
                </w:p>
              </w:tc>
              <w:tc>
                <w:tcPr>
                  <w:tcW w:w="1320" w:type="dxa"/>
                  <w:vAlign w:val="center"/>
                </w:tcPr>
                <w:p>
                  <w:pPr>
                    <w:pStyle w:val="35"/>
                    <w:rPr>
                      <w:rFonts w:hint="eastAsia"/>
                      <w:lang w:val="en-US" w:eastAsia="zh-CN"/>
                    </w:rPr>
                  </w:pPr>
                  <w:r>
                    <w:rPr>
                      <w:rFonts w:hint="eastAsia"/>
                      <w:lang w:eastAsia="zh-CN"/>
                    </w:rPr>
                    <w:t>实验室清洗废液（含废培养基）</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液</w:t>
                  </w:r>
                </w:p>
              </w:tc>
              <w:tc>
                <w:tcPr>
                  <w:tcW w:w="975" w:type="dxa"/>
                  <w:vAlign w:val="center"/>
                </w:tcPr>
                <w:p>
                  <w:pPr>
                    <w:pStyle w:val="35"/>
                    <w:rPr>
                      <w:rFonts w:hint="eastAsia"/>
                    </w:rPr>
                  </w:pPr>
                  <w:r>
                    <w:rPr>
                      <w:rFonts w:hint="eastAsia"/>
                      <w:lang w:val="en-US" w:eastAsia="zh-CN"/>
                    </w:rPr>
                    <w:t>HW49</w:t>
                  </w:r>
                </w:p>
              </w:tc>
              <w:tc>
                <w:tcPr>
                  <w:tcW w:w="1439" w:type="dxa"/>
                  <w:vAlign w:val="center"/>
                </w:tcPr>
                <w:p>
                  <w:pPr>
                    <w:pStyle w:val="35"/>
                    <w:rPr>
                      <w:rFonts w:hint="eastAsia"/>
                      <w:lang w:val="en-US" w:eastAsia="zh-CN"/>
                    </w:rPr>
                  </w:pPr>
                  <w:r>
                    <w:rPr>
                      <w:rFonts w:hint="eastAsia"/>
                      <w:lang w:val="en-US" w:eastAsia="zh-CN"/>
                    </w:rPr>
                    <w:t>900-047-49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0.2</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default"/>
                      <w:lang w:val="en-US" w:eastAsia="zh-CN"/>
                    </w:rPr>
                  </w:pPr>
                  <w:r>
                    <w:rPr>
                      <w:rFonts w:hint="eastAsia"/>
                      <w:lang w:val="en-US" w:eastAsia="zh-CN"/>
                    </w:rPr>
                    <w:t>10</w:t>
                  </w:r>
                </w:p>
              </w:tc>
              <w:tc>
                <w:tcPr>
                  <w:tcW w:w="1320" w:type="dxa"/>
                  <w:vAlign w:val="center"/>
                </w:tcPr>
                <w:p>
                  <w:pPr>
                    <w:pStyle w:val="35"/>
                    <w:rPr>
                      <w:rFonts w:hint="eastAsia"/>
                      <w:lang w:val="en-US" w:eastAsia="zh-CN"/>
                    </w:rPr>
                  </w:pPr>
                  <w:r>
                    <w:rPr>
                      <w:rFonts w:hint="eastAsia"/>
                      <w:lang w:eastAsia="zh-CN"/>
                    </w:rPr>
                    <w:t>废活性炭</w:t>
                  </w:r>
                </w:p>
              </w:tc>
              <w:tc>
                <w:tcPr>
                  <w:tcW w:w="680" w:type="dxa"/>
                  <w:vMerge w:val="continue"/>
                  <w:vAlign w:val="center"/>
                </w:tcPr>
                <w:p>
                  <w:pPr>
                    <w:pStyle w:val="35"/>
                    <w:rPr>
                      <w:rFonts w:hint="eastAsia"/>
                    </w:rPr>
                  </w:pPr>
                </w:p>
              </w:tc>
              <w:tc>
                <w:tcPr>
                  <w:tcW w:w="875" w:type="dxa"/>
                  <w:vAlign w:val="center"/>
                </w:tcPr>
                <w:p>
                  <w:pPr>
                    <w:pStyle w:val="35"/>
                    <w:rPr>
                      <w:rFonts w:hint="eastAsia"/>
                    </w:rPr>
                  </w:pPr>
                  <w:r>
                    <w:rPr>
                      <w:rFonts w:hint="eastAsia"/>
                      <w:lang w:eastAsia="zh-CN"/>
                    </w:rPr>
                    <w:t>固</w:t>
                  </w:r>
                </w:p>
              </w:tc>
              <w:tc>
                <w:tcPr>
                  <w:tcW w:w="975" w:type="dxa"/>
                  <w:vAlign w:val="center"/>
                </w:tcPr>
                <w:p>
                  <w:pPr>
                    <w:pStyle w:val="35"/>
                    <w:rPr>
                      <w:rFonts w:hint="eastAsia"/>
                    </w:rPr>
                  </w:pPr>
                  <w:r>
                    <w:rPr>
                      <w:rFonts w:hint="eastAsia"/>
                      <w:lang w:val="en-US" w:eastAsia="zh-CN"/>
                    </w:rPr>
                    <w:t>HW49</w:t>
                  </w:r>
                </w:p>
              </w:tc>
              <w:tc>
                <w:tcPr>
                  <w:tcW w:w="1439" w:type="dxa"/>
                  <w:vAlign w:val="center"/>
                </w:tcPr>
                <w:p>
                  <w:pPr>
                    <w:pStyle w:val="35"/>
                    <w:rPr>
                      <w:rFonts w:hint="eastAsia"/>
                      <w:lang w:val="en-US" w:eastAsia="zh-CN"/>
                    </w:rPr>
                  </w:pPr>
                  <w:r>
                    <w:rPr>
                      <w:rFonts w:hint="eastAsia"/>
                      <w:lang w:val="en-US" w:eastAsia="zh-CN"/>
                    </w:rPr>
                    <w:t>900-041-49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0.55</w:t>
                  </w:r>
                </w:p>
              </w:tc>
              <w:tc>
                <w:tcPr>
                  <w:tcW w:w="1421" w:type="dxa"/>
                  <w:vMerge w:val="continue"/>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Align w:val="center"/>
                </w:tcPr>
                <w:p>
                  <w:pPr>
                    <w:pStyle w:val="35"/>
                    <w:rPr>
                      <w:rFonts w:hint="default"/>
                      <w:lang w:val="en-US" w:eastAsia="zh-CN"/>
                    </w:rPr>
                  </w:pPr>
                  <w:r>
                    <w:rPr>
                      <w:rFonts w:hint="eastAsia"/>
                      <w:lang w:val="en-US" w:eastAsia="zh-CN"/>
                    </w:rPr>
                    <w:t>11</w:t>
                  </w:r>
                </w:p>
              </w:tc>
              <w:tc>
                <w:tcPr>
                  <w:tcW w:w="1320" w:type="dxa"/>
                  <w:vAlign w:val="center"/>
                </w:tcPr>
                <w:p>
                  <w:pPr>
                    <w:pStyle w:val="35"/>
                    <w:rPr>
                      <w:rFonts w:hint="eastAsia"/>
                      <w:lang w:val="en-US" w:eastAsia="zh-CN"/>
                    </w:rPr>
                  </w:pPr>
                  <w:r>
                    <w:rPr>
                      <w:rFonts w:hint="eastAsia"/>
                      <w:lang w:eastAsia="zh-CN"/>
                    </w:rPr>
                    <w:t>生活垃圾</w:t>
                  </w:r>
                </w:p>
              </w:tc>
              <w:tc>
                <w:tcPr>
                  <w:tcW w:w="680" w:type="dxa"/>
                  <w:vAlign w:val="center"/>
                </w:tcPr>
                <w:p>
                  <w:pPr>
                    <w:pStyle w:val="35"/>
                    <w:rPr>
                      <w:rFonts w:hint="eastAsia" w:eastAsia="宋体"/>
                      <w:lang w:val="en-US" w:eastAsia="zh-CN"/>
                    </w:rPr>
                  </w:pPr>
                  <w:r>
                    <w:rPr>
                      <w:rFonts w:hint="eastAsia"/>
                      <w:lang w:val="en-US" w:eastAsia="zh-CN"/>
                    </w:rPr>
                    <w:t>一般固废</w:t>
                  </w:r>
                </w:p>
              </w:tc>
              <w:tc>
                <w:tcPr>
                  <w:tcW w:w="875" w:type="dxa"/>
                  <w:vAlign w:val="center"/>
                </w:tcPr>
                <w:p>
                  <w:pPr>
                    <w:pStyle w:val="35"/>
                    <w:rPr>
                      <w:rFonts w:hint="eastAsia"/>
                    </w:rPr>
                  </w:pPr>
                  <w:r>
                    <w:rPr>
                      <w:rFonts w:hint="eastAsia"/>
                      <w:lang w:eastAsia="zh-CN"/>
                    </w:rPr>
                    <w:t>固</w:t>
                  </w:r>
                </w:p>
              </w:tc>
              <w:tc>
                <w:tcPr>
                  <w:tcW w:w="975" w:type="dxa"/>
                  <w:vAlign w:val="center"/>
                </w:tcPr>
                <w:p>
                  <w:pPr>
                    <w:pStyle w:val="35"/>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439" w:type="dxa"/>
                  <w:vAlign w:val="center"/>
                </w:tcPr>
                <w:p>
                  <w:pPr>
                    <w:pStyle w:val="35"/>
                    <w:rPr>
                      <w:rFonts w:hint="eastAsia"/>
                      <w:lang w:val="en-US" w:eastAsia="zh-CN"/>
                    </w:rPr>
                  </w:pPr>
                  <w:r>
                    <w:rPr>
                      <w:rFonts w:hint="eastAsia"/>
                      <w:lang w:val="en-US" w:eastAsia="zh-CN"/>
                    </w:rPr>
                    <w:t>99</w:t>
                  </w:r>
                </w:p>
              </w:tc>
              <w:tc>
                <w:tcPr>
                  <w:tcW w:w="850"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7.5</w:t>
                  </w:r>
                </w:p>
              </w:tc>
              <w:tc>
                <w:tcPr>
                  <w:tcW w:w="1421" w:type="dxa"/>
                  <w:vAlign w:val="center"/>
                </w:tcPr>
                <w:p>
                  <w:pPr>
                    <w:topLinePunct/>
                    <w:adjustRightInd w:val="0"/>
                    <w:snapToGrid w:val="0"/>
                    <w:spacing w:before="47"/>
                    <w:ind w:left="11" w:leftChars="0" w:hanging="11" w:firstLineChars="0"/>
                    <w:jc w:val="center"/>
                    <w:rPr>
                      <w:rFonts w:hint="eastAsia"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当地环卫部门统一清运</w:t>
                  </w:r>
                </w:p>
              </w:tc>
            </w:tr>
          </w:tbl>
          <w:p>
            <w:pPr>
              <w:pStyle w:val="14"/>
            </w:pPr>
            <w:r>
              <w:t>5</w:t>
            </w:r>
            <w:r>
              <w:rPr>
                <w:rFonts w:hint="eastAsia"/>
              </w:rPr>
              <w:t>、现有项目主要污染物排放情况汇总</w:t>
            </w:r>
          </w:p>
          <w:p>
            <w:pPr>
              <w:pStyle w:val="29"/>
              <w:ind w:firstLine="480"/>
            </w:pPr>
            <w:r>
              <w:rPr>
                <w:rFonts w:hint="eastAsia"/>
              </w:rPr>
              <w:t>现有项目污染物排放情况见下表。</w:t>
            </w:r>
          </w:p>
          <w:p>
            <w:pPr>
              <w:pStyle w:val="12"/>
            </w:pPr>
            <w:r>
              <w:rPr>
                <w:rStyle w:val="33"/>
                <w:rFonts w:hint="eastAsia" w:eastAsiaTheme="minorEastAsia" w:cstheme="minorBidi"/>
                <w:b/>
                <w:bCs/>
              </w:rPr>
              <w:t>表</w:t>
            </w:r>
            <w:r>
              <w:rPr>
                <w:rStyle w:val="33"/>
                <w:rFonts w:eastAsiaTheme="minorEastAsia" w:cstheme="minorBidi"/>
                <w:b/>
                <w:bCs/>
              </w:rPr>
              <w:t xml:space="preserve">2-11   </w:t>
            </w:r>
            <w:r>
              <w:rPr>
                <w:rStyle w:val="33"/>
                <w:rFonts w:hint="eastAsia" w:eastAsiaTheme="minorEastAsia" w:cstheme="minorBidi"/>
                <w:b/>
                <w:bCs/>
              </w:rPr>
              <w:t>现有项目主要污染物排放一览表（单位：t/a）</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34"/>
              <w:gridCol w:w="1948"/>
              <w:gridCol w:w="1558"/>
              <w:gridCol w:w="1418"/>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988" w:type="pct"/>
                  <w:noWrap/>
                  <w:vAlign w:val="center"/>
                </w:tcPr>
                <w:p>
                  <w:pPr>
                    <w:pStyle w:val="35"/>
                  </w:pPr>
                  <w:r>
                    <w:rPr>
                      <w:rFonts w:hint="eastAsia"/>
                    </w:rPr>
                    <w:t>类别</w:t>
                  </w:r>
                </w:p>
              </w:tc>
              <w:tc>
                <w:tcPr>
                  <w:tcW w:w="1178" w:type="pct"/>
                  <w:vAlign w:val="center"/>
                </w:tcPr>
                <w:p>
                  <w:pPr>
                    <w:pStyle w:val="35"/>
                  </w:pPr>
                  <w:r>
                    <w:rPr>
                      <w:rFonts w:hint="eastAsia"/>
                    </w:rPr>
                    <w:t>污染物名称</w:t>
                  </w:r>
                </w:p>
              </w:tc>
              <w:tc>
                <w:tcPr>
                  <w:tcW w:w="942" w:type="pct"/>
                  <w:vAlign w:val="center"/>
                </w:tcPr>
                <w:p>
                  <w:pPr>
                    <w:pStyle w:val="35"/>
                  </w:pPr>
                  <w:r>
                    <w:rPr>
                      <w:rFonts w:hint="eastAsia"/>
                      <w:lang w:eastAsia="zh-CN"/>
                    </w:rPr>
                    <w:t>现有</w:t>
                  </w:r>
                  <w:r>
                    <w:rPr>
                      <w:rFonts w:hint="eastAsia"/>
                    </w:rPr>
                    <w:t>项目产生量</w:t>
                  </w:r>
                </w:p>
              </w:tc>
              <w:tc>
                <w:tcPr>
                  <w:tcW w:w="858" w:type="pct"/>
                  <w:vAlign w:val="center"/>
                </w:tcPr>
                <w:p>
                  <w:pPr>
                    <w:pStyle w:val="35"/>
                  </w:pPr>
                  <w:r>
                    <w:rPr>
                      <w:rFonts w:hint="eastAsia"/>
                    </w:rPr>
                    <w:t>削减量</w:t>
                  </w:r>
                </w:p>
              </w:tc>
              <w:tc>
                <w:tcPr>
                  <w:tcW w:w="1031" w:type="pct"/>
                  <w:vAlign w:val="center"/>
                </w:tcPr>
                <w:p>
                  <w:pPr>
                    <w:pStyle w:val="35"/>
                  </w:pPr>
                  <w:r>
                    <w:rPr>
                      <w:rFonts w:hint="eastAsia"/>
                      <w:lang w:eastAsia="zh-CN"/>
                    </w:rPr>
                    <w:t>现有</w:t>
                  </w:r>
                  <w:r>
                    <w:rPr>
                      <w:rFonts w:hint="eastAsia"/>
                    </w:rPr>
                    <w:t>项目排放量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Align w:val="center"/>
                </w:tcPr>
                <w:p>
                  <w:pPr>
                    <w:pStyle w:val="35"/>
                  </w:pPr>
                  <w:r>
                    <w:rPr>
                      <w:rFonts w:hint="eastAsia"/>
                    </w:rPr>
                    <w:t>废气</w:t>
                  </w:r>
                </w:p>
              </w:tc>
              <w:tc>
                <w:tcPr>
                  <w:tcW w:w="1178" w:type="pct"/>
                  <w:noWrap/>
                  <w:vAlign w:val="center"/>
                </w:tcPr>
                <w:p>
                  <w:pPr>
                    <w:pStyle w:val="35"/>
                    <w:rPr>
                      <w:rFonts w:hint="eastAsia" w:eastAsia="宋体"/>
                      <w:lang w:eastAsia="zh-CN"/>
                    </w:rPr>
                  </w:pPr>
                  <w:r>
                    <w:rPr>
                      <w:rFonts w:hint="eastAsia"/>
                      <w:lang w:eastAsia="zh-CN"/>
                    </w:rPr>
                    <w:t>非甲烷总烃</w:t>
                  </w:r>
                </w:p>
              </w:tc>
              <w:tc>
                <w:tcPr>
                  <w:tcW w:w="942" w:type="pct"/>
                  <w:vAlign w:val="center"/>
                </w:tcPr>
                <w:p>
                  <w:pPr>
                    <w:pStyle w:val="35"/>
                    <w:rPr>
                      <w:rFonts w:hint="default" w:eastAsia="宋体"/>
                      <w:lang w:val="en-US" w:eastAsia="zh-CN"/>
                    </w:rPr>
                  </w:pPr>
                  <w:r>
                    <w:rPr>
                      <w:rFonts w:hint="eastAsia"/>
                      <w:lang w:val="en-US" w:eastAsia="zh-CN"/>
                    </w:rPr>
                    <w:t>0.0263</w:t>
                  </w:r>
                </w:p>
              </w:tc>
              <w:tc>
                <w:tcPr>
                  <w:tcW w:w="858" w:type="pct"/>
                </w:tcPr>
                <w:p>
                  <w:pPr>
                    <w:pStyle w:val="35"/>
                    <w:rPr>
                      <w:rFonts w:hint="eastAsia" w:eastAsia="宋体"/>
                      <w:lang w:eastAsia="zh-CN"/>
                    </w:rPr>
                  </w:pPr>
                  <w:r>
                    <w:rPr>
                      <w:rFonts w:hint="eastAsia"/>
                      <w:lang w:val="en-US" w:eastAsia="zh-CN"/>
                    </w:rPr>
                    <w:t>0</w:t>
                  </w:r>
                </w:p>
              </w:tc>
              <w:tc>
                <w:tcPr>
                  <w:tcW w:w="1031" w:type="pct"/>
                </w:tcPr>
                <w:p>
                  <w:pPr>
                    <w:pStyle w:val="35"/>
                    <w:rPr>
                      <w:rFonts w:hint="default"/>
                      <w:lang w:val="en-US"/>
                    </w:rPr>
                  </w:pPr>
                  <w:r>
                    <w:rPr>
                      <w:rFonts w:hint="eastAsia"/>
                      <w:lang w:val="en-US" w:eastAsia="zh-CN"/>
                    </w:rPr>
                    <w:t>0.0263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restart"/>
                  <w:vAlign w:val="center"/>
                </w:tcPr>
                <w:p>
                  <w:pPr>
                    <w:pStyle w:val="35"/>
                  </w:pPr>
                  <w:r>
                    <w:rPr>
                      <w:rFonts w:hint="eastAsia"/>
                    </w:rPr>
                    <w:t>生活污水</w:t>
                  </w:r>
                </w:p>
              </w:tc>
              <w:tc>
                <w:tcPr>
                  <w:tcW w:w="1178" w:type="pct"/>
                  <w:noWrap/>
                  <w:vAlign w:val="center"/>
                </w:tcPr>
                <w:p>
                  <w:pPr>
                    <w:pStyle w:val="35"/>
                  </w:pPr>
                  <w:r>
                    <w:rPr>
                      <w:rFonts w:hint="eastAsia"/>
                    </w:rPr>
                    <w:t>水量</w:t>
                  </w:r>
                </w:p>
              </w:tc>
              <w:tc>
                <w:tcPr>
                  <w:tcW w:w="942" w:type="pct"/>
                  <w:vAlign w:val="center"/>
                </w:tcPr>
                <w:p>
                  <w:pPr>
                    <w:pStyle w:val="35"/>
                    <w:rPr>
                      <w:rFonts w:hint="default" w:eastAsia="宋体"/>
                      <w:lang w:val="en-US" w:eastAsia="zh-CN"/>
                    </w:rPr>
                  </w:pPr>
                  <w:r>
                    <w:rPr>
                      <w:rFonts w:hint="eastAsia"/>
                      <w:lang w:val="en-US" w:eastAsia="zh-CN"/>
                    </w:rPr>
                    <w:t>745</w:t>
                  </w:r>
                </w:p>
              </w:tc>
              <w:tc>
                <w:tcPr>
                  <w:tcW w:w="858" w:type="pct"/>
                  <w:vAlign w:val="center"/>
                </w:tcPr>
                <w:p>
                  <w:pPr>
                    <w:pStyle w:val="35"/>
                  </w:pPr>
                  <w:r>
                    <w:t>0</w:t>
                  </w:r>
                </w:p>
              </w:tc>
              <w:tc>
                <w:tcPr>
                  <w:tcW w:w="1031" w:type="pct"/>
                  <w:vAlign w:val="center"/>
                </w:tcPr>
                <w:p>
                  <w:pPr>
                    <w:pStyle w:val="35"/>
                    <w:rPr>
                      <w:rFonts w:hint="default" w:ascii="Times New Roman" w:hAnsi="Times New Roman" w:eastAsia="宋体" w:cs="Times New Roman"/>
                      <w:kern w:val="2"/>
                      <w:sz w:val="21"/>
                      <w:szCs w:val="24"/>
                      <w:lang w:val="en-US" w:eastAsia="zh-CN" w:bidi="ar-SA"/>
                    </w:rPr>
                  </w:pPr>
                  <w:r>
                    <w:rPr>
                      <w:rFonts w:hint="eastAsia"/>
                      <w:lang w:val="en-US" w:eastAsia="zh-CN"/>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noWrap/>
                  <w:vAlign w:val="center"/>
                </w:tcPr>
                <w:p>
                  <w:pPr>
                    <w:pStyle w:val="35"/>
                  </w:pPr>
                  <w:r>
                    <w:t>COD</w:t>
                  </w:r>
                </w:p>
              </w:tc>
              <w:tc>
                <w:tcPr>
                  <w:tcW w:w="942" w:type="pct"/>
                  <w:vAlign w:val="center"/>
                </w:tcPr>
                <w:p>
                  <w:pPr>
                    <w:pStyle w:val="35"/>
                    <w:rPr>
                      <w:rFonts w:hint="default" w:eastAsia="宋体"/>
                      <w:lang w:val="en-US" w:eastAsia="zh-CN"/>
                    </w:rPr>
                  </w:pPr>
                  <w:r>
                    <w:rPr>
                      <w:rFonts w:hint="eastAsia"/>
                      <w:lang w:val="en-US" w:eastAsia="zh-CN"/>
                    </w:rPr>
                    <w:t>0.289</w:t>
                  </w:r>
                </w:p>
              </w:tc>
              <w:tc>
                <w:tcPr>
                  <w:tcW w:w="858" w:type="pct"/>
                  <w:vAlign w:val="center"/>
                </w:tcPr>
                <w:p>
                  <w:pPr>
                    <w:pStyle w:val="35"/>
                  </w:pPr>
                  <w:r>
                    <w:t>0</w:t>
                  </w:r>
                </w:p>
              </w:tc>
              <w:tc>
                <w:tcPr>
                  <w:tcW w:w="1031" w:type="pct"/>
                  <w:vAlign w:val="center"/>
                </w:tcPr>
                <w:p>
                  <w:pPr>
                    <w:pStyle w:val="35"/>
                    <w:rPr>
                      <w:rFonts w:hint="default" w:ascii="Times New Roman" w:hAnsi="Times New Roman" w:eastAsia="宋体" w:cs="Times New Roman"/>
                      <w:kern w:val="2"/>
                      <w:sz w:val="21"/>
                      <w:szCs w:val="24"/>
                      <w:lang w:val="en-US" w:eastAsia="zh-CN" w:bidi="ar-SA"/>
                    </w:rPr>
                  </w:pPr>
                  <w:r>
                    <w:rPr>
                      <w:rFonts w:hint="eastAsia"/>
                      <w:lang w:val="en-US" w:eastAsia="zh-CN"/>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noWrap/>
                  <w:vAlign w:val="center"/>
                </w:tcPr>
                <w:p>
                  <w:pPr>
                    <w:pStyle w:val="35"/>
                  </w:pPr>
                  <w:r>
                    <w:t>SS</w:t>
                  </w:r>
                </w:p>
              </w:tc>
              <w:tc>
                <w:tcPr>
                  <w:tcW w:w="942" w:type="pct"/>
                  <w:vAlign w:val="center"/>
                </w:tcPr>
                <w:p>
                  <w:pPr>
                    <w:pStyle w:val="35"/>
                    <w:rPr>
                      <w:rFonts w:hint="default" w:eastAsia="宋体"/>
                      <w:lang w:val="en-US" w:eastAsia="zh-CN"/>
                    </w:rPr>
                  </w:pPr>
                  <w:r>
                    <w:rPr>
                      <w:rFonts w:hint="eastAsia"/>
                      <w:lang w:val="en-US" w:eastAsia="zh-CN"/>
                    </w:rPr>
                    <w:t>0.2156</w:t>
                  </w:r>
                </w:p>
              </w:tc>
              <w:tc>
                <w:tcPr>
                  <w:tcW w:w="858" w:type="pct"/>
                  <w:vAlign w:val="center"/>
                </w:tcPr>
                <w:p>
                  <w:pPr>
                    <w:pStyle w:val="35"/>
                  </w:pPr>
                  <w:r>
                    <w:t>0</w:t>
                  </w:r>
                </w:p>
              </w:tc>
              <w:tc>
                <w:tcPr>
                  <w:tcW w:w="1031" w:type="pct"/>
                  <w:vAlign w:val="center"/>
                </w:tcPr>
                <w:p>
                  <w:pPr>
                    <w:pStyle w:val="35"/>
                    <w:rPr>
                      <w:rFonts w:hint="default" w:ascii="Times New Roman" w:hAnsi="Times New Roman" w:eastAsia="宋体" w:cs="Times New Roman"/>
                      <w:kern w:val="2"/>
                      <w:sz w:val="21"/>
                      <w:szCs w:val="24"/>
                      <w:lang w:val="en-US" w:eastAsia="zh-CN" w:bidi="ar-SA"/>
                    </w:rPr>
                  </w:pPr>
                  <w:r>
                    <w:rPr>
                      <w:rFonts w:hint="eastAsia"/>
                      <w:lang w:val="en-US" w:eastAsia="zh-CN"/>
                    </w:rPr>
                    <w:t>0.2156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noWrap/>
                  <w:vAlign w:val="center"/>
                </w:tcPr>
                <w:p>
                  <w:pPr>
                    <w:pStyle w:val="35"/>
                  </w:pPr>
                  <w:r>
                    <w:t>NH3-N</w:t>
                  </w:r>
                </w:p>
              </w:tc>
              <w:tc>
                <w:tcPr>
                  <w:tcW w:w="942" w:type="pct"/>
                  <w:vAlign w:val="center"/>
                </w:tcPr>
                <w:p>
                  <w:pPr>
                    <w:pStyle w:val="35"/>
                    <w:rPr>
                      <w:rFonts w:hint="default" w:eastAsia="宋体"/>
                      <w:lang w:val="en-US" w:eastAsia="zh-CN"/>
                    </w:rPr>
                  </w:pPr>
                  <w:r>
                    <w:rPr>
                      <w:rFonts w:hint="eastAsia"/>
                      <w:lang w:val="en-US" w:eastAsia="zh-CN"/>
                    </w:rPr>
                    <w:t>0.0216</w:t>
                  </w:r>
                </w:p>
              </w:tc>
              <w:tc>
                <w:tcPr>
                  <w:tcW w:w="858" w:type="pct"/>
                  <w:vAlign w:val="center"/>
                </w:tcPr>
                <w:p>
                  <w:pPr>
                    <w:pStyle w:val="35"/>
                  </w:pPr>
                  <w:r>
                    <w:t>0</w:t>
                  </w:r>
                </w:p>
              </w:tc>
              <w:tc>
                <w:tcPr>
                  <w:tcW w:w="1031" w:type="pct"/>
                  <w:vAlign w:val="center"/>
                </w:tcPr>
                <w:p>
                  <w:pPr>
                    <w:pStyle w:val="35"/>
                    <w:rPr>
                      <w:rFonts w:hint="default" w:ascii="Times New Roman" w:hAnsi="Times New Roman" w:eastAsia="宋体" w:cs="Times New Roman"/>
                      <w:kern w:val="2"/>
                      <w:sz w:val="21"/>
                      <w:szCs w:val="24"/>
                      <w:lang w:val="en-US" w:eastAsia="zh-CN" w:bidi="ar-SA"/>
                    </w:rPr>
                  </w:pPr>
                  <w:r>
                    <w:rPr>
                      <w:rFonts w:hint="eastAsia"/>
                      <w:lang w:val="en-US" w:eastAsia="zh-CN"/>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noWrap/>
                  <w:vAlign w:val="center"/>
                </w:tcPr>
                <w:p>
                  <w:pPr>
                    <w:pStyle w:val="35"/>
                  </w:pPr>
                  <w:r>
                    <w:t>TP</w:t>
                  </w:r>
                </w:p>
              </w:tc>
              <w:tc>
                <w:tcPr>
                  <w:tcW w:w="942" w:type="pct"/>
                  <w:vAlign w:val="center"/>
                </w:tcPr>
                <w:p>
                  <w:pPr>
                    <w:pStyle w:val="35"/>
                    <w:rPr>
                      <w:rFonts w:hint="default" w:eastAsia="宋体"/>
                      <w:lang w:val="en-US" w:eastAsia="zh-CN"/>
                    </w:rPr>
                  </w:pPr>
                  <w:r>
                    <w:rPr>
                      <w:rFonts w:hint="eastAsia"/>
                      <w:lang w:val="en-US" w:eastAsia="zh-CN"/>
                    </w:rPr>
                    <w:t>0.0036</w:t>
                  </w:r>
                </w:p>
              </w:tc>
              <w:tc>
                <w:tcPr>
                  <w:tcW w:w="858" w:type="pct"/>
                  <w:vAlign w:val="center"/>
                </w:tcPr>
                <w:p>
                  <w:pPr>
                    <w:pStyle w:val="35"/>
                  </w:pPr>
                  <w:r>
                    <w:t>0</w:t>
                  </w:r>
                </w:p>
              </w:tc>
              <w:tc>
                <w:tcPr>
                  <w:tcW w:w="1031" w:type="pct"/>
                  <w:vAlign w:val="center"/>
                </w:tcPr>
                <w:p>
                  <w:pPr>
                    <w:pStyle w:val="35"/>
                    <w:rPr>
                      <w:rFonts w:hint="default" w:ascii="Times New Roman" w:hAnsi="Times New Roman" w:eastAsia="宋体" w:cs="Times New Roman"/>
                      <w:kern w:val="2"/>
                      <w:sz w:val="21"/>
                      <w:szCs w:val="24"/>
                      <w:lang w:val="en-US" w:eastAsia="zh-CN" w:bidi="ar-SA"/>
                    </w:rPr>
                  </w:pPr>
                  <w:r>
                    <w:rPr>
                      <w:rFonts w:hint="eastAsia"/>
                      <w:lang w:val="en-US" w:eastAsia="zh-CN"/>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restart"/>
                  <w:vAlign w:val="center"/>
                </w:tcPr>
                <w:p>
                  <w:pPr>
                    <w:pStyle w:val="35"/>
                  </w:pPr>
                  <w:r>
                    <w:rPr>
                      <w:rFonts w:hint="eastAsia"/>
                    </w:rPr>
                    <w:t>固废</w:t>
                  </w:r>
                </w:p>
              </w:tc>
              <w:tc>
                <w:tcPr>
                  <w:tcW w:w="1178" w:type="pct"/>
                  <w:vAlign w:val="center"/>
                </w:tcPr>
                <w:p>
                  <w:pPr>
                    <w:pStyle w:val="35"/>
                  </w:pPr>
                  <w:r>
                    <w:rPr>
                      <w:rFonts w:hint="eastAsia"/>
                    </w:rPr>
                    <w:t>危险废物</w:t>
                  </w:r>
                </w:p>
              </w:tc>
              <w:tc>
                <w:tcPr>
                  <w:tcW w:w="942" w:type="pct"/>
                  <w:noWrap/>
                  <w:vAlign w:val="center"/>
                </w:tcPr>
                <w:p>
                  <w:pPr>
                    <w:pStyle w:val="35"/>
                    <w:rPr>
                      <w:rFonts w:hint="default" w:eastAsia="宋体"/>
                      <w:lang w:val="en-US" w:eastAsia="zh-CN"/>
                    </w:rPr>
                  </w:pPr>
                  <w:r>
                    <w:rPr>
                      <w:rFonts w:hint="eastAsia"/>
                      <w:lang w:val="en-US" w:eastAsia="zh-CN"/>
                    </w:rPr>
                    <w:t>3.902</w:t>
                  </w:r>
                </w:p>
              </w:tc>
              <w:tc>
                <w:tcPr>
                  <w:tcW w:w="1418" w:type="dxa"/>
                  <w:vAlign w:val="center"/>
                </w:tcPr>
                <w:p>
                  <w:pPr>
                    <w:pStyle w:val="35"/>
                  </w:pPr>
                  <w:r>
                    <w:rPr>
                      <w:rFonts w:hint="eastAsia"/>
                      <w:lang w:val="en-US" w:eastAsia="zh-CN"/>
                    </w:rPr>
                    <w:t>3.902</w:t>
                  </w:r>
                </w:p>
              </w:tc>
              <w:tc>
                <w:tcPr>
                  <w:tcW w:w="1031" w:type="pct"/>
                  <w:vAlign w:val="center"/>
                </w:tcPr>
                <w:p>
                  <w:pPr>
                    <w:pStyle w:val="35"/>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vAlign w:val="center"/>
                </w:tcPr>
                <w:p>
                  <w:pPr>
                    <w:pStyle w:val="35"/>
                  </w:pPr>
                  <w:r>
                    <w:rPr>
                      <w:rFonts w:hint="eastAsia"/>
                    </w:rPr>
                    <w:t>一般固废</w:t>
                  </w:r>
                </w:p>
              </w:tc>
              <w:tc>
                <w:tcPr>
                  <w:tcW w:w="942" w:type="pct"/>
                  <w:noWrap/>
                  <w:vAlign w:val="center"/>
                </w:tcPr>
                <w:p>
                  <w:pPr>
                    <w:pStyle w:val="35"/>
                  </w:pPr>
                  <w:r>
                    <w:rPr>
                      <w:rFonts w:hint="eastAsia"/>
                      <w:lang w:val="en-US" w:eastAsia="zh-CN"/>
                    </w:rPr>
                    <w:t>0.7</w:t>
                  </w:r>
                </w:p>
              </w:tc>
              <w:tc>
                <w:tcPr>
                  <w:tcW w:w="1418" w:type="dxa"/>
                  <w:vAlign w:val="center"/>
                </w:tcPr>
                <w:p>
                  <w:pPr>
                    <w:pStyle w:val="35"/>
                  </w:pPr>
                  <w:r>
                    <w:rPr>
                      <w:rFonts w:hint="eastAsia"/>
                      <w:lang w:val="en-US" w:eastAsia="zh-CN"/>
                    </w:rPr>
                    <w:t>0.7</w:t>
                  </w:r>
                </w:p>
              </w:tc>
              <w:tc>
                <w:tcPr>
                  <w:tcW w:w="1031" w:type="pct"/>
                  <w:vAlign w:val="center"/>
                </w:tcPr>
                <w:p>
                  <w:pPr>
                    <w:pStyle w:val="35"/>
                  </w:pP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988" w:type="pct"/>
                  <w:vMerge w:val="continue"/>
                  <w:vAlign w:val="center"/>
                </w:tcPr>
                <w:p>
                  <w:pPr>
                    <w:pStyle w:val="35"/>
                  </w:pPr>
                </w:p>
              </w:tc>
              <w:tc>
                <w:tcPr>
                  <w:tcW w:w="1178" w:type="pct"/>
                  <w:vAlign w:val="center"/>
                </w:tcPr>
                <w:p>
                  <w:pPr>
                    <w:pStyle w:val="35"/>
                  </w:pPr>
                  <w:r>
                    <w:rPr>
                      <w:rFonts w:hint="eastAsia"/>
                    </w:rPr>
                    <w:t>生活垃圾</w:t>
                  </w:r>
                </w:p>
              </w:tc>
              <w:tc>
                <w:tcPr>
                  <w:tcW w:w="942" w:type="pct"/>
                  <w:noWrap/>
                  <w:vAlign w:val="center"/>
                </w:tcPr>
                <w:p>
                  <w:pPr>
                    <w:pStyle w:val="35"/>
                    <w:rPr>
                      <w:rFonts w:hint="default" w:eastAsia="宋体"/>
                      <w:lang w:val="en-US" w:eastAsia="zh-CN"/>
                    </w:rPr>
                  </w:pPr>
                  <w:r>
                    <w:rPr>
                      <w:rFonts w:hint="eastAsia"/>
                      <w:lang w:val="en-US" w:eastAsia="zh-CN"/>
                    </w:rPr>
                    <w:t>7.5</w:t>
                  </w:r>
                </w:p>
              </w:tc>
              <w:tc>
                <w:tcPr>
                  <w:tcW w:w="1418" w:type="dxa"/>
                  <w:vAlign w:val="center"/>
                </w:tcPr>
                <w:p>
                  <w:pPr>
                    <w:pStyle w:val="35"/>
                  </w:pPr>
                  <w:r>
                    <w:rPr>
                      <w:rFonts w:hint="eastAsia"/>
                      <w:lang w:val="en-US" w:eastAsia="zh-CN"/>
                    </w:rPr>
                    <w:t>7.5</w:t>
                  </w:r>
                </w:p>
              </w:tc>
              <w:tc>
                <w:tcPr>
                  <w:tcW w:w="1031" w:type="pct"/>
                  <w:vAlign w:val="center"/>
                </w:tcPr>
                <w:p>
                  <w:pPr>
                    <w:pStyle w:val="35"/>
                  </w:pPr>
                  <w:r>
                    <w:t>0</w:t>
                  </w:r>
                </w:p>
              </w:tc>
            </w:tr>
          </w:tbl>
          <w:p>
            <w:pPr>
              <w:pStyle w:val="14"/>
            </w:pPr>
            <w:r>
              <w:t>6</w:t>
            </w:r>
            <w:r>
              <w:rPr>
                <w:rFonts w:hint="eastAsia"/>
              </w:rPr>
              <w:t>、现有项目环保审批意见相符性分析</w:t>
            </w:r>
          </w:p>
          <w:p>
            <w:pPr>
              <w:pStyle w:val="12"/>
            </w:pPr>
            <w:r>
              <w:rPr>
                <w:rStyle w:val="33"/>
                <w:rFonts w:hint="eastAsia" w:eastAsiaTheme="minorEastAsia" w:cstheme="minorBidi"/>
                <w:b/>
                <w:bCs/>
              </w:rPr>
              <w:t>表</w:t>
            </w:r>
            <w:r>
              <w:rPr>
                <w:rStyle w:val="33"/>
                <w:rFonts w:eastAsiaTheme="minorEastAsia" w:cstheme="minorBidi"/>
                <w:b/>
                <w:bCs/>
              </w:rPr>
              <w:t xml:space="preserve">2-12   </w:t>
            </w:r>
            <w:r>
              <w:rPr>
                <w:rStyle w:val="33"/>
                <w:rFonts w:hint="eastAsia" w:eastAsiaTheme="minorEastAsia" w:cstheme="minorBidi"/>
                <w:b/>
                <w:bCs/>
              </w:rPr>
              <w:t>现有项目环评批复落实情况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828"/>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序号</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环评批复要求</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highlight w:val="yellow"/>
                    </w:rPr>
                  </w:pPr>
                  <w:r>
                    <w:rPr>
                      <w:rFonts w:hint="eastAsia"/>
                    </w:rPr>
                    <w:t>目前执行情况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1</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default" w:ascii="Times New Roman" w:hAnsi="Times New Roman" w:eastAsia="宋体" w:cs="Times New Roman"/>
                      <w:kern w:val="2"/>
                      <w:sz w:val="21"/>
                      <w:szCs w:val="24"/>
                      <w:lang w:val="en-US" w:eastAsia="zh-CN" w:bidi="ar-SA"/>
                    </w:rPr>
                  </w:pPr>
                  <w:r>
                    <w:rPr>
                      <w:rFonts w:hint="eastAsia"/>
                      <w:lang w:eastAsia="zh-CN"/>
                    </w:rPr>
                    <w:t>该项目位于苏州高新区峨眉山路</w:t>
                  </w:r>
                  <w:r>
                    <w:rPr>
                      <w:rFonts w:hint="eastAsia"/>
                      <w:lang w:val="en-US" w:eastAsia="zh-CN"/>
                    </w:rPr>
                    <w:t>70号，主要建设内容为：年产零部件100万只，衬套500万套。</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default" w:ascii="Times New Roman" w:hAnsi="Times New Roman" w:eastAsia="宋体" w:cs="Times New Roman"/>
                      <w:kern w:val="2"/>
                      <w:sz w:val="21"/>
                      <w:szCs w:val="24"/>
                      <w:lang w:val="en-US" w:eastAsia="zh-CN" w:bidi="ar-SA"/>
                    </w:rPr>
                  </w:pPr>
                  <w:r>
                    <w:rPr>
                      <w:rFonts w:hint="eastAsia"/>
                      <w:lang w:eastAsia="zh-CN"/>
                    </w:rPr>
                    <w:t>本项目位于苏州高新区峨眉山路</w:t>
                  </w:r>
                  <w:r>
                    <w:rPr>
                      <w:rFonts w:hint="eastAsia"/>
                      <w:lang w:val="en-US" w:eastAsia="zh-CN"/>
                    </w:rPr>
                    <w:t>70号，主要建设内容为年产零部件100万只。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2</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根据该项目的环评结论，在切实落实各项污染防治、环境风险防范，确保各类污染物稳定达标排放的前提下，从环保角度分析，该项目建设对环境的不利影响可得到缓解和控制。</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3</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eastAsia="zh-CN"/>
                    </w:rPr>
                    <w:t>项目生活污水及冷却系统排水接入市政污水管网，项目排口水污染物排放执行《污水综合排放标准》（</w:t>
                  </w:r>
                  <w:r>
                    <w:rPr>
                      <w:rFonts w:hint="eastAsia"/>
                      <w:lang w:val="en-US" w:eastAsia="zh-CN"/>
                    </w:rPr>
                    <w:t>GB8978-1996</w:t>
                  </w:r>
                  <w:r>
                    <w:rPr>
                      <w:rFonts w:hint="eastAsia"/>
                      <w:lang w:eastAsia="zh-CN"/>
                    </w:rPr>
                    <w:t>）表</w:t>
                  </w:r>
                  <w:r>
                    <w:rPr>
                      <w:rFonts w:hint="eastAsia"/>
                      <w:lang w:val="en-US" w:eastAsia="zh-CN"/>
                    </w:rPr>
                    <w:t>4三级标准限值，其中总磷、氨氮执行《污水排入城镇下水道水质标准》（GB/T31962-2015）表1中B级标准。</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eastAsia="zh-CN"/>
                    </w:rPr>
                    <w:t>本项目利用苏州华益成电器有限公司现有排污管道进行雨污分别排放。生活污水及冷却系统排水排入市政管网后进入苏州高新镇湖污水处理厂处理。验收监测期间所测废水总排口中各污染物日均排放浓度均符合标准中的限值要求。废水监测结果见表7-</w:t>
                  </w:r>
                  <w:r>
                    <w:rPr>
                      <w:rFonts w:hint="eastAsia"/>
                      <w:lang w:val="en-US" w:eastAsia="zh-CN"/>
                    </w:rPr>
                    <w:t>2</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4</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eastAsia="zh-CN"/>
                    </w:rPr>
                    <w:t>加强废气管理，项目有机废气经收集处理后通过</w:t>
                  </w:r>
                  <w:r>
                    <w:rPr>
                      <w:rFonts w:hint="eastAsia"/>
                      <w:lang w:val="en-US" w:eastAsia="zh-CN"/>
                    </w:rPr>
                    <w:t>15m高排气筒排放，非甲烷总烃有组织排放浓度执行70m3，无组织排放监控浓度执行《大气污染物综合排放标准》（GB16297-1996）标准值的80%及《挥发性有机物无组织排放控制标准》（GB37822-2019）。</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本项目注塑废气及清洗废气经收集后由活性炭吸附处理后通过15米高排气筒P1排放；未收集部分及焊接过程产生的焊接以无组织形式在车间内排放。验收期间所测有组织废气及无组织废气中各污染物的日均排放浓度均符合批复标准中的限值要求。废气监测结果详见表7-3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5</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eastAsia="zh-CN"/>
                    </w:rPr>
                    <w:t>采取切实有效的隔音降噪措施，确保本项目厂界噪声排放达到《工业企业厂界环境噪声排放标准》（</w:t>
                  </w:r>
                  <w:r>
                    <w:rPr>
                      <w:rFonts w:hint="eastAsia"/>
                      <w:lang w:val="en-US" w:eastAsia="zh-CN"/>
                    </w:rPr>
                    <w:t>GB12348-2008</w:t>
                  </w:r>
                  <w:r>
                    <w:rPr>
                      <w:rFonts w:hint="eastAsia"/>
                      <w:lang w:eastAsia="zh-CN"/>
                    </w:rPr>
                    <w:t>）</w:t>
                  </w:r>
                  <w:r>
                    <w:rPr>
                      <w:rFonts w:hint="eastAsia"/>
                      <w:lang w:val="en-US" w:eastAsia="zh-CN"/>
                    </w:rPr>
                    <w:t>3类标准，昼间≤65dB(A)，夜间≤55dB(A)。</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eastAsia="zh-CN"/>
                    </w:rPr>
                    <w:t>项目采取有效减振、隔声等降噪措施。验收期间所测厂界昼夜间噪声均达到《工业企业厂界环境声排放标准(GB12348-2008)中的3类标准。噪声监测结果详见表7-</w:t>
                  </w:r>
                  <w:r>
                    <w:rPr>
                      <w:rFonts w:hint="eastAsia"/>
                      <w:lang w:val="en-US" w:eastAsia="zh-CN"/>
                    </w:rPr>
                    <w:t>8</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6</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val="en-US" w:eastAsia="zh-CN"/>
                    </w:rPr>
                    <w:t>建设单位应落实报告表中提出的各项固体废物污染防治措施，生活垃圾、一般工业固废、危险废物须分类收集、处置。生活垃圾必须送当地政府规定的地点进行处理，不得随意扔撒或者堆放。本项目产生的危险废物种类为：废机油HW08(900-249-08)、废切削液HW09(900-006-09)、废包装桶HW49(900-041-49)、废酸液HW34(900-304-34)、废清洗液HW06(900-404-06)、清洗废水HW06(900-404-06)、实验室清洗废液（含废培养基）HW49(900-047-49)、废活性炭HW49(900-041-49)须按国家有关规定进行贮存、转移、运输及处置。危险废物管理执行《危险废物收集、贮存、运输技术规范》（HJ2025-2012）、《危险废物贮存污染控制标准》（GB18597-2001）及2013年修改单。</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项目产生的固（液）体废物均妥善处置：不合格品和废包装外卖至苏州至伟再生资源有限公司处理，废机油、废切削液、废包装桶、废酸液、废清洗液、清洗废水、实验室清洗废液、废活性炭委托苏州全佳环保科技有限公司处理；生活垃圾由苏州高新区通安市政服务中心统一清运。本项目固（液）体废物零排放，一般固废堆放场所10平方米、危废暂存场所5平方米已建成。危废仓库安装标识牌，仓库防风、防雨、防晒，设有托盘、导流槽并浇筑环氧地坪，满足基础防渗需求。项目主要固（液）体废物的种类及处置方式见表3-3。</w:t>
                  </w:r>
                </w:p>
                <w:p>
                  <w:pPr>
                    <w:pStyle w:val="35"/>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7</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该项目实施后，建设单位应落实环评文件提出的以生产车间为界设置100米卫生防护距离的要求，目前该范围内无居民等敏感目标，今后该卫生防护距离内不得建设居民住宅等环境敏感目标。</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default"/>
                      <w:lang w:val="en-US" w:eastAsia="zh-CN"/>
                    </w:rPr>
                  </w:pPr>
                  <w:r>
                    <w:rPr>
                      <w:rFonts w:hint="eastAsia"/>
                      <w:lang w:val="en-US" w:eastAsia="zh-CN"/>
                    </w:rPr>
                    <w:t>本项目100米内无敏感目标。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lang w:val="en-US" w:eastAsia="zh-CN"/>
                    </w:rPr>
                  </w:pPr>
                  <w:r>
                    <w:rPr>
                      <w:rFonts w:hint="eastAsia"/>
                      <w:lang w:val="en-US" w:eastAsia="zh-CN"/>
                    </w:rPr>
                    <w:t>8</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采取有效的环境风险防范措施和应急措施,制定《突发环境事件应急预案》并报我局备案,建立完善的监控,监测,应急及报警系统,防止各类污染事故发生。</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项目应急预案已编制完成，应急预案备案中。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lang w:val="en-US" w:eastAsia="zh-CN"/>
                    </w:rPr>
                  </w:pPr>
                  <w:r>
                    <w:rPr>
                      <w:rFonts w:hint="eastAsia"/>
                      <w:lang w:val="en-US" w:eastAsia="zh-CN"/>
                    </w:rPr>
                    <w:t>9</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排污口设置按《江苏省排污口设置及规范化整治管理办法》(苏环控[1997]22号文)的要求执行,各类污染物排放口设置监测采样口并安装环保标志牌。要求你公司积极推广循环经济理念,实施清洁生产措施,贯彻IS014000标准。</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排污标识牌已张贴，排污口设置按《江苏省排污口设置及规范化整治管理办法》(苏环控[1997]22号文)的要求。ISO14000认证进行中。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lang w:val="en-US" w:eastAsia="zh-CN"/>
                    </w:rPr>
                  </w:pPr>
                  <w:r>
                    <w:rPr>
                      <w:rFonts w:hint="eastAsia"/>
                      <w:lang w:val="en-US" w:eastAsia="zh-CN"/>
                    </w:rPr>
                    <w:t>10</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该项目在环境治理设施设计、安装、使用中涉及安全生产的应遵守设计使用规范和相关主管部门要求；对环境治理设施开展安全风险辨识管控，健全内部污染防治设施稳定运行和管理责任制度，严格依据标准规范建设环境治理设施，确保环境治理设施安全、稳定、有效运行。</w:t>
                  </w:r>
                </w:p>
                <w:p>
                  <w:pPr>
                    <w:pStyle w:val="35"/>
                    <w:rPr>
                      <w:rFonts w:hint="eastAsia"/>
                      <w:lang w:val="en-US" w:eastAsia="zh-CN"/>
                    </w:rPr>
                  </w:pP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lang w:val="en-US" w:eastAsia="zh-CN"/>
                    </w:rPr>
                  </w:pPr>
                  <w:r>
                    <w:rPr>
                      <w:rFonts w:hint="eastAsia"/>
                      <w:lang w:val="en-US" w:eastAsia="zh-CN"/>
                    </w:rPr>
                    <w:t>11</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根据区域总量平衡方案，本项目实施后，污染物年排放量初步核定为：生活污水污染物（接管考核量）：废水量≤745吨、COD≤0. 289吨、SS≤0. 2165吨、氨氮≤0. 0216吨、总磷≤0. 0036吨。无组织颗粒物≤0. 0006吨，无组织挥发性有机物≤0. 0112吨，有组织挥发性有机物≤0. 0151吨。该项目最终允许污染物排放量以排污许可证核定量为准。</w:t>
                  </w:r>
                </w:p>
                <w:p>
                  <w:pPr>
                    <w:pStyle w:val="35"/>
                    <w:rPr>
                      <w:rFonts w:hint="eastAsia"/>
                      <w:lang w:val="en-US" w:eastAsia="zh-CN"/>
                    </w:rPr>
                  </w:pP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本项目废水及废气各污染物年排放总量符合批复中的限值要求。污染物年排放总量详见表7-9~7-10。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54"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lang w:val="en-US" w:eastAsia="zh-CN"/>
                    </w:rPr>
                  </w:pPr>
                  <w:r>
                    <w:rPr>
                      <w:rFonts w:hint="eastAsia"/>
                      <w:lang w:val="en-US" w:eastAsia="zh-CN"/>
                    </w:rPr>
                    <w:t>12</w:t>
                  </w:r>
                </w:p>
              </w:tc>
              <w:tc>
                <w:tcPr>
                  <w:tcW w:w="3828"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该项目实施后，建设单位应在排放污染物之前按照国家规定的程序和要求向环保部门办理排污许可相关手续，做到持证排污、按证排污。按照《建设项目竣工环境保护验收暂行办法》办理环保设施竣工验收手续。需要配套建设的环境保护设施未建成、未经验收或者经验收不合格，建设项目已投入生产或者使用的，生态环境部门将依法进行查处。</w:t>
                  </w:r>
                </w:p>
              </w:tc>
              <w:tc>
                <w:tcPr>
                  <w:tcW w:w="3780" w:type="dxa"/>
                  <w:tcBorders>
                    <w:top w:val="single" w:color="auto" w:sz="4" w:space="0"/>
                    <w:left w:val="single" w:color="auto" w:sz="4" w:space="0"/>
                    <w:bottom w:val="single" w:color="auto" w:sz="4" w:space="0"/>
                    <w:right w:val="single" w:color="auto" w:sz="4" w:space="0"/>
                  </w:tcBorders>
                  <w:vAlign w:val="center"/>
                </w:tcPr>
                <w:p>
                  <w:pPr>
                    <w:pStyle w:val="35"/>
                    <w:rPr>
                      <w:rFonts w:hint="eastAsia"/>
                      <w:lang w:val="en-US" w:eastAsia="zh-CN"/>
                    </w:rPr>
                  </w:pPr>
                  <w:r>
                    <w:rPr>
                      <w:rFonts w:hint="eastAsia"/>
                      <w:lang w:val="en-US" w:eastAsia="zh-CN"/>
                    </w:rPr>
                    <w:t>本项目验收进行中。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35"/>
                    <w:jc w:val="center"/>
                    <w:rPr>
                      <w:rFonts w:hint="default"/>
                      <w:lang w:val="en-US" w:eastAsia="zh-CN"/>
                    </w:rPr>
                  </w:pPr>
                  <w:r>
                    <w:rPr>
                      <w:rFonts w:hint="eastAsia"/>
                      <w:lang w:val="en-US" w:eastAsia="zh-CN"/>
                    </w:rPr>
                    <w:t>13</w:t>
                  </w:r>
                </w:p>
              </w:tc>
              <w:tc>
                <w:tcPr>
                  <w:tcW w:w="0" w:type="auto"/>
                  <w:vAlign w:val="center"/>
                </w:tcPr>
                <w:p>
                  <w:pPr>
                    <w:pStyle w:val="35"/>
                    <w:rPr>
                      <w:rFonts w:hint="eastAsia"/>
                      <w:lang w:val="en-US" w:eastAsia="zh-CN"/>
                    </w:rPr>
                  </w:pPr>
                  <w:r>
                    <w:rPr>
                      <w:rFonts w:hint="eastAsia"/>
                      <w:lang w:val="en-US" w:eastAsia="zh-CN"/>
                    </w:rPr>
                    <w:t>建设单位是该建设项目环境信息公开的主体，须自收到我局批复后及时将该项目报告表的最终版本予以公开。同时应按照《建设项目环境影响评价信息公开机制方案》（环发（2015)162号）做好建设项目开工前、施工期和建成后的信息公开工作。</w:t>
                  </w:r>
                </w:p>
              </w:tc>
              <w:tc>
                <w:tcPr>
                  <w:tcW w:w="0" w:type="auto"/>
                  <w:vAlign w:val="center"/>
                </w:tcPr>
                <w:p>
                  <w:pPr>
                    <w:pStyle w:val="35"/>
                    <w:rPr>
                      <w:rFonts w:hint="eastAsia"/>
                      <w:lang w:val="en-US" w:eastAsia="zh-CN"/>
                    </w:rPr>
                  </w:pPr>
                </w:p>
                <w:p>
                  <w:pPr>
                    <w:pStyle w:val="35"/>
                    <w:rPr>
                      <w:rFonts w:hint="eastAsia"/>
                      <w:lang w:val="en-US" w:eastAsia="zh-CN"/>
                    </w:rPr>
                  </w:pPr>
                  <w:r>
                    <w:rPr>
                      <w:rFonts w:hint="eastAsia"/>
                      <w:lang w:val="en-US"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Align w:val="center"/>
                </w:tcPr>
                <w:p>
                  <w:pPr>
                    <w:pStyle w:val="35"/>
                    <w:jc w:val="center"/>
                    <w:rPr>
                      <w:rFonts w:hint="default"/>
                      <w:lang w:val="en-US" w:eastAsia="zh-CN"/>
                    </w:rPr>
                  </w:pPr>
                  <w:r>
                    <w:rPr>
                      <w:rFonts w:hint="eastAsia"/>
                      <w:lang w:val="en-US" w:eastAsia="zh-CN"/>
                    </w:rPr>
                    <w:t>14</w:t>
                  </w:r>
                </w:p>
              </w:tc>
              <w:tc>
                <w:tcPr>
                  <w:tcW w:w="0" w:type="auto"/>
                  <w:vAlign w:val="center"/>
                </w:tcPr>
                <w:p>
                  <w:pPr>
                    <w:pStyle w:val="35"/>
                    <w:rPr>
                      <w:rFonts w:hint="eastAsia"/>
                      <w:lang w:val="en-US" w:eastAsia="zh-CN"/>
                    </w:rPr>
                  </w:pPr>
                  <w:r>
                    <w:rPr>
                      <w:rFonts w:hint="eastAsia"/>
                      <w:lang w:val="en-US" w:eastAsia="zh-CN"/>
                    </w:rPr>
                    <w:t>该项目在建设过程中若项目的性质、规模、地点、采用的生产工艺或者防治污染、防止生态破坏的措施、设施发生重大变动的，应当重新报批项目的环境影响评价文件。自批准之日起，如超过5年方决定工程开工建设的，环境影响评价文件须报重新审核。</w:t>
                  </w:r>
                </w:p>
              </w:tc>
              <w:tc>
                <w:tcPr>
                  <w:tcW w:w="0" w:type="auto"/>
                  <w:vAlign w:val="center"/>
                </w:tcPr>
                <w:p>
                  <w:pPr>
                    <w:pStyle w:val="35"/>
                    <w:rPr>
                      <w:rFonts w:hint="eastAsia"/>
                      <w:lang w:val="en-US" w:eastAsia="zh-CN"/>
                    </w:rPr>
                  </w:pPr>
                  <w:r>
                    <w:rPr>
                      <w:rFonts w:hint="eastAsia"/>
                      <w:lang w:val="en-US" w:eastAsia="zh-CN"/>
                    </w:rPr>
                    <w:t>本项目于2020年06月28日取得批复，迄今未满五年。</w:t>
                  </w:r>
                </w:p>
              </w:tc>
            </w:tr>
          </w:tbl>
          <w:p>
            <w:pPr>
              <w:pStyle w:val="14"/>
            </w:pPr>
            <w:r>
              <w:t>7</w:t>
            </w:r>
            <w:r>
              <w:rPr>
                <w:rFonts w:hint="eastAsia"/>
              </w:rPr>
              <w:t>、现有项目存在的主要环境问题</w:t>
            </w:r>
          </w:p>
          <w:p>
            <w:pPr>
              <w:pStyle w:val="29"/>
              <w:ind w:firstLine="480"/>
              <w:rPr>
                <w:rFonts w:hint="eastAsia"/>
              </w:rPr>
            </w:pPr>
            <w:r>
              <w:rPr>
                <w:rFonts w:hint="eastAsia"/>
              </w:rPr>
              <w:t>原有项目环保手续基本齐全，生产运行期间，企业未收到居民、学校等敏感点的投诉，未受到环保部门处罚，目前原有项目不存在环保问题。</w:t>
            </w:r>
          </w:p>
          <w:p>
            <w:pPr>
              <w:pStyle w:val="14"/>
            </w:pPr>
            <w:r>
              <w:rPr>
                <w:rFonts w:hint="eastAsia"/>
              </w:rPr>
              <w:t>8、“以新带老”措施</w:t>
            </w:r>
          </w:p>
          <w:p>
            <w:pPr>
              <w:pStyle w:val="29"/>
              <w:ind w:firstLine="480"/>
            </w:pPr>
            <w:r>
              <w:rPr>
                <w:rFonts w:hint="eastAsia"/>
              </w:rPr>
              <w:t>无</w:t>
            </w:r>
          </w:p>
          <w:p/>
          <w:p/>
          <w:p/>
          <w:p/>
        </w:tc>
      </w:tr>
    </w:tbl>
    <w:p>
      <w:pPr>
        <w:pStyle w:val="13"/>
        <w:jc w:val="center"/>
        <w:rPr>
          <w:rFonts w:ascii="Times New Roman" w:hAnsi="Times New Roman" w:eastAsia="黑体" w:cs="Times New Roman"/>
          <w:snapToGrid w:val="0"/>
          <w:sz w:val="36"/>
          <w:szCs w:val="36"/>
        </w:rPr>
        <w:sectPr>
          <w:pgSz w:w="11906" w:h="16838"/>
          <w:pgMar w:top="1701" w:right="1531" w:bottom="1701" w:left="1531" w:header="851" w:footer="851" w:gutter="0"/>
          <w:cols w:space="720" w:num="1"/>
          <w:docGrid w:linePitch="312" w:charSpace="0"/>
        </w:sectPr>
      </w:pPr>
    </w:p>
    <w:p>
      <w:pPr>
        <w:pStyle w:val="13"/>
        <w:spacing w:line="240" w:lineRule="auto"/>
        <w:jc w:val="center"/>
        <w:outlineLvl w:val="0"/>
        <w:rPr>
          <w:rFonts w:ascii="Times New Roman" w:hAnsi="Times New Roman" w:cs="Times New Roman"/>
          <w:b/>
          <w:bCs/>
          <w:snapToGrid w:val="0"/>
          <w:sz w:val="30"/>
          <w:szCs w:val="30"/>
        </w:rPr>
      </w:pPr>
      <w:bookmarkStart w:id="5" w:name="_Toc101518923"/>
      <w:r>
        <w:rPr>
          <w:rFonts w:ascii="Times New Roman" w:hAnsi="Times New Roman" w:cs="Times New Roman"/>
          <w:b/>
          <w:bCs/>
          <w:snapToGrid w:val="0"/>
          <w:sz w:val="30"/>
          <w:szCs w:val="30"/>
        </w:rPr>
        <w:t>三、区域环境质量现状、环境保护目标及评价标准</w:t>
      </w:r>
      <w:bookmarkEnd w:id="5"/>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99" w:type="dxa"/>
            <w:vAlign w:val="center"/>
          </w:tcPr>
          <w:p>
            <w:pPr>
              <w:spacing w:line="240" w:lineRule="auto"/>
              <w:jc w:val="center"/>
            </w:pPr>
            <w:r>
              <w:t>区域环境质量现状</w:t>
            </w:r>
          </w:p>
        </w:tc>
        <w:tc>
          <w:tcPr>
            <w:tcW w:w="8491" w:type="dxa"/>
          </w:tcPr>
          <w:p>
            <w:pPr>
              <w:pStyle w:val="14"/>
              <w:rPr>
                <w:rFonts w:eastAsia="宋体"/>
                <w:szCs w:val="24"/>
              </w:rPr>
            </w:pPr>
            <w:r>
              <w:t>1</w:t>
            </w:r>
            <w:r>
              <w:rPr>
                <w:rFonts w:hint="eastAsia"/>
              </w:rPr>
              <w:t>、大气环境质量现状</w:t>
            </w:r>
          </w:p>
          <w:p>
            <w:pPr>
              <w:pStyle w:val="29"/>
              <w:ind w:firstLine="480"/>
            </w:pPr>
            <w:r>
              <w:rPr>
                <w:rFonts w:hint="eastAsia"/>
              </w:rPr>
              <w:t>（1）基本污染物环境质量现状数据</w:t>
            </w:r>
          </w:p>
          <w:p>
            <w:pPr>
              <w:pStyle w:val="29"/>
              <w:ind w:firstLine="480"/>
            </w:pPr>
            <w:r>
              <w:rPr>
                <w:rFonts w:hint="eastAsia"/>
              </w:rPr>
              <w:t>根据《202</w:t>
            </w:r>
            <w:r>
              <w:t>1</w:t>
            </w:r>
            <w:r>
              <w:rPr>
                <w:rFonts w:hint="eastAsia"/>
              </w:rPr>
              <w:t>年度苏州高新区环境质量公报》，202</w:t>
            </w:r>
            <w:r>
              <w:t>1</w:t>
            </w:r>
            <w:r>
              <w:rPr>
                <w:rFonts w:hint="eastAsia"/>
              </w:rPr>
              <w:t>年，苏州高新区环境空气质量持续改善，全年空气质量（AQI）优良率为83.8%。细颗粒物（PM</w:t>
            </w:r>
            <w:r>
              <w:rPr>
                <w:rFonts w:hint="eastAsia"/>
                <w:vertAlign w:val="subscript"/>
              </w:rPr>
              <w:t>2.5</w:t>
            </w:r>
            <w:r>
              <w:rPr>
                <w:rFonts w:hint="eastAsia"/>
              </w:rPr>
              <w:t>）年均浓度为30微克/立方米，达到国家二级标准（35微克/立方米）；可吸入颗粒物（PM</w:t>
            </w:r>
            <w:r>
              <w:rPr>
                <w:rFonts w:hint="eastAsia"/>
                <w:vertAlign w:val="subscript"/>
              </w:rPr>
              <w:t>10</w:t>
            </w:r>
            <w:r>
              <w:rPr>
                <w:rFonts w:hint="eastAsia"/>
              </w:rPr>
              <w:t>）年均浓度为52微克/立方米，达到国家二级标准（70微克/立方米）；二氧化氮（NO</w:t>
            </w:r>
            <w:r>
              <w:rPr>
                <w:rFonts w:hint="eastAsia"/>
                <w:vertAlign w:val="subscript"/>
              </w:rPr>
              <w:t>2</w:t>
            </w:r>
            <w:r>
              <w:rPr>
                <w:rFonts w:hint="eastAsia"/>
              </w:rPr>
              <w:t>）年均浓度为35微克/立方米，达到国家二级标准（40微克/立方米）；二氧化硫（SO</w:t>
            </w:r>
            <w:r>
              <w:rPr>
                <w:rFonts w:hint="eastAsia"/>
                <w:vertAlign w:val="subscript"/>
              </w:rPr>
              <w:t>2</w:t>
            </w:r>
            <w:r>
              <w:rPr>
                <w:rFonts w:hint="eastAsia"/>
              </w:rPr>
              <w:t>）年均浓度为6微克/立方米，优于国家一级标准（20微克/立方米）；臭氧（O</w:t>
            </w:r>
            <w:r>
              <w:rPr>
                <w:rFonts w:hint="eastAsia"/>
                <w:vertAlign w:val="subscript"/>
              </w:rPr>
              <w:t>3</w:t>
            </w:r>
            <w:r>
              <w:rPr>
                <w:rFonts w:hint="eastAsia"/>
              </w:rPr>
              <w:t>）日最大8小时滑动平均值的第90百分位数为161微克/立方米，超过国家二级标准（160微克/立方米）0.01倍；一氧化碳（CO）24小时平均第95百分位数为1.0毫克/立方米，优于国家一级标准（4毫克/立方米）。区域空气质量现状评价表3-1。</w:t>
            </w:r>
          </w:p>
          <w:p>
            <w:pPr>
              <w:pStyle w:val="12"/>
              <w:rPr>
                <w:sz w:val="21"/>
                <w:szCs w:val="20"/>
              </w:rPr>
            </w:pPr>
            <w:r>
              <w:rPr>
                <w:rFonts w:hint="eastAsia"/>
              </w:rPr>
              <w:t>表</w:t>
            </w:r>
            <w:r>
              <w:t xml:space="preserve">3-1   </w:t>
            </w:r>
            <w:r>
              <w:rPr>
                <w:rFonts w:hint="eastAsia"/>
              </w:rPr>
              <w:t>区域空气质量现状情况</w:t>
            </w:r>
          </w:p>
          <w:tbl>
            <w:tblPr>
              <w:tblStyle w:val="16"/>
              <w:tblW w:w="5000" w:type="pct"/>
              <w:jc w:val="center"/>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Layout w:type="fixed"/>
              <w:tblCellMar>
                <w:top w:w="0" w:type="dxa"/>
                <w:left w:w="0" w:type="dxa"/>
                <w:bottom w:w="0" w:type="dxa"/>
                <w:right w:w="0" w:type="dxa"/>
              </w:tblCellMar>
            </w:tblPr>
            <w:tblGrid>
              <w:gridCol w:w="966"/>
              <w:gridCol w:w="2776"/>
              <w:gridCol w:w="1111"/>
              <w:gridCol w:w="1137"/>
              <w:gridCol w:w="1137"/>
              <w:gridCol w:w="1137"/>
            </w:tblGrid>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rPr>
                      <w:rFonts w:hint="eastAsia"/>
                    </w:rPr>
                    <w:t>污染物</w:t>
                  </w:r>
                </w:p>
              </w:tc>
              <w:tc>
                <w:tcPr>
                  <w:tcW w:w="2776" w:type="dxa"/>
                  <w:vAlign w:val="center"/>
                </w:tcPr>
                <w:p>
                  <w:pPr>
                    <w:pStyle w:val="35"/>
                  </w:pPr>
                  <w:r>
                    <w:rPr>
                      <w:rFonts w:hint="eastAsia"/>
                    </w:rPr>
                    <w:t>年评价指标</w:t>
                  </w:r>
                </w:p>
              </w:tc>
              <w:tc>
                <w:tcPr>
                  <w:tcW w:w="1111" w:type="dxa"/>
                  <w:vAlign w:val="center"/>
                </w:tcPr>
                <w:p>
                  <w:pPr>
                    <w:pStyle w:val="35"/>
                  </w:pPr>
                  <w:r>
                    <w:rPr>
                      <w:rFonts w:hint="eastAsia"/>
                    </w:rPr>
                    <w:t>现状浓度</w:t>
                  </w:r>
                  <w:r>
                    <w:t>/</w:t>
                  </w:r>
                  <w:r>
                    <w:rPr>
                      <w:rFonts w:hint="eastAsia"/>
                    </w:rPr>
                    <w:t>（</w:t>
                  </w:r>
                  <w:r>
                    <w:t>µg/m</w:t>
                  </w:r>
                  <w:r>
                    <w:rPr>
                      <w:vertAlign w:val="superscript"/>
                    </w:rPr>
                    <w:t>3</w:t>
                  </w:r>
                  <w:r>
                    <w:rPr>
                      <w:rFonts w:hint="eastAsia"/>
                    </w:rPr>
                    <w:t>）</w:t>
                  </w:r>
                </w:p>
              </w:tc>
              <w:tc>
                <w:tcPr>
                  <w:tcW w:w="1137" w:type="dxa"/>
                  <w:vAlign w:val="center"/>
                </w:tcPr>
                <w:p>
                  <w:pPr>
                    <w:pStyle w:val="35"/>
                  </w:pPr>
                  <w:r>
                    <w:rPr>
                      <w:rFonts w:hint="eastAsia"/>
                    </w:rPr>
                    <w:t>标准值</w:t>
                  </w:r>
                  <w:r>
                    <w:t>/</w:t>
                  </w:r>
                  <w:r>
                    <w:rPr>
                      <w:rFonts w:hint="eastAsia"/>
                    </w:rPr>
                    <w:t>（</w:t>
                  </w:r>
                  <w:r>
                    <w:t>µg/m</w:t>
                  </w:r>
                  <w:r>
                    <w:rPr>
                      <w:vertAlign w:val="superscript"/>
                    </w:rPr>
                    <w:t>3</w:t>
                  </w:r>
                  <w:r>
                    <w:rPr>
                      <w:rFonts w:hint="eastAsia"/>
                    </w:rPr>
                    <w:t>）</w:t>
                  </w:r>
                </w:p>
              </w:tc>
              <w:tc>
                <w:tcPr>
                  <w:tcW w:w="1137" w:type="dxa"/>
                  <w:vAlign w:val="center"/>
                </w:tcPr>
                <w:p>
                  <w:pPr>
                    <w:pStyle w:val="35"/>
                  </w:pPr>
                  <w:r>
                    <w:rPr>
                      <w:rFonts w:hint="eastAsia"/>
                    </w:rPr>
                    <w:t>占标率</w:t>
                  </w:r>
                  <w:r>
                    <w:t>/%</w:t>
                  </w:r>
                </w:p>
              </w:tc>
              <w:tc>
                <w:tcPr>
                  <w:tcW w:w="1137" w:type="dxa"/>
                  <w:vAlign w:val="center"/>
                </w:tcPr>
                <w:p>
                  <w:pPr>
                    <w:pStyle w:val="35"/>
                  </w:pPr>
                  <w:r>
                    <w:rPr>
                      <w:rFonts w:hint="eastAsia"/>
                    </w:rPr>
                    <w:t>达标情况</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t>SO</w:t>
                  </w:r>
                  <w:r>
                    <w:rPr>
                      <w:vertAlign w:val="subscript"/>
                    </w:rPr>
                    <w:t>2</w:t>
                  </w:r>
                </w:p>
              </w:tc>
              <w:tc>
                <w:tcPr>
                  <w:tcW w:w="2776" w:type="dxa"/>
                  <w:vAlign w:val="center"/>
                </w:tcPr>
                <w:p>
                  <w:pPr>
                    <w:pStyle w:val="35"/>
                  </w:pPr>
                  <w:r>
                    <w:rPr>
                      <w:rFonts w:hint="eastAsia"/>
                    </w:rPr>
                    <w:t>年平均质量浓度</w:t>
                  </w:r>
                </w:p>
              </w:tc>
              <w:tc>
                <w:tcPr>
                  <w:tcW w:w="1111" w:type="dxa"/>
                  <w:vAlign w:val="center"/>
                </w:tcPr>
                <w:p>
                  <w:pPr>
                    <w:pStyle w:val="35"/>
                  </w:pPr>
                  <w:r>
                    <w:t>6</w:t>
                  </w:r>
                </w:p>
              </w:tc>
              <w:tc>
                <w:tcPr>
                  <w:tcW w:w="1137" w:type="dxa"/>
                  <w:vAlign w:val="center"/>
                </w:tcPr>
                <w:p>
                  <w:pPr>
                    <w:pStyle w:val="35"/>
                  </w:pPr>
                  <w:r>
                    <w:t>60</w:t>
                  </w:r>
                </w:p>
              </w:tc>
              <w:tc>
                <w:tcPr>
                  <w:tcW w:w="1137" w:type="dxa"/>
                  <w:vAlign w:val="center"/>
                </w:tcPr>
                <w:p>
                  <w:pPr>
                    <w:pStyle w:val="35"/>
                  </w:pPr>
                  <w:r>
                    <w:t>10</w:t>
                  </w:r>
                </w:p>
              </w:tc>
              <w:tc>
                <w:tcPr>
                  <w:tcW w:w="1137" w:type="dxa"/>
                  <w:vAlign w:val="center"/>
                </w:tcPr>
                <w:p>
                  <w:pPr>
                    <w:pStyle w:val="35"/>
                  </w:pPr>
                  <w:r>
                    <w:rPr>
                      <w:rFonts w:hint="eastAsia"/>
                    </w:rPr>
                    <w:t>达标</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409" w:hRule="atLeast"/>
                <w:jc w:val="center"/>
              </w:trPr>
              <w:tc>
                <w:tcPr>
                  <w:tcW w:w="966" w:type="dxa"/>
                  <w:vAlign w:val="center"/>
                </w:tcPr>
                <w:p>
                  <w:pPr>
                    <w:pStyle w:val="35"/>
                  </w:pPr>
                  <w:r>
                    <w:t>NO</w:t>
                  </w:r>
                  <w:r>
                    <w:rPr>
                      <w:vertAlign w:val="subscript"/>
                    </w:rPr>
                    <w:t>2</w:t>
                  </w:r>
                </w:p>
              </w:tc>
              <w:tc>
                <w:tcPr>
                  <w:tcW w:w="2776" w:type="dxa"/>
                  <w:vAlign w:val="center"/>
                </w:tcPr>
                <w:p>
                  <w:pPr>
                    <w:pStyle w:val="35"/>
                  </w:pPr>
                  <w:r>
                    <w:rPr>
                      <w:rFonts w:hint="eastAsia"/>
                    </w:rPr>
                    <w:t>年平均质量浓度</w:t>
                  </w:r>
                </w:p>
              </w:tc>
              <w:tc>
                <w:tcPr>
                  <w:tcW w:w="1111" w:type="dxa"/>
                  <w:vAlign w:val="center"/>
                </w:tcPr>
                <w:p>
                  <w:pPr>
                    <w:pStyle w:val="35"/>
                  </w:pPr>
                  <w:r>
                    <w:t>35</w:t>
                  </w:r>
                </w:p>
              </w:tc>
              <w:tc>
                <w:tcPr>
                  <w:tcW w:w="1137" w:type="dxa"/>
                  <w:vAlign w:val="center"/>
                </w:tcPr>
                <w:p>
                  <w:pPr>
                    <w:pStyle w:val="35"/>
                  </w:pPr>
                  <w:r>
                    <w:t>40</w:t>
                  </w:r>
                </w:p>
              </w:tc>
              <w:tc>
                <w:tcPr>
                  <w:tcW w:w="1137" w:type="dxa"/>
                  <w:shd w:val="clear" w:color="auto" w:fill="auto"/>
                  <w:vAlign w:val="center"/>
                </w:tcPr>
                <w:p>
                  <w:pPr>
                    <w:pStyle w:val="35"/>
                  </w:pPr>
                  <w:r>
                    <w:t>88</w:t>
                  </w:r>
                </w:p>
              </w:tc>
              <w:tc>
                <w:tcPr>
                  <w:tcW w:w="1137" w:type="dxa"/>
                  <w:vAlign w:val="center"/>
                </w:tcPr>
                <w:p>
                  <w:pPr>
                    <w:pStyle w:val="35"/>
                  </w:pPr>
                  <w:r>
                    <w:rPr>
                      <w:rFonts w:hint="eastAsia"/>
                    </w:rPr>
                    <w:t>达标</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t>PM</w:t>
                  </w:r>
                  <w:r>
                    <w:rPr>
                      <w:vertAlign w:val="subscript"/>
                    </w:rPr>
                    <w:t>10</w:t>
                  </w:r>
                </w:p>
              </w:tc>
              <w:tc>
                <w:tcPr>
                  <w:tcW w:w="2776" w:type="dxa"/>
                  <w:vAlign w:val="center"/>
                </w:tcPr>
                <w:p>
                  <w:pPr>
                    <w:pStyle w:val="35"/>
                  </w:pPr>
                  <w:r>
                    <w:rPr>
                      <w:rFonts w:hint="eastAsia"/>
                    </w:rPr>
                    <w:t>年平均质量浓度</w:t>
                  </w:r>
                </w:p>
              </w:tc>
              <w:tc>
                <w:tcPr>
                  <w:tcW w:w="1111" w:type="dxa"/>
                  <w:vAlign w:val="center"/>
                </w:tcPr>
                <w:p>
                  <w:pPr>
                    <w:pStyle w:val="35"/>
                  </w:pPr>
                  <w:r>
                    <w:t>52</w:t>
                  </w:r>
                </w:p>
              </w:tc>
              <w:tc>
                <w:tcPr>
                  <w:tcW w:w="1137" w:type="dxa"/>
                  <w:vAlign w:val="center"/>
                </w:tcPr>
                <w:p>
                  <w:pPr>
                    <w:pStyle w:val="35"/>
                  </w:pPr>
                  <w:r>
                    <w:t>70</w:t>
                  </w:r>
                </w:p>
              </w:tc>
              <w:tc>
                <w:tcPr>
                  <w:tcW w:w="1137" w:type="dxa"/>
                  <w:shd w:val="clear" w:color="auto" w:fill="auto"/>
                  <w:vAlign w:val="center"/>
                </w:tcPr>
                <w:p>
                  <w:pPr>
                    <w:pStyle w:val="35"/>
                  </w:pPr>
                  <w:r>
                    <w:t>74</w:t>
                  </w:r>
                </w:p>
              </w:tc>
              <w:tc>
                <w:tcPr>
                  <w:tcW w:w="1137" w:type="dxa"/>
                  <w:vAlign w:val="center"/>
                </w:tcPr>
                <w:p>
                  <w:pPr>
                    <w:pStyle w:val="35"/>
                  </w:pPr>
                  <w:r>
                    <w:rPr>
                      <w:rFonts w:hint="eastAsia"/>
                    </w:rPr>
                    <w:t>达标</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t>PM</w:t>
                  </w:r>
                  <w:r>
                    <w:rPr>
                      <w:vertAlign w:val="subscript"/>
                    </w:rPr>
                    <w:t>2.5</w:t>
                  </w:r>
                </w:p>
              </w:tc>
              <w:tc>
                <w:tcPr>
                  <w:tcW w:w="2776" w:type="dxa"/>
                  <w:vAlign w:val="center"/>
                </w:tcPr>
                <w:p>
                  <w:pPr>
                    <w:pStyle w:val="35"/>
                  </w:pPr>
                  <w:r>
                    <w:rPr>
                      <w:rFonts w:hint="eastAsia"/>
                    </w:rPr>
                    <w:t>年平均质量浓度</w:t>
                  </w:r>
                </w:p>
              </w:tc>
              <w:tc>
                <w:tcPr>
                  <w:tcW w:w="1111" w:type="dxa"/>
                  <w:vAlign w:val="center"/>
                </w:tcPr>
                <w:p>
                  <w:pPr>
                    <w:pStyle w:val="35"/>
                  </w:pPr>
                  <w:r>
                    <w:t>30</w:t>
                  </w:r>
                </w:p>
              </w:tc>
              <w:tc>
                <w:tcPr>
                  <w:tcW w:w="1137" w:type="dxa"/>
                  <w:vAlign w:val="center"/>
                </w:tcPr>
                <w:p>
                  <w:pPr>
                    <w:pStyle w:val="35"/>
                  </w:pPr>
                  <w:r>
                    <w:t>35</w:t>
                  </w:r>
                </w:p>
              </w:tc>
              <w:tc>
                <w:tcPr>
                  <w:tcW w:w="1137" w:type="dxa"/>
                  <w:shd w:val="clear" w:color="auto" w:fill="auto"/>
                  <w:vAlign w:val="center"/>
                </w:tcPr>
                <w:p>
                  <w:pPr>
                    <w:pStyle w:val="35"/>
                  </w:pPr>
                  <w:r>
                    <w:t>86</w:t>
                  </w:r>
                </w:p>
              </w:tc>
              <w:tc>
                <w:tcPr>
                  <w:tcW w:w="1137" w:type="dxa"/>
                  <w:vAlign w:val="center"/>
                </w:tcPr>
                <w:p>
                  <w:pPr>
                    <w:pStyle w:val="35"/>
                  </w:pPr>
                  <w:r>
                    <w:rPr>
                      <w:rFonts w:hint="eastAsia"/>
                    </w:rPr>
                    <w:t>达标</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t>CO</w:t>
                  </w:r>
                </w:p>
              </w:tc>
              <w:tc>
                <w:tcPr>
                  <w:tcW w:w="2776" w:type="dxa"/>
                  <w:vAlign w:val="center"/>
                </w:tcPr>
                <w:p>
                  <w:pPr>
                    <w:pStyle w:val="35"/>
                  </w:pPr>
                  <w:r>
                    <w:rPr>
                      <w:rFonts w:hint="eastAsia"/>
                    </w:rPr>
                    <w:t>日平均第</w:t>
                  </w:r>
                  <w:r>
                    <w:t>95</w:t>
                  </w:r>
                  <w:r>
                    <w:rPr>
                      <w:rFonts w:hint="eastAsia"/>
                    </w:rPr>
                    <w:t>百分位数浓度</w:t>
                  </w:r>
                </w:p>
              </w:tc>
              <w:tc>
                <w:tcPr>
                  <w:tcW w:w="1111" w:type="dxa"/>
                  <w:vAlign w:val="center"/>
                </w:tcPr>
                <w:p>
                  <w:pPr>
                    <w:pStyle w:val="35"/>
                  </w:pPr>
                  <w:r>
                    <w:t>1000</w:t>
                  </w:r>
                </w:p>
              </w:tc>
              <w:tc>
                <w:tcPr>
                  <w:tcW w:w="1137" w:type="dxa"/>
                  <w:vAlign w:val="center"/>
                </w:tcPr>
                <w:p>
                  <w:pPr>
                    <w:pStyle w:val="35"/>
                  </w:pPr>
                  <w:r>
                    <w:t>4000</w:t>
                  </w:r>
                </w:p>
              </w:tc>
              <w:tc>
                <w:tcPr>
                  <w:tcW w:w="1137" w:type="dxa"/>
                  <w:shd w:val="clear" w:color="auto" w:fill="auto"/>
                  <w:vAlign w:val="center"/>
                </w:tcPr>
                <w:p>
                  <w:pPr>
                    <w:pStyle w:val="35"/>
                  </w:pPr>
                  <w:r>
                    <w:t>25</w:t>
                  </w:r>
                </w:p>
              </w:tc>
              <w:tc>
                <w:tcPr>
                  <w:tcW w:w="1137" w:type="dxa"/>
                  <w:vAlign w:val="center"/>
                </w:tcPr>
                <w:p>
                  <w:pPr>
                    <w:pStyle w:val="35"/>
                  </w:pPr>
                  <w:r>
                    <w:rPr>
                      <w:rFonts w:hint="eastAsia"/>
                    </w:rPr>
                    <w:t>达标</w:t>
                  </w:r>
                </w:p>
              </w:tc>
            </w:tr>
            <w:tr>
              <w:tblPrEx>
                <w:tblBorders>
                  <w:top w:val="single" w:color="auto" w:sz="2" w:space="0"/>
                  <w:left w:val="single" w:color="auto" w:sz="2" w:space="0"/>
                  <w:bottom w:val="single" w:color="auto" w:sz="2"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966" w:type="dxa"/>
                  <w:vAlign w:val="center"/>
                </w:tcPr>
                <w:p>
                  <w:pPr>
                    <w:pStyle w:val="35"/>
                  </w:pPr>
                  <w:r>
                    <w:t>O</w:t>
                  </w:r>
                  <w:r>
                    <w:rPr>
                      <w:vertAlign w:val="subscript"/>
                    </w:rPr>
                    <w:t>3</w:t>
                  </w:r>
                </w:p>
              </w:tc>
              <w:tc>
                <w:tcPr>
                  <w:tcW w:w="2776" w:type="dxa"/>
                  <w:vAlign w:val="center"/>
                </w:tcPr>
                <w:p>
                  <w:pPr>
                    <w:pStyle w:val="35"/>
                  </w:pPr>
                  <w:r>
                    <w:rPr>
                      <w:rFonts w:hint="eastAsia"/>
                    </w:rPr>
                    <w:t>最大8小时滑动平均值的第 90 百分位数</w:t>
                  </w:r>
                </w:p>
              </w:tc>
              <w:tc>
                <w:tcPr>
                  <w:tcW w:w="1111" w:type="dxa"/>
                  <w:vAlign w:val="center"/>
                </w:tcPr>
                <w:p>
                  <w:pPr>
                    <w:pStyle w:val="35"/>
                  </w:pPr>
                  <w:r>
                    <w:t>161</w:t>
                  </w:r>
                </w:p>
              </w:tc>
              <w:tc>
                <w:tcPr>
                  <w:tcW w:w="1137" w:type="dxa"/>
                  <w:vAlign w:val="center"/>
                </w:tcPr>
                <w:p>
                  <w:pPr>
                    <w:pStyle w:val="35"/>
                  </w:pPr>
                  <w:r>
                    <w:rPr>
                      <w:rFonts w:hint="eastAsia"/>
                    </w:rPr>
                    <w:t>1</w:t>
                  </w:r>
                  <w:r>
                    <w:t>60</w:t>
                  </w:r>
                </w:p>
              </w:tc>
              <w:tc>
                <w:tcPr>
                  <w:tcW w:w="1137" w:type="dxa"/>
                  <w:shd w:val="clear" w:color="auto" w:fill="auto"/>
                  <w:vAlign w:val="center"/>
                </w:tcPr>
                <w:p>
                  <w:pPr>
                    <w:pStyle w:val="35"/>
                  </w:pPr>
                  <w:r>
                    <w:t>101</w:t>
                  </w:r>
                </w:p>
              </w:tc>
              <w:tc>
                <w:tcPr>
                  <w:tcW w:w="1137" w:type="dxa"/>
                  <w:vAlign w:val="center"/>
                </w:tcPr>
                <w:p>
                  <w:pPr>
                    <w:pStyle w:val="35"/>
                  </w:pPr>
                  <w:r>
                    <w:rPr>
                      <w:rFonts w:hint="eastAsia"/>
                    </w:rPr>
                    <w:t>超标</w:t>
                  </w:r>
                </w:p>
              </w:tc>
            </w:tr>
          </w:tbl>
          <w:p>
            <w:pPr>
              <w:pStyle w:val="29"/>
              <w:ind w:firstLine="480"/>
            </w:pPr>
            <w:r>
              <w:rPr>
                <w:rFonts w:hint="eastAsia"/>
              </w:rPr>
              <w:t>由上表可知，苏州高新区细颗粒物（PM</w:t>
            </w:r>
            <w:r>
              <w:rPr>
                <w:rFonts w:hint="eastAsia"/>
                <w:vertAlign w:val="subscript"/>
              </w:rPr>
              <w:t>2.5</w:t>
            </w:r>
            <w:r>
              <w:rPr>
                <w:rFonts w:hint="eastAsia"/>
              </w:rPr>
              <w:t>）、可吸入颗粒物（PM</w:t>
            </w:r>
            <w:r>
              <w:rPr>
                <w:rFonts w:hint="eastAsia"/>
                <w:vertAlign w:val="subscript"/>
              </w:rPr>
              <w:t>10</w:t>
            </w:r>
            <w:r>
              <w:rPr>
                <w:rFonts w:hint="eastAsia"/>
              </w:rPr>
              <w:t>）、二氧化氮（NO</w:t>
            </w:r>
            <w:r>
              <w:rPr>
                <w:rFonts w:hint="eastAsia"/>
                <w:vertAlign w:val="subscript"/>
              </w:rPr>
              <w:t>2</w:t>
            </w:r>
            <w:r>
              <w:rPr>
                <w:rFonts w:hint="eastAsia"/>
              </w:rPr>
              <w:t>）、二氧化硫（SO</w:t>
            </w:r>
            <w:r>
              <w:rPr>
                <w:rFonts w:hint="eastAsia"/>
                <w:vertAlign w:val="subscript"/>
              </w:rPr>
              <w:t>2</w:t>
            </w:r>
            <w:r>
              <w:rPr>
                <w:rFonts w:hint="eastAsia"/>
              </w:rPr>
              <w:t>）、一氧化碳（CO）指标满足国家《环境空气质量标准》（GB3095-2012）及其修改单中年均值的二级标准，臭氧（O</w:t>
            </w:r>
            <w:r>
              <w:rPr>
                <w:rFonts w:hint="eastAsia"/>
                <w:vertAlign w:val="subscript"/>
              </w:rPr>
              <w:t>3</w:t>
            </w:r>
            <w:r>
              <w:rPr>
                <w:rFonts w:hint="eastAsia"/>
              </w:rPr>
              <w:t>）未达到国家《环境空气质量标准》（GB3095-2012）二级标准。因此，项目所在区域属于不达标区。</w:t>
            </w:r>
          </w:p>
          <w:p>
            <w:pPr>
              <w:pStyle w:val="29"/>
              <w:ind w:firstLine="480"/>
            </w:pPr>
            <w:r>
              <w:rPr>
                <w:rFonts w:hint="eastAsia"/>
              </w:rPr>
              <w:t>为进一步改善环境质量，根据《苏州市空气质量改善达标规划（2019-2024）》，苏州市以到2020年空气质量优良天数比率达到75%为近期目标，以到2024年环境空气质量实现全面达标为远期目标，通过调整能源结构，控制煤炭消费总量；调整产业结构，减少污染物排放；推进工业领域全行业、全要素达标排放；加强交通行业大气污染防治；严格控制扬尘污染；加强服务业和生活污染防治；推进农业污染防治；加强重污染天气应对等措施，提升大气污染防控能力。届时，苏州高新区的环境空气质量将得到极大的改善。</w:t>
            </w:r>
          </w:p>
          <w:p>
            <w:pPr>
              <w:pStyle w:val="29"/>
              <w:ind w:firstLine="480"/>
            </w:pPr>
            <w:r>
              <w:rPr>
                <w:rFonts w:hint="eastAsia"/>
              </w:rPr>
              <w:t>（2）其他污染物环境质量现状数据</w:t>
            </w:r>
          </w:p>
          <w:p>
            <w:pPr>
              <w:pStyle w:val="29"/>
              <w:ind w:firstLine="480"/>
            </w:pPr>
            <w:r>
              <w:rPr>
                <w:rFonts w:hint="eastAsia"/>
              </w:rPr>
              <w:t>本项目位于江苏省苏州市高新区科技城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rPr>
              <w:t>，本次非甲烷总烃环境质量现状数据引用苏州环优检测有限公司出具的《苏州长光华芯光电技术股份有限公司环评项目检测报告》（编号：H</w:t>
            </w:r>
            <w:r>
              <w:t>Y2101211401</w:t>
            </w:r>
            <w:r>
              <w:rPr>
                <w:rFonts w:hint="eastAsia"/>
              </w:rPr>
              <w:t>）中2</w:t>
            </w:r>
            <w:r>
              <w:t>021</w:t>
            </w:r>
            <w:r>
              <w:rPr>
                <w:rFonts w:hint="eastAsia"/>
              </w:rPr>
              <w:t>年1月22日~2</w:t>
            </w:r>
            <w:r>
              <w:t>8</w:t>
            </w:r>
            <w:r>
              <w:rPr>
                <w:rFonts w:hint="eastAsia"/>
              </w:rPr>
              <w:t>日的监测数据，引用点位G1（苏州长光华芯光电技术股份有限公司）位于本项目南侧约</w:t>
            </w:r>
            <w:r>
              <w:rPr>
                <w:rFonts w:hint="eastAsia"/>
                <w:lang w:val="en-US" w:eastAsia="zh-CN"/>
              </w:rPr>
              <w:t>1.7</w:t>
            </w:r>
            <w:r>
              <w:t>km</w:t>
            </w:r>
            <w:r>
              <w:rPr>
                <w:rFonts w:hint="eastAsia"/>
              </w:rPr>
              <w:t>。本次引用的非甲烷总烃监测数据符合《建设项目环境影响报告表编制技术指南（污染影响类）（试行）》中“引用建设项目周边5千米范围内近3年的现有监测数据”要求，非甲烷总烃环境质量现状数据见下表。</w:t>
            </w:r>
          </w:p>
          <w:p>
            <w:pPr>
              <w:pStyle w:val="12"/>
              <w:rPr>
                <w:sz w:val="21"/>
                <w:szCs w:val="20"/>
              </w:rPr>
            </w:pPr>
            <w:r>
              <w:rPr>
                <w:rFonts w:hint="eastAsia"/>
              </w:rPr>
              <w:t>表</w:t>
            </w:r>
            <w:r>
              <w:t xml:space="preserve">3-2   </w:t>
            </w:r>
            <w:r>
              <w:rPr>
                <w:rFonts w:hint="eastAsia"/>
              </w:rPr>
              <w:t>非甲烷总烃环境质量现状数据</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850"/>
              <w:gridCol w:w="1276"/>
              <w:gridCol w:w="1276"/>
              <w:gridCol w:w="1134"/>
              <w:gridCol w:w="1134"/>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rPr>
                      <w:rFonts w:hint="eastAsia"/>
                    </w:rPr>
                    <w:t>监测点位</w:t>
                  </w:r>
                </w:p>
              </w:tc>
              <w:tc>
                <w:tcPr>
                  <w:tcW w:w="850" w:type="dxa"/>
                  <w:vAlign w:val="center"/>
                </w:tcPr>
                <w:p>
                  <w:pPr>
                    <w:pStyle w:val="35"/>
                  </w:pPr>
                  <w:r>
                    <w:rPr>
                      <w:rFonts w:hint="eastAsia"/>
                    </w:rPr>
                    <w:t>监测因子</w:t>
                  </w:r>
                </w:p>
              </w:tc>
              <w:tc>
                <w:tcPr>
                  <w:tcW w:w="1276" w:type="dxa"/>
                  <w:vAlign w:val="center"/>
                </w:tcPr>
                <w:p>
                  <w:pPr>
                    <w:pStyle w:val="35"/>
                  </w:pPr>
                  <w:r>
                    <w:rPr>
                      <w:rFonts w:hint="eastAsia"/>
                    </w:rPr>
                    <w:t>监测时段</w:t>
                  </w:r>
                </w:p>
              </w:tc>
              <w:tc>
                <w:tcPr>
                  <w:tcW w:w="1276" w:type="dxa"/>
                  <w:vAlign w:val="center"/>
                </w:tcPr>
                <w:p>
                  <w:pPr>
                    <w:pStyle w:val="35"/>
                  </w:pPr>
                  <w:r>
                    <w:rPr>
                      <w:rFonts w:hint="eastAsia"/>
                    </w:rPr>
                    <w:t>检测结果范围（mg/m</w:t>
                  </w:r>
                  <w:r>
                    <w:rPr>
                      <w:vertAlign w:val="superscript"/>
                    </w:rPr>
                    <w:t>3</w:t>
                  </w:r>
                  <w:r>
                    <w:rPr>
                      <w:rFonts w:hint="eastAsia"/>
                    </w:rPr>
                    <w:t>）</w:t>
                  </w:r>
                </w:p>
              </w:tc>
              <w:tc>
                <w:tcPr>
                  <w:tcW w:w="1134" w:type="dxa"/>
                  <w:vAlign w:val="center"/>
                </w:tcPr>
                <w:p>
                  <w:pPr>
                    <w:pStyle w:val="35"/>
                  </w:pPr>
                  <w:r>
                    <w:rPr>
                      <w:rFonts w:hint="eastAsia"/>
                    </w:rPr>
                    <w:t>评价标准（mg/m</w:t>
                  </w:r>
                  <w:r>
                    <w:rPr>
                      <w:vertAlign w:val="superscript"/>
                    </w:rPr>
                    <w:t>3</w:t>
                  </w:r>
                  <w:r>
                    <w:rPr>
                      <w:rFonts w:hint="eastAsia"/>
                    </w:rPr>
                    <w:t>）</w:t>
                  </w:r>
                </w:p>
              </w:tc>
              <w:tc>
                <w:tcPr>
                  <w:tcW w:w="1134" w:type="dxa"/>
                  <w:vAlign w:val="center"/>
                </w:tcPr>
                <w:p>
                  <w:pPr>
                    <w:pStyle w:val="35"/>
                  </w:pPr>
                  <w:r>
                    <w:rPr>
                      <w:rFonts w:hint="eastAsia"/>
                    </w:rPr>
                    <w:t>最大浓度占标率</w:t>
                  </w:r>
                </w:p>
              </w:tc>
              <w:tc>
                <w:tcPr>
                  <w:tcW w:w="998" w:type="dxa"/>
                  <w:vAlign w:val="center"/>
                </w:tcPr>
                <w:p>
                  <w:pPr>
                    <w:pStyle w:val="35"/>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pPr>
                    <w:pStyle w:val="35"/>
                  </w:pPr>
                  <w:r>
                    <w:rPr>
                      <w:rFonts w:hint="eastAsia"/>
                    </w:rPr>
                    <w:t>G1（苏州长光华芯光电技术股份有限公司）</w:t>
                  </w:r>
                </w:p>
              </w:tc>
              <w:tc>
                <w:tcPr>
                  <w:tcW w:w="850" w:type="dxa"/>
                  <w:vAlign w:val="center"/>
                </w:tcPr>
                <w:p>
                  <w:pPr>
                    <w:pStyle w:val="35"/>
                  </w:pPr>
                  <w:r>
                    <w:rPr>
                      <w:rFonts w:hint="eastAsia"/>
                    </w:rPr>
                    <w:t>非甲烷总烃</w:t>
                  </w:r>
                </w:p>
              </w:tc>
              <w:tc>
                <w:tcPr>
                  <w:tcW w:w="1276" w:type="dxa"/>
                  <w:vAlign w:val="center"/>
                </w:tcPr>
                <w:p>
                  <w:pPr>
                    <w:pStyle w:val="35"/>
                  </w:pPr>
                  <w:r>
                    <w:rPr>
                      <w:rFonts w:hint="eastAsia"/>
                    </w:rPr>
                    <w:t>2021年1月22日~28日</w:t>
                  </w:r>
                </w:p>
              </w:tc>
              <w:tc>
                <w:tcPr>
                  <w:tcW w:w="1276" w:type="dxa"/>
                  <w:vAlign w:val="center"/>
                </w:tcPr>
                <w:p>
                  <w:pPr>
                    <w:pStyle w:val="35"/>
                  </w:pPr>
                  <w:r>
                    <w:t>1.15~</w:t>
                  </w:r>
                  <w:r>
                    <w:rPr>
                      <w:rFonts w:hint="eastAsia"/>
                    </w:rPr>
                    <w:t>1</w:t>
                  </w:r>
                  <w:r>
                    <w:t>.29</w:t>
                  </w:r>
                </w:p>
              </w:tc>
              <w:tc>
                <w:tcPr>
                  <w:tcW w:w="1134" w:type="dxa"/>
                  <w:vAlign w:val="center"/>
                </w:tcPr>
                <w:p>
                  <w:pPr>
                    <w:pStyle w:val="35"/>
                  </w:pPr>
                  <w:r>
                    <w:rPr>
                      <w:rFonts w:hint="eastAsia"/>
                    </w:rPr>
                    <w:t>2</w:t>
                  </w:r>
                  <w:r>
                    <w:t>.0</w:t>
                  </w:r>
                </w:p>
              </w:tc>
              <w:tc>
                <w:tcPr>
                  <w:tcW w:w="1134" w:type="dxa"/>
                  <w:vAlign w:val="center"/>
                </w:tcPr>
                <w:p>
                  <w:pPr>
                    <w:pStyle w:val="35"/>
                  </w:pPr>
                  <w:r>
                    <w:rPr>
                      <w:rFonts w:hint="eastAsia"/>
                    </w:rPr>
                    <w:t>6</w:t>
                  </w:r>
                  <w:r>
                    <w:t>4.5%</w:t>
                  </w:r>
                </w:p>
              </w:tc>
              <w:tc>
                <w:tcPr>
                  <w:tcW w:w="998" w:type="dxa"/>
                  <w:vAlign w:val="center"/>
                </w:tcPr>
                <w:p>
                  <w:pPr>
                    <w:pStyle w:val="35"/>
                  </w:pPr>
                  <w:r>
                    <w:rPr>
                      <w:rFonts w:hint="eastAsia"/>
                    </w:rPr>
                    <w:t>达标</w:t>
                  </w:r>
                </w:p>
              </w:tc>
            </w:tr>
          </w:tbl>
          <w:p>
            <w:pPr>
              <w:pStyle w:val="29"/>
              <w:adjustRightInd w:val="0"/>
              <w:snapToGrid w:val="0"/>
              <w:ind w:firstLine="480"/>
            </w:pPr>
            <w:r>
              <w:rPr>
                <w:rFonts w:hint="eastAsia"/>
              </w:rPr>
              <w:t>根据检测结果，项目所在区域非甲烷总烃能够满足标准要求。</w:t>
            </w:r>
          </w:p>
          <w:p>
            <w:pPr>
              <w:pStyle w:val="29"/>
              <w:ind w:firstLine="480"/>
              <w:jc w:val="center"/>
            </w:pPr>
            <w:r>
              <w:rPr>
                <w:rFonts w:ascii="宋体" w:hAnsi="宋体" w:cs="宋体"/>
                <w:kern w:val="0"/>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3359150</wp:posOffset>
                      </wp:positionV>
                      <wp:extent cx="1571625" cy="476250"/>
                      <wp:effectExtent l="0" t="0" r="0" b="0"/>
                      <wp:wrapNone/>
                      <wp:docPr id="9" name="Text Box 7"/>
                      <wp:cNvGraphicFramePr/>
                      <a:graphic xmlns:a="http://schemas.openxmlformats.org/drawingml/2006/main">
                        <a:graphicData uri="http://schemas.microsoft.com/office/word/2010/wordprocessingShape">
                          <wps:wsp>
                            <wps:cNvSpPr txBox="1">
                              <a:spLocks noChangeArrowheads="1"/>
                            </wps:cNvSpPr>
                            <wps:spPr bwMode="auto">
                              <a:xfrm>
                                <a:off x="0" y="0"/>
                                <a:ext cx="1571625" cy="476250"/>
                              </a:xfrm>
                              <a:prstGeom prst="rect">
                                <a:avLst/>
                              </a:prstGeom>
                              <a:noFill/>
                              <a:ln>
                                <a:noFill/>
                              </a:ln>
                            </wps:spPr>
                            <wps:txbx>
                              <w:txbxContent>
                                <w:p>
                                  <w:pPr>
                                    <w:adjustRightInd w:val="0"/>
                                    <w:snapToGrid w:val="0"/>
                                    <w:spacing w:line="240" w:lineRule="auto"/>
                                    <w:ind w:left="105" w:hanging="105" w:hangingChars="50"/>
                                    <w:jc w:val="left"/>
                                    <w:rPr>
                                      <w:color w:val="FFFF00"/>
                                      <w:sz w:val="21"/>
                                      <w:szCs w:val="21"/>
                                    </w:rPr>
                                  </w:pPr>
                                  <w:r>
                                    <w:rPr>
                                      <w:color w:val="FFFF00"/>
                                      <w:sz w:val="21"/>
                                      <w:szCs w:val="21"/>
                                    </w:rPr>
                                    <w:t>G1</w:t>
                                  </w:r>
                                  <w:r>
                                    <w:rPr>
                                      <w:rFonts w:hint="eastAsia"/>
                                      <w:color w:val="FFFF00"/>
                                      <w:sz w:val="21"/>
                                      <w:szCs w:val="21"/>
                                    </w:rPr>
                                    <w:t>苏州长光华芯光电技术股份有限公司</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90.45pt;margin-top:264.5pt;height:37.5pt;width:123.75pt;z-index:251659264;mso-width-relative:page;mso-height-relative:page;" filled="f" stroked="f" coordsize="21600,21600" o:gfxdata="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j8EbbXAAAACwEAAA8AAAAAAAAAAQAgAAAAIgAAAGRy&#10;cy9kb3ducmV2LnhtbFBLAQIUABQAAAAIAIdO4kC7W3qMBgIAABQEAAAOAAAAAAAAAAEAIAAAACYB&#10;AABkcnMvZTJvRG9jLnhtbFBLBQYAAAAABgAGAFkBAACeBQAAAAA=&#10;">
                      <v:fill on="f" focussize="0,0"/>
                      <v:stroke on="f"/>
                      <v:imagedata o:title=""/>
                      <o:lock v:ext="edit" aspectratio="f"/>
                      <v:textbox>
                        <w:txbxContent>
                          <w:p>
                            <w:pPr>
                              <w:adjustRightInd w:val="0"/>
                              <w:snapToGrid w:val="0"/>
                              <w:spacing w:line="240" w:lineRule="auto"/>
                              <w:ind w:left="105" w:hanging="105" w:hangingChars="50"/>
                              <w:jc w:val="left"/>
                              <w:rPr>
                                <w:color w:val="FFFF00"/>
                                <w:sz w:val="21"/>
                                <w:szCs w:val="21"/>
                              </w:rPr>
                            </w:pPr>
                            <w:r>
                              <w:rPr>
                                <w:color w:val="FFFF00"/>
                                <w:sz w:val="21"/>
                                <w:szCs w:val="21"/>
                              </w:rPr>
                              <w:t>G1</w:t>
                            </w:r>
                            <w:r>
                              <w:rPr>
                                <w:rFonts w:hint="eastAsia"/>
                                <w:color w:val="FFFF00"/>
                                <w:sz w:val="21"/>
                                <w:szCs w:val="21"/>
                              </w:rPr>
                              <w:t>苏州长光华芯光电技术股份有限公司</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998220</wp:posOffset>
                      </wp:positionH>
                      <wp:positionV relativeFrom="paragraph">
                        <wp:posOffset>3598545</wp:posOffset>
                      </wp:positionV>
                      <wp:extent cx="142875" cy="142875"/>
                      <wp:effectExtent l="0" t="0" r="28575" b="28575"/>
                      <wp:wrapNone/>
                      <wp:docPr id="39" name="Oval 4"/>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solidFill>
                                <a:srgbClr val="FFFF00"/>
                              </a:solidFill>
                              <a:ln w="9525">
                                <a:solidFill>
                                  <a:srgbClr val="FFFF00"/>
                                </a:solidFill>
                                <a:round/>
                              </a:ln>
                            </wps:spPr>
                            <wps:bodyPr rot="0" vert="horz" wrap="square" lIns="91440" tIns="45720" rIns="91440" bIns="45720" anchor="t" anchorCtr="0" upright="1">
                              <a:noAutofit/>
                            </wps:bodyPr>
                          </wps:wsp>
                        </a:graphicData>
                      </a:graphic>
                    </wp:anchor>
                  </w:drawing>
                </mc:Choice>
                <mc:Fallback>
                  <w:pict>
                    <v:shape id="Oval 4" o:spid="_x0000_s1026" o:spt="3" type="#_x0000_t3" style="position:absolute;left:0pt;margin-left:78.6pt;margin-top:283.35pt;height:11.25pt;width:11.25pt;z-index:251660288;mso-width-relative:page;mso-height-relative:page;" fillcolor="#FFFF00" filled="t" stroked="t" coordsize="21600,21600" o:gfxdata="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Q3PbdsA&#10;AAALAQAADwAAAAAAAAABACAAAAAiAAAAZHJzL2Rvd25yZXYueG1sUEsBAhQAFAAAAAgAh07iQBWi&#10;jtwcAgAAYwQAAA4AAAAAAAAAAQAgAAAAKgEAAGRycy9lMm9Eb2MueG1sUEsFBgAAAAAGAAYAWQEA&#10;ALgFAAAAAA==&#10;">
                      <v:fill on="t" focussize="0,0"/>
                      <v:stroke color="#FFFF00" joinstyle="round"/>
                      <v:imagedata o:title=""/>
                      <o:lock v:ext="edit" aspectratio="f"/>
                    </v:shape>
                  </w:pict>
                </mc:Fallback>
              </mc:AlternateContent>
            </w:r>
            <w:r>
              <w:drawing>
                <wp:inline distT="0" distB="0" distL="114300" distR="114300">
                  <wp:extent cx="5250180" cy="4048760"/>
                  <wp:effectExtent l="0" t="0" r="7620"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5250180" cy="4048760"/>
                          </a:xfrm>
                          <a:prstGeom prst="rect">
                            <a:avLst/>
                          </a:prstGeom>
                          <a:noFill/>
                          <a:ln>
                            <a:noFill/>
                          </a:ln>
                        </pic:spPr>
                      </pic:pic>
                    </a:graphicData>
                  </a:graphic>
                </wp:inline>
              </w:drawing>
            </w:r>
            <w:r>
              <w:rPr>
                <w:rFonts w:ascii="宋体" w:hAnsi="宋体" w:cs="宋体"/>
                <w:kern w:val="0"/>
              </w:rPr>
              <mc:AlternateContent>
                <mc:Choice Requires="wps">
                  <w:drawing>
                    <wp:anchor distT="0" distB="0" distL="114300" distR="114300" simplePos="0" relativeHeight="251662336" behindDoc="0" locked="0" layoutInCell="1" allowOverlap="1">
                      <wp:simplePos x="0" y="0"/>
                      <wp:positionH relativeFrom="column">
                        <wp:posOffset>1009650</wp:posOffset>
                      </wp:positionH>
                      <wp:positionV relativeFrom="paragraph">
                        <wp:posOffset>184785</wp:posOffset>
                      </wp:positionV>
                      <wp:extent cx="1019175" cy="304800"/>
                      <wp:effectExtent l="0" t="0" r="0" b="0"/>
                      <wp:wrapNone/>
                      <wp:docPr id="11" name="Text Box 7"/>
                      <wp:cNvGraphicFramePr/>
                      <a:graphic xmlns:a="http://schemas.openxmlformats.org/drawingml/2006/main">
                        <a:graphicData uri="http://schemas.microsoft.com/office/word/2010/wordprocessingShape">
                          <wps:wsp>
                            <wps:cNvSpPr txBox="1">
                              <a:spLocks noChangeArrowheads="1"/>
                            </wps:cNvSpPr>
                            <wps:spPr bwMode="auto">
                              <a:xfrm>
                                <a:off x="0" y="0"/>
                                <a:ext cx="1019175" cy="304800"/>
                              </a:xfrm>
                              <a:prstGeom prst="rect">
                                <a:avLst/>
                              </a:prstGeom>
                              <a:noFill/>
                              <a:ln>
                                <a:noFill/>
                              </a:ln>
                            </wps:spPr>
                            <wps:txbx>
                              <w:txbxContent>
                                <w:p>
                                  <w:pPr>
                                    <w:adjustRightInd w:val="0"/>
                                    <w:snapToGrid w:val="0"/>
                                    <w:spacing w:line="240" w:lineRule="auto"/>
                                    <w:ind w:left="105" w:hanging="105" w:hangingChars="50"/>
                                    <w:jc w:val="left"/>
                                    <w:rPr>
                                      <w:color w:val="FF0000"/>
                                      <w:sz w:val="21"/>
                                      <w:szCs w:val="21"/>
                                    </w:rPr>
                                  </w:pPr>
                                  <w:r>
                                    <w:rPr>
                                      <w:rFonts w:hint="eastAsia"/>
                                      <w:color w:val="FF0000"/>
                                      <w:sz w:val="21"/>
                                      <w:szCs w:val="21"/>
                                    </w:rPr>
                                    <w:t>项目所在地</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79.5pt;margin-top:14.55pt;height:24pt;width:80.25pt;z-index:251662336;mso-width-relative:page;mso-height-relative:page;" filled="f" stroked="f" coordsize="21600,21600" o:gfxdata="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l/WAAAACQEAAA8AAAAAAAAAAQAgAAAAIgAAAGRy&#10;cy9kb3ducmV2LnhtbFBLAQIUABQAAAAIAIdO4kC5Pzu2BwIAABUEAAAOAAAAAAAAAAEAIAAAACUB&#10;AABkcnMvZTJvRG9jLnhtbFBLBQYAAAAABgAGAFkBAACeBQAAAAA=&#10;">
                      <v:fill on="f" focussize="0,0"/>
                      <v:stroke on="f"/>
                      <v:imagedata o:title=""/>
                      <o:lock v:ext="edit" aspectratio="f"/>
                      <v:textbox>
                        <w:txbxContent>
                          <w:p>
                            <w:pPr>
                              <w:adjustRightInd w:val="0"/>
                              <w:snapToGrid w:val="0"/>
                              <w:spacing w:line="240" w:lineRule="auto"/>
                              <w:ind w:left="105" w:hanging="105" w:hangingChars="50"/>
                              <w:jc w:val="left"/>
                              <w:rPr>
                                <w:color w:val="FF0000"/>
                                <w:sz w:val="21"/>
                                <w:szCs w:val="21"/>
                              </w:rPr>
                            </w:pPr>
                            <w:r>
                              <w:rPr>
                                <w:rFonts w:hint="eastAsia"/>
                                <w:color w:val="FF0000"/>
                                <w:sz w:val="21"/>
                                <w:szCs w:val="21"/>
                              </w:rPr>
                              <w:t>项目所在地</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843915</wp:posOffset>
                      </wp:positionH>
                      <wp:positionV relativeFrom="paragraph">
                        <wp:posOffset>233680</wp:posOffset>
                      </wp:positionV>
                      <wp:extent cx="142875" cy="142875"/>
                      <wp:effectExtent l="0" t="0" r="28575" b="28575"/>
                      <wp:wrapNone/>
                      <wp:docPr id="36" name="Oval 4"/>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solidFill>
                                <a:srgbClr val="FF0000"/>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Oval 4" o:spid="_x0000_s1026" o:spt="3" type="#_x0000_t3" style="position:absolute;left:0pt;margin-left:66.45pt;margin-top:18.4pt;height:11.25pt;width:11.25pt;z-index:251661312;mso-width-relative:page;mso-height-relative:page;" fillcolor="#FF0000" filled="t" stroked="t" coordsize="21600,21600" o:gfxdata="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stC1V1gAAAAkB&#10;AAAPAAAAAAAAAAEAIAAAACIAAABkcnMvZG93bnJldi54bWxQSwECFAAUAAAACACHTuJA4hy0ux0C&#10;AABjBAAADgAAAAAAAAABACAAAAAlAQAAZHJzL2Uyb0RvYy54bWxQSwUGAAAAAAYABgBZAQAAtAUA&#10;AAAA&#10;">
                      <v:fill on="t" focussize="0,0"/>
                      <v:stroke color="#FF0000" joinstyle="round"/>
                      <v:imagedata o:title=""/>
                      <o:lock v:ext="edit" aspectratio="f"/>
                    </v:shape>
                  </w:pict>
                </mc:Fallback>
              </mc:AlternateContent>
            </w:r>
          </w:p>
          <w:p>
            <w:pPr>
              <w:pStyle w:val="12"/>
              <w:rPr>
                <w:sz w:val="21"/>
                <w:szCs w:val="20"/>
              </w:rPr>
            </w:pPr>
            <w:r>
              <w:rPr>
                <w:rFonts w:hint="eastAsia"/>
              </w:rPr>
              <w:t>图</w:t>
            </w:r>
            <w:r>
              <w:t xml:space="preserve">3-1   </w:t>
            </w:r>
            <w:r>
              <w:rPr>
                <w:rFonts w:hint="eastAsia"/>
              </w:rPr>
              <w:t>非甲烷总烃大气监测点位图</w:t>
            </w:r>
          </w:p>
          <w:p>
            <w:pPr>
              <w:pStyle w:val="14"/>
              <w:rPr>
                <w:rFonts w:eastAsia="宋体"/>
                <w:szCs w:val="24"/>
              </w:rPr>
            </w:pPr>
            <w:r>
              <w:t>2</w:t>
            </w:r>
            <w:r>
              <w:rPr>
                <w:rFonts w:hint="eastAsia"/>
              </w:rPr>
              <w:t>、地表水环境质量现状</w:t>
            </w:r>
          </w:p>
          <w:p>
            <w:pPr>
              <w:pStyle w:val="29"/>
              <w:ind w:firstLine="480"/>
            </w:pPr>
            <w:r>
              <w:rPr>
                <w:rFonts w:hint="eastAsia"/>
              </w:rPr>
              <w:t>本项目产生的生活污水经市政污水管网接入科技城水质净化厂，尾水排入浒光运河。根据《江苏省地表水（环境）功能区划（2021-2030）》（苏环办〔2022〕82号），浒光运河功能区水质目标(2030年)为Ⅲ类标准。</w:t>
            </w:r>
          </w:p>
          <w:p>
            <w:pPr>
              <w:pStyle w:val="29"/>
              <w:ind w:firstLine="480"/>
            </w:pPr>
            <w:r>
              <w:rPr>
                <w:rFonts w:hint="eastAsia"/>
              </w:rPr>
              <w:t>根据《2021年度苏州高新区环境质量公报》，2个集中式饮用水水源地水质均属安全饮用水，省级断面考核达标率为100%，重点河流水环境质量基本稳定。</w:t>
            </w:r>
          </w:p>
          <w:p>
            <w:pPr>
              <w:pStyle w:val="29"/>
              <w:ind w:firstLine="480"/>
            </w:pPr>
            <w:r>
              <w:rPr>
                <w:rFonts w:hint="eastAsia"/>
              </w:rPr>
              <w:t>（一）集中式饮用水源地</w:t>
            </w:r>
          </w:p>
          <w:p>
            <w:pPr>
              <w:pStyle w:val="29"/>
              <w:ind w:firstLine="480"/>
            </w:pPr>
            <w:r>
              <w:rPr>
                <w:rFonts w:hint="eastAsia"/>
              </w:rPr>
              <w:t>上山村饮用水源地水质达标率为100%；金墅港饮用水源地水质达标率为100%。</w:t>
            </w:r>
          </w:p>
          <w:p>
            <w:pPr>
              <w:pStyle w:val="29"/>
              <w:ind w:firstLine="480"/>
            </w:pPr>
            <w:r>
              <w:rPr>
                <w:rFonts w:hint="eastAsia"/>
              </w:rPr>
              <w:t>（二）省级考核断面</w:t>
            </w:r>
          </w:p>
          <w:p>
            <w:pPr>
              <w:pStyle w:val="29"/>
              <w:ind w:firstLine="480"/>
            </w:pPr>
            <w:r>
              <w:rPr>
                <w:rFonts w:hint="eastAsia"/>
              </w:rPr>
              <w:t>省级考核断面京杭运河浒关上游、轻化仓库年度水质达标率100%，年均水质符合Ⅲ类。</w:t>
            </w:r>
          </w:p>
          <w:p>
            <w:pPr>
              <w:pStyle w:val="29"/>
              <w:ind w:firstLine="480"/>
            </w:pPr>
            <w:r>
              <w:rPr>
                <w:rFonts w:hint="eastAsia"/>
              </w:rPr>
              <w:t>（三）主要河流水质</w:t>
            </w:r>
          </w:p>
          <w:p>
            <w:pPr>
              <w:pStyle w:val="29"/>
              <w:ind w:firstLine="480"/>
            </w:pPr>
            <w:r>
              <w:rPr>
                <w:rFonts w:hint="eastAsia"/>
              </w:rPr>
              <w:t>京杭运河（高新区段）：水质目标Ⅳ类，年均水质Ⅲ类，优于水质目标，总体水质有所改善。胥江（横塘段）：水质目标Ⅲ类，年均水质Ⅴ类，未达到水质目标，总体水质基本稳定。浒光运河：水质目标Ⅲ类，年均水质Ⅲ类，达到水质目标，总体水质基本稳定。金墅港：水质目标Ⅳ类，年均水质Ⅲ类，优于水质目标，总体水质基本稳定。</w:t>
            </w:r>
          </w:p>
          <w:p>
            <w:pPr>
              <w:pStyle w:val="14"/>
              <w:rPr>
                <w:rFonts w:eastAsia="宋体"/>
                <w:szCs w:val="24"/>
              </w:rPr>
            </w:pPr>
            <w:r>
              <w:t>3</w:t>
            </w:r>
            <w:r>
              <w:rPr>
                <w:rFonts w:hint="eastAsia"/>
              </w:rPr>
              <w:t>、声环境质量</w:t>
            </w:r>
          </w:p>
          <w:p>
            <w:pPr>
              <w:pStyle w:val="29"/>
              <w:ind w:firstLine="480"/>
              <w:rPr>
                <w:color w:val="auto"/>
              </w:rPr>
            </w:pPr>
            <w:r>
              <w:rPr>
                <w:rFonts w:hint="eastAsia"/>
              </w:rPr>
              <w:t>根据《苏</w:t>
            </w:r>
            <w:r>
              <w:rPr>
                <w:rFonts w:hint="eastAsia"/>
                <w:color w:val="auto"/>
              </w:rPr>
              <w:t>州市市区声环境功能区划分规定（2018年修订版）》（苏府﹝2019﹞19号），本项目所地区域执行《声环境质量标准》（GB3096-2008）3类标准。</w:t>
            </w:r>
          </w:p>
          <w:p>
            <w:pPr>
              <w:pStyle w:val="29"/>
              <w:ind w:firstLine="480"/>
              <w:rPr>
                <w:color w:val="auto"/>
              </w:rPr>
            </w:pPr>
            <w:r>
              <w:rPr>
                <w:rFonts w:hint="eastAsia"/>
                <w:color w:val="auto"/>
              </w:rPr>
              <w:t>为了解本项目所在地声环境质量状况，本次评价委托苏州市建科检测技术有限公司于2</w:t>
            </w:r>
            <w:r>
              <w:rPr>
                <w:color w:val="auto"/>
              </w:rPr>
              <w:t>022</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27</w:t>
            </w:r>
            <w:r>
              <w:rPr>
                <w:rFonts w:hint="eastAsia"/>
                <w:color w:val="auto"/>
              </w:rPr>
              <w:t>日对项目所在地进行声环境质量监测（报告编号：</w:t>
            </w:r>
            <w:r>
              <w:rPr>
                <w:color w:val="auto"/>
              </w:rPr>
              <w:t>SJK-HJ-220</w:t>
            </w:r>
            <w:r>
              <w:rPr>
                <w:rFonts w:hint="eastAsia"/>
                <w:color w:val="auto"/>
                <w:lang w:val="en-US" w:eastAsia="zh-CN"/>
              </w:rPr>
              <w:t>9061</w:t>
            </w:r>
            <w:r>
              <w:rPr>
                <w:rFonts w:hint="eastAsia"/>
                <w:color w:val="auto"/>
              </w:rPr>
              <w:t>），声环境</w:t>
            </w:r>
            <w:r>
              <w:rPr>
                <w:color w:val="auto"/>
              </w:rPr>
              <w:t>检测结果见下表。</w:t>
            </w:r>
          </w:p>
          <w:p>
            <w:pPr>
              <w:pStyle w:val="12"/>
              <w:rPr>
                <w:color w:val="auto"/>
                <w:sz w:val="21"/>
                <w:szCs w:val="20"/>
              </w:rPr>
            </w:pPr>
            <w:r>
              <w:rPr>
                <w:rFonts w:hint="eastAsia"/>
                <w:color w:val="auto"/>
              </w:rPr>
              <w:t>表</w:t>
            </w:r>
            <w:r>
              <w:rPr>
                <w:color w:val="auto"/>
              </w:rPr>
              <w:t xml:space="preserve">3-3   </w:t>
            </w:r>
            <w:r>
              <w:rPr>
                <w:rFonts w:hint="eastAsia"/>
                <w:color w:val="auto"/>
              </w:rPr>
              <w:t>声环境质量现状</w:t>
            </w:r>
            <w:r>
              <w:rPr>
                <w:color w:val="auto"/>
              </w:rPr>
              <w:t>检测结果</w:t>
            </w:r>
            <w:r>
              <w:rPr>
                <w:rFonts w:hint="eastAsia"/>
                <w:color w:val="auto"/>
              </w:rPr>
              <w:t xml:space="preserve"> </w:t>
            </w:r>
            <w:r>
              <w:rPr>
                <w:color w:val="auto"/>
              </w:rPr>
              <w:t xml:space="preserve"> </w:t>
            </w:r>
            <w:r>
              <w:rPr>
                <w:rFonts w:hint="eastAsia"/>
                <w:color w:val="auto"/>
              </w:rPr>
              <w:t>单位：dB(A)</w:t>
            </w:r>
          </w:p>
          <w:tbl>
            <w:tblPr>
              <w:tblStyle w:val="16"/>
              <w:tblW w:w="48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1303"/>
              <w:gridCol w:w="1616"/>
              <w:gridCol w:w="1569"/>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Merge w:val="restart"/>
                  <w:vAlign w:val="center"/>
                </w:tcPr>
                <w:p>
                  <w:pPr>
                    <w:pStyle w:val="35"/>
                    <w:rPr>
                      <w:color w:val="auto"/>
                    </w:rPr>
                  </w:pPr>
                  <w:r>
                    <w:rPr>
                      <w:rFonts w:hint="eastAsia"/>
                      <w:color w:val="auto"/>
                    </w:rPr>
                    <w:t>监测点</w:t>
                  </w:r>
                </w:p>
              </w:tc>
              <w:tc>
                <w:tcPr>
                  <w:tcW w:w="814" w:type="pct"/>
                  <w:vMerge w:val="restart"/>
                  <w:vAlign w:val="center"/>
                </w:tcPr>
                <w:p>
                  <w:pPr>
                    <w:pStyle w:val="35"/>
                    <w:rPr>
                      <w:color w:val="auto"/>
                    </w:rPr>
                  </w:pPr>
                  <w:r>
                    <w:rPr>
                      <w:rFonts w:hint="eastAsia"/>
                      <w:color w:val="auto"/>
                    </w:rPr>
                    <w:t>标准</w:t>
                  </w:r>
                </w:p>
                <w:p>
                  <w:pPr>
                    <w:pStyle w:val="35"/>
                    <w:rPr>
                      <w:color w:val="auto"/>
                    </w:rPr>
                  </w:pPr>
                  <w:r>
                    <w:rPr>
                      <w:rFonts w:hint="eastAsia"/>
                      <w:color w:val="auto"/>
                    </w:rPr>
                    <w:t>级别</w:t>
                  </w:r>
                </w:p>
              </w:tc>
              <w:tc>
                <w:tcPr>
                  <w:tcW w:w="1991" w:type="pct"/>
                  <w:gridSpan w:val="2"/>
                  <w:vAlign w:val="center"/>
                </w:tcPr>
                <w:p>
                  <w:pPr>
                    <w:pStyle w:val="35"/>
                    <w:rPr>
                      <w:color w:val="auto"/>
                    </w:rPr>
                  </w:pPr>
                  <w:r>
                    <w:rPr>
                      <w:rFonts w:hint="eastAsia"/>
                      <w:color w:val="auto"/>
                    </w:rPr>
                    <w:t>昼间</w:t>
                  </w:r>
                </w:p>
              </w:tc>
              <w:tc>
                <w:tcPr>
                  <w:tcW w:w="1057" w:type="pct"/>
                  <w:vMerge w:val="restart"/>
                  <w:vAlign w:val="center"/>
                </w:tcPr>
                <w:p>
                  <w:pPr>
                    <w:pStyle w:val="35"/>
                    <w:rPr>
                      <w:color w:val="auto"/>
                    </w:rPr>
                  </w:pPr>
                  <w:r>
                    <w:rPr>
                      <w:rFonts w:hint="eastAsia"/>
                      <w:color w:val="auto"/>
                    </w:rPr>
                    <w:t>达标</w:t>
                  </w:r>
                </w:p>
                <w:p>
                  <w:pPr>
                    <w:pStyle w:val="35"/>
                    <w:rPr>
                      <w:color w:val="auto"/>
                    </w:rPr>
                  </w:pPr>
                  <w:r>
                    <w:rPr>
                      <w:rFonts w:hint="eastAsia"/>
                      <w:color w:val="auto"/>
                    </w:rPr>
                    <w:t>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Merge w:val="continue"/>
                  <w:vAlign w:val="center"/>
                </w:tcPr>
                <w:p>
                  <w:pPr>
                    <w:pStyle w:val="35"/>
                    <w:rPr>
                      <w:color w:val="auto"/>
                    </w:rPr>
                  </w:pPr>
                </w:p>
              </w:tc>
              <w:tc>
                <w:tcPr>
                  <w:tcW w:w="814" w:type="pct"/>
                  <w:vMerge w:val="continue"/>
                  <w:vAlign w:val="center"/>
                </w:tcPr>
                <w:p>
                  <w:pPr>
                    <w:pStyle w:val="35"/>
                    <w:rPr>
                      <w:color w:val="auto"/>
                    </w:rPr>
                  </w:pPr>
                </w:p>
              </w:tc>
              <w:tc>
                <w:tcPr>
                  <w:tcW w:w="1010" w:type="pct"/>
                  <w:vAlign w:val="center"/>
                </w:tcPr>
                <w:p>
                  <w:pPr>
                    <w:pStyle w:val="35"/>
                    <w:rPr>
                      <w:color w:val="auto"/>
                    </w:rPr>
                  </w:pPr>
                  <w:r>
                    <w:rPr>
                      <w:rFonts w:hint="eastAsia"/>
                      <w:color w:val="auto"/>
                    </w:rPr>
                    <w:t>检测值</w:t>
                  </w:r>
                </w:p>
              </w:tc>
              <w:tc>
                <w:tcPr>
                  <w:tcW w:w="980" w:type="pct"/>
                  <w:vAlign w:val="center"/>
                </w:tcPr>
                <w:p>
                  <w:pPr>
                    <w:pStyle w:val="35"/>
                    <w:rPr>
                      <w:color w:val="auto"/>
                    </w:rPr>
                  </w:pPr>
                  <w:r>
                    <w:rPr>
                      <w:rFonts w:hint="eastAsia"/>
                      <w:color w:val="auto"/>
                    </w:rPr>
                    <w:t>标准限值</w:t>
                  </w:r>
                </w:p>
              </w:tc>
              <w:tc>
                <w:tcPr>
                  <w:tcW w:w="1057"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Align w:val="center"/>
                </w:tcPr>
                <w:p>
                  <w:pPr>
                    <w:pStyle w:val="35"/>
                    <w:rPr>
                      <w:color w:val="auto"/>
                    </w:rPr>
                  </w:pPr>
                  <w:r>
                    <w:rPr>
                      <w:color w:val="auto"/>
                    </w:rPr>
                    <w:t>N1</w:t>
                  </w:r>
                  <w:r>
                    <w:rPr>
                      <w:rFonts w:hint="eastAsia"/>
                      <w:color w:val="auto"/>
                    </w:rPr>
                    <w:t>（</w:t>
                  </w:r>
                  <w:r>
                    <w:rPr>
                      <w:rFonts w:hint="eastAsia"/>
                      <w:color w:val="auto"/>
                      <w:lang w:eastAsia="zh-CN"/>
                    </w:rPr>
                    <w:t>西北</w:t>
                  </w:r>
                  <w:r>
                    <w:rPr>
                      <w:rFonts w:hint="eastAsia"/>
                      <w:color w:val="auto"/>
                    </w:rPr>
                    <w:t>厂界）</w:t>
                  </w:r>
                </w:p>
              </w:tc>
              <w:tc>
                <w:tcPr>
                  <w:tcW w:w="814" w:type="pct"/>
                  <w:vAlign w:val="center"/>
                </w:tcPr>
                <w:p>
                  <w:pPr>
                    <w:pStyle w:val="35"/>
                    <w:rPr>
                      <w:color w:val="auto"/>
                    </w:rPr>
                  </w:pPr>
                  <w:r>
                    <w:rPr>
                      <w:color w:val="auto"/>
                    </w:rPr>
                    <w:t>3</w:t>
                  </w:r>
                  <w:r>
                    <w:rPr>
                      <w:rFonts w:hint="eastAsia"/>
                      <w:color w:val="auto"/>
                    </w:rPr>
                    <w:t>类</w:t>
                  </w:r>
                </w:p>
              </w:tc>
              <w:tc>
                <w:tcPr>
                  <w:tcW w:w="1010" w:type="pct"/>
                  <w:vAlign w:val="center"/>
                </w:tcPr>
                <w:p>
                  <w:pPr>
                    <w:pStyle w:val="35"/>
                    <w:rPr>
                      <w:rFonts w:hint="default" w:eastAsia="宋体"/>
                      <w:color w:val="auto"/>
                      <w:lang w:val="en-US" w:eastAsia="zh-CN"/>
                    </w:rPr>
                  </w:pPr>
                  <w:r>
                    <w:rPr>
                      <w:rFonts w:hint="eastAsia"/>
                      <w:color w:val="auto"/>
                      <w:lang w:val="en-US" w:eastAsia="zh-CN"/>
                    </w:rPr>
                    <w:t>59.0</w:t>
                  </w:r>
                </w:p>
              </w:tc>
              <w:tc>
                <w:tcPr>
                  <w:tcW w:w="980" w:type="pct"/>
                  <w:vAlign w:val="center"/>
                </w:tcPr>
                <w:p>
                  <w:pPr>
                    <w:pStyle w:val="35"/>
                    <w:rPr>
                      <w:color w:val="auto"/>
                    </w:rPr>
                  </w:pPr>
                  <w:r>
                    <w:rPr>
                      <w:color w:val="auto"/>
                    </w:rPr>
                    <w:t>65</w:t>
                  </w:r>
                </w:p>
              </w:tc>
              <w:tc>
                <w:tcPr>
                  <w:tcW w:w="1057" w:type="pct"/>
                  <w:vAlign w:val="center"/>
                </w:tcPr>
                <w:p>
                  <w:pPr>
                    <w:pStyle w:val="35"/>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Align w:val="center"/>
                </w:tcPr>
                <w:p>
                  <w:pPr>
                    <w:pStyle w:val="35"/>
                    <w:rPr>
                      <w:color w:val="auto"/>
                    </w:rPr>
                  </w:pPr>
                  <w:r>
                    <w:rPr>
                      <w:color w:val="auto"/>
                    </w:rPr>
                    <w:t>N2</w:t>
                  </w:r>
                  <w:r>
                    <w:rPr>
                      <w:rFonts w:hint="eastAsia"/>
                      <w:color w:val="auto"/>
                    </w:rPr>
                    <w:t>（</w:t>
                  </w:r>
                  <w:r>
                    <w:rPr>
                      <w:rFonts w:hint="eastAsia"/>
                      <w:color w:val="auto"/>
                      <w:lang w:eastAsia="zh-CN"/>
                    </w:rPr>
                    <w:t>东北</w:t>
                  </w:r>
                  <w:r>
                    <w:rPr>
                      <w:rFonts w:hint="eastAsia"/>
                      <w:color w:val="auto"/>
                    </w:rPr>
                    <w:t>厂界）</w:t>
                  </w:r>
                </w:p>
              </w:tc>
              <w:tc>
                <w:tcPr>
                  <w:tcW w:w="814" w:type="pct"/>
                  <w:vAlign w:val="center"/>
                </w:tcPr>
                <w:p>
                  <w:pPr>
                    <w:pStyle w:val="35"/>
                    <w:rPr>
                      <w:color w:val="auto"/>
                    </w:rPr>
                  </w:pPr>
                  <w:r>
                    <w:rPr>
                      <w:color w:val="auto"/>
                    </w:rPr>
                    <w:t>3</w:t>
                  </w:r>
                  <w:r>
                    <w:rPr>
                      <w:rFonts w:hint="eastAsia"/>
                      <w:color w:val="auto"/>
                    </w:rPr>
                    <w:t>类</w:t>
                  </w:r>
                </w:p>
              </w:tc>
              <w:tc>
                <w:tcPr>
                  <w:tcW w:w="1010" w:type="pct"/>
                  <w:vAlign w:val="center"/>
                </w:tcPr>
                <w:p>
                  <w:pPr>
                    <w:pStyle w:val="35"/>
                    <w:rPr>
                      <w:rFonts w:hint="default" w:eastAsia="宋体"/>
                      <w:color w:val="auto"/>
                      <w:lang w:val="en-US" w:eastAsia="zh-CN"/>
                    </w:rPr>
                  </w:pPr>
                  <w:r>
                    <w:rPr>
                      <w:rFonts w:hint="eastAsia"/>
                      <w:color w:val="auto"/>
                    </w:rPr>
                    <w:t>5</w:t>
                  </w:r>
                  <w:r>
                    <w:rPr>
                      <w:rFonts w:hint="eastAsia"/>
                      <w:color w:val="auto"/>
                      <w:lang w:val="en-US" w:eastAsia="zh-CN"/>
                    </w:rPr>
                    <w:t>7.8</w:t>
                  </w:r>
                </w:p>
              </w:tc>
              <w:tc>
                <w:tcPr>
                  <w:tcW w:w="980" w:type="pct"/>
                  <w:vAlign w:val="center"/>
                </w:tcPr>
                <w:p>
                  <w:pPr>
                    <w:pStyle w:val="35"/>
                    <w:rPr>
                      <w:color w:val="auto"/>
                    </w:rPr>
                  </w:pPr>
                  <w:r>
                    <w:rPr>
                      <w:color w:val="auto"/>
                    </w:rPr>
                    <w:t>65</w:t>
                  </w:r>
                </w:p>
              </w:tc>
              <w:tc>
                <w:tcPr>
                  <w:tcW w:w="1057" w:type="pct"/>
                  <w:vAlign w:val="center"/>
                </w:tcPr>
                <w:p>
                  <w:pPr>
                    <w:pStyle w:val="35"/>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Align w:val="center"/>
                </w:tcPr>
                <w:p>
                  <w:pPr>
                    <w:pStyle w:val="35"/>
                    <w:rPr>
                      <w:color w:val="auto"/>
                    </w:rPr>
                  </w:pPr>
                  <w:r>
                    <w:rPr>
                      <w:color w:val="auto"/>
                    </w:rPr>
                    <w:t>N3</w:t>
                  </w:r>
                  <w:r>
                    <w:rPr>
                      <w:rFonts w:hint="eastAsia"/>
                      <w:color w:val="auto"/>
                    </w:rPr>
                    <w:t>（西</w:t>
                  </w:r>
                  <w:r>
                    <w:rPr>
                      <w:rFonts w:hint="eastAsia"/>
                      <w:color w:val="auto"/>
                      <w:lang w:eastAsia="zh-CN"/>
                    </w:rPr>
                    <w:t>北</w:t>
                  </w:r>
                  <w:r>
                    <w:rPr>
                      <w:rFonts w:hint="eastAsia"/>
                      <w:color w:val="auto"/>
                    </w:rPr>
                    <w:t>厂界）</w:t>
                  </w:r>
                </w:p>
              </w:tc>
              <w:tc>
                <w:tcPr>
                  <w:tcW w:w="814" w:type="pct"/>
                  <w:vAlign w:val="center"/>
                </w:tcPr>
                <w:p>
                  <w:pPr>
                    <w:pStyle w:val="35"/>
                    <w:rPr>
                      <w:color w:val="auto"/>
                    </w:rPr>
                  </w:pPr>
                  <w:r>
                    <w:rPr>
                      <w:color w:val="auto"/>
                    </w:rPr>
                    <w:t>3</w:t>
                  </w:r>
                  <w:r>
                    <w:rPr>
                      <w:rFonts w:hint="eastAsia"/>
                      <w:color w:val="auto"/>
                    </w:rPr>
                    <w:t>类</w:t>
                  </w:r>
                </w:p>
              </w:tc>
              <w:tc>
                <w:tcPr>
                  <w:tcW w:w="1010" w:type="pct"/>
                  <w:vAlign w:val="center"/>
                </w:tcPr>
                <w:p>
                  <w:pPr>
                    <w:pStyle w:val="35"/>
                    <w:rPr>
                      <w:rFonts w:hint="default" w:eastAsia="宋体"/>
                      <w:color w:val="auto"/>
                      <w:lang w:val="en-US" w:eastAsia="zh-CN"/>
                    </w:rPr>
                  </w:pPr>
                  <w:r>
                    <w:rPr>
                      <w:rFonts w:hint="eastAsia"/>
                      <w:color w:val="auto"/>
                    </w:rPr>
                    <w:t>5</w:t>
                  </w:r>
                  <w:r>
                    <w:rPr>
                      <w:rFonts w:hint="eastAsia"/>
                      <w:color w:val="auto"/>
                      <w:lang w:val="en-US" w:eastAsia="zh-CN"/>
                    </w:rPr>
                    <w:t>7.2</w:t>
                  </w:r>
                </w:p>
              </w:tc>
              <w:tc>
                <w:tcPr>
                  <w:tcW w:w="980" w:type="pct"/>
                  <w:vAlign w:val="center"/>
                </w:tcPr>
                <w:p>
                  <w:pPr>
                    <w:pStyle w:val="35"/>
                    <w:rPr>
                      <w:color w:val="auto"/>
                    </w:rPr>
                  </w:pPr>
                  <w:r>
                    <w:rPr>
                      <w:color w:val="auto"/>
                    </w:rPr>
                    <w:t>65</w:t>
                  </w:r>
                </w:p>
              </w:tc>
              <w:tc>
                <w:tcPr>
                  <w:tcW w:w="1057" w:type="pct"/>
                  <w:vAlign w:val="center"/>
                </w:tcPr>
                <w:p>
                  <w:pPr>
                    <w:pStyle w:val="35"/>
                    <w:rPr>
                      <w:color w:val="auto"/>
                    </w:rPr>
                  </w:pPr>
                  <w:r>
                    <w:rPr>
                      <w:rFonts w:hint="eastAsia"/>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6" w:type="pct"/>
                  <w:vAlign w:val="center"/>
                </w:tcPr>
                <w:p>
                  <w:pPr>
                    <w:pStyle w:val="35"/>
                    <w:rPr>
                      <w:color w:val="auto"/>
                    </w:rPr>
                  </w:pPr>
                  <w:r>
                    <w:rPr>
                      <w:color w:val="auto"/>
                    </w:rPr>
                    <w:t>N4</w:t>
                  </w:r>
                  <w:r>
                    <w:rPr>
                      <w:rFonts w:hint="eastAsia"/>
                      <w:color w:val="auto"/>
                    </w:rPr>
                    <w:t>（</w:t>
                  </w:r>
                  <w:r>
                    <w:rPr>
                      <w:rFonts w:hint="eastAsia"/>
                      <w:color w:val="auto"/>
                      <w:lang w:eastAsia="zh-CN"/>
                    </w:rPr>
                    <w:t>东南</w:t>
                  </w:r>
                  <w:r>
                    <w:rPr>
                      <w:rFonts w:hint="eastAsia"/>
                      <w:color w:val="auto"/>
                    </w:rPr>
                    <w:t>厂界）</w:t>
                  </w:r>
                </w:p>
              </w:tc>
              <w:tc>
                <w:tcPr>
                  <w:tcW w:w="814" w:type="pct"/>
                  <w:vAlign w:val="center"/>
                </w:tcPr>
                <w:p>
                  <w:pPr>
                    <w:pStyle w:val="35"/>
                    <w:rPr>
                      <w:color w:val="auto"/>
                    </w:rPr>
                  </w:pPr>
                  <w:r>
                    <w:rPr>
                      <w:color w:val="auto"/>
                    </w:rPr>
                    <w:t>3</w:t>
                  </w:r>
                  <w:r>
                    <w:rPr>
                      <w:rFonts w:hint="eastAsia"/>
                      <w:color w:val="auto"/>
                    </w:rPr>
                    <w:t>类</w:t>
                  </w:r>
                </w:p>
              </w:tc>
              <w:tc>
                <w:tcPr>
                  <w:tcW w:w="1010" w:type="pct"/>
                  <w:vAlign w:val="center"/>
                </w:tcPr>
                <w:p>
                  <w:pPr>
                    <w:pStyle w:val="35"/>
                    <w:rPr>
                      <w:rFonts w:hint="default" w:eastAsia="宋体"/>
                      <w:color w:val="auto"/>
                      <w:lang w:val="en-US" w:eastAsia="zh-CN"/>
                    </w:rPr>
                  </w:pPr>
                  <w:r>
                    <w:rPr>
                      <w:rFonts w:hint="eastAsia"/>
                      <w:color w:val="auto"/>
                    </w:rPr>
                    <w:t>5</w:t>
                  </w:r>
                  <w:r>
                    <w:rPr>
                      <w:rFonts w:hint="eastAsia"/>
                      <w:color w:val="auto"/>
                      <w:lang w:val="en-US" w:eastAsia="zh-CN"/>
                    </w:rPr>
                    <w:t>6.8</w:t>
                  </w:r>
                </w:p>
              </w:tc>
              <w:tc>
                <w:tcPr>
                  <w:tcW w:w="980" w:type="pct"/>
                  <w:vAlign w:val="center"/>
                </w:tcPr>
                <w:p>
                  <w:pPr>
                    <w:pStyle w:val="35"/>
                    <w:rPr>
                      <w:color w:val="auto"/>
                    </w:rPr>
                  </w:pPr>
                  <w:r>
                    <w:rPr>
                      <w:color w:val="auto"/>
                    </w:rPr>
                    <w:t>65</w:t>
                  </w:r>
                </w:p>
              </w:tc>
              <w:tc>
                <w:tcPr>
                  <w:tcW w:w="1057" w:type="pct"/>
                  <w:vAlign w:val="center"/>
                </w:tcPr>
                <w:p>
                  <w:pPr>
                    <w:pStyle w:val="35"/>
                    <w:rPr>
                      <w:color w:val="auto"/>
                    </w:rPr>
                  </w:pPr>
                  <w:r>
                    <w:rPr>
                      <w:rFonts w:hint="eastAsia"/>
                      <w:color w:val="auto"/>
                    </w:rPr>
                    <w:t>达标</w:t>
                  </w:r>
                </w:p>
              </w:tc>
            </w:tr>
          </w:tbl>
          <w:p>
            <w:pPr>
              <w:pStyle w:val="29"/>
              <w:ind w:firstLine="480"/>
              <w:rPr>
                <w:color w:val="auto"/>
              </w:rPr>
            </w:pPr>
            <w:r>
              <w:rPr>
                <w:rFonts w:hint="eastAsia"/>
                <w:color w:val="auto"/>
              </w:rPr>
              <w:t>根据检测结果，各监测点昼、夜间声环境质量达到《声环境质量标准》（GB3096-2008）3类标准限值要求。</w:t>
            </w:r>
          </w:p>
          <w:p>
            <w:pPr>
              <w:pStyle w:val="14"/>
              <w:rPr>
                <w:color w:val="auto"/>
              </w:rPr>
            </w:pPr>
            <w:r>
              <w:rPr>
                <w:rFonts w:hint="eastAsia"/>
                <w:color w:val="auto"/>
              </w:rPr>
              <w:t>4、生态环境质量状况</w:t>
            </w:r>
          </w:p>
          <w:p>
            <w:pPr>
              <w:pStyle w:val="29"/>
              <w:ind w:firstLine="480"/>
            </w:pPr>
            <w:r>
              <w:rPr>
                <w:rFonts w:hint="eastAsia"/>
                <w:color w:val="auto"/>
              </w:rPr>
              <w:t>本项目</w:t>
            </w:r>
            <w:r>
              <w:rPr>
                <w:rFonts w:hint="eastAsia"/>
                <w:color w:val="auto"/>
                <w:lang w:eastAsia="zh-CN"/>
              </w:rPr>
              <w:t>租赁</w:t>
            </w:r>
            <w:r>
              <w:rPr>
                <w:rFonts w:hint="eastAsia"/>
                <w:color w:val="auto"/>
              </w:rPr>
              <w:t>苏州市高新区科技城</w:t>
            </w:r>
            <w:r>
              <w:rPr>
                <w:rFonts w:hint="eastAsia"/>
                <w:color w:val="auto"/>
                <w:lang w:eastAsia="zh-CN"/>
              </w:rPr>
              <w:t>五台山</w:t>
            </w:r>
            <w:r>
              <w:rPr>
                <w:rFonts w:hint="eastAsia"/>
                <w:color w:val="auto"/>
              </w:rPr>
              <w:t>路5</w:t>
            </w:r>
            <w:r>
              <w:rPr>
                <w:rFonts w:hint="eastAsia"/>
                <w:lang w:val="en-US" w:eastAsia="zh-CN"/>
              </w:rPr>
              <w:t>88</w:t>
            </w:r>
            <w:r>
              <w:rPr>
                <w:rFonts w:hint="eastAsia"/>
              </w:rPr>
              <w:t>号</w:t>
            </w:r>
            <w:r>
              <w:rPr>
                <w:rFonts w:hint="eastAsia"/>
                <w:lang w:eastAsia="zh-CN"/>
              </w:rPr>
              <w:t>科技城工业坊</w:t>
            </w:r>
            <w:r>
              <w:rPr>
                <w:rFonts w:hint="eastAsia"/>
              </w:rPr>
              <w:t>厂房，不涉及新增用地，不会对周边生态环境造成明显影响。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99" w:type="dxa"/>
            <w:vAlign w:val="center"/>
          </w:tcPr>
          <w:p>
            <w:pPr>
              <w:spacing w:line="240" w:lineRule="auto"/>
              <w:jc w:val="center"/>
            </w:pPr>
            <w:r>
              <w:t>环境保护目标</w:t>
            </w:r>
          </w:p>
        </w:tc>
        <w:tc>
          <w:tcPr>
            <w:tcW w:w="8491" w:type="dxa"/>
          </w:tcPr>
          <w:p>
            <w:pPr>
              <w:pStyle w:val="14"/>
            </w:pPr>
            <w:r>
              <w:rPr>
                <w:rFonts w:hint="eastAsia"/>
              </w:rPr>
              <w:t>1、大气环境保护目标</w:t>
            </w:r>
          </w:p>
          <w:p>
            <w:pPr>
              <w:pStyle w:val="29"/>
              <w:ind w:firstLine="480"/>
            </w:pPr>
            <w:r>
              <w:t>本项目位于</w:t>
            </w:r>
            <w:r>
              <w:rPr>
                <w:rFonts w:hint="eastAsia"/>
              </w:rPr>
              <w:t>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C区4号楼2-201</w:t>
            </w:r>
            <w:r>
              <w:rPr>
                <w:rFonts w:hint="eastAsia"/>
              </w:rPr>
              <w:t>，企业周边500m范围内无大气环境保护目标。</w:t>
            </w:r>
          </w:p>
          <w:p>
            <w:pPr>
              <w:pStyle w:val="14"/>
            </w:pPr>
            <w:r>
              <w:rPr>
                <w:rFonts w:hint="eastAsia"/>
              </w:rPr>
              <w:t>2、地表水环境保护目标</w:t>
            </w:r>
          </w:p>
          <w:p>
            <w:pPr>
              <w:pStyle w:val="12"/>
              <w:jc w:val="both"/>
              <w:rPr>
                <w:rFonts w:hint="eastAsia"/>
              </w:rPr>
            </w:pPr>
          </w:p>
          <w:p>
            <w:pPr>
              <w:pStyle w:val="12"/>
              <w:jc w:val="center"/>
            </w:pPr>
            <w:r>
              <w:rPr>
                <w:rFonts w:hint="eastAsia"/>
              </w:rPr>
              <w:t>表</w:t>
            </w:r>
            <w:r>
              <w:t>3-4  本项目</w:t>
            </w:r>
            <w:r>
              <w:rPr>
                <w:rFonts w:hint="eastAsia"/>
              </w:rPr>
              <w:t>地表水环境保护目标</w:t>
            </w:r>
          </w:p>
          <w:tbl>
            <w:tblPr>
              <w:tblStyle w:val="1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59"/>
              <w:gridCol w:w="576"/>
              <w:gridCol w:w="628"/>
              <w:gridCol w:w="512"/>
              <w:gridCol w:w="661"/>
              <w:gridCol w:w="610"/>
              <w:gridCol w:w="641"/>
              <w:gridCol w:w="596"/>
              <w:gridCol w:w="545"/>
              <w:gridCol w:w="996"/>
              <w:gridCol w:w="15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4" w:hRule="atLeast"/>
                <w:jc w:val="center"/>
              </w:trPr>
              <w:tc>
                <w:tcPr>
                  <w:tcW w:w="580" w:type="pct"/>
                  <w:vMerge w:val="restar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环境保护</w:t>
                  </w:r>
                </w:p>
                <w:p>
                  <w:pPr>
                    <w:pStyle w:val="35"/>
                  </w:pPr>
                  <w:r>
                    <w:rPr>
                      <w:rFonts w:hint="eastAsia"/>
                    </w:rPr>
                    <w:t>对象名称</w:t>
                  </w:r>
                </w:p>
              </w:tc>
              <w:tc>
                <w:tcPr>
                  <w:tcW w:w="348" w:type="pct"/>
                  <w:vMerge w:val="restar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方位</w:t>
                  </w:r>
                </w:p>
              </w:tc>
              <w:tc>
                <w:tcPr>
                  <w:tcW w:w="1090" w:type="pct"/>
                  <w:gridSpan w:val="3"/>
                  <w:tcBorders>
                    <w:top w:val="single" w:color="auto" w:sz="6" w:space="0"/>
                    <w:left w:val="single" w:color="auto" w:sz="6" w:space="0"/>
                    <w:bottom w:val="single" w:color="auto" w:sz="6" w:space="0"/>
                    <w:right w:val="single" w:color="auto" w:sz="6" w:space="0"/>
                  </w:tcBorders>
                  <w:vAlign w:val="center"/>
                </w:tcPr>
                <w:p>
                  <w:pPr>
                    <w:pStyle w:val="35"/>
                  </w:pPr>
                  <w:r>
                    <w:rPr>
                      <w:rFonts w:hint="eastAsia"/>
                    </w:rPr>
                    <w:t>相对厂界坐标</w:t>
                  </w:r>
                </w:p>
              </w:tc>
              <w:tc>
                <w:tcPr>
                  <w:tcW w:w="1118" w:type="pct"/>
                  <w:gridSpan w:val="3"/>
                  <w:tcBorders>
                    <w:top w:val="single" w:color="auto" w:sz="6" w:space="0"/>
                    <w:left w:val="single" w:color="auto" w:sz="6" w:space="0"/>
                    <w:bottom w:val="single" w:color="auto" w:sz="6" w:space="0"/>
                    <w:right w:val="single" w:color="auto" w:sz="6" w:space="0"/>
                  </w:tcBorders>
                  <w:vAlign w:val="center"/>
                </w:tcPr>
                <w:p>
                  <w:pPr>
                    <w:pStyle w:val="35"/>
                  </w:pPr>
                  <w:r>
                    <w:rPr>
                      <w:rFonts w:hint="eastAsia"/>
                    </w:rPr>
                    <w:t>相对排污口坐标</w:t>
                  </w:r>
                </w:p>
              </w:tc>
              <w:tc>
                <w:tcPr>
                  <w:tcW w:w="329" w:type="pct"/>
                  <w:vMerge w:val="restar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规模</w:t>
                  </w:r>
                </w:p>
              </w:tc>
              <w:tc>
                <w:tcPr>
                  <w:tcW w:w="603" w:type="pct"/>
                  <w:vMerge w:val="restar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与本项目水利关系</w:t>
                  </w:r>
                </w:p>
              </w:tc>
              <w:tc>
                <w:tcPr>
                  <w:tcW w:w="928" w:type="pct"/>
                  <w:vMerge w:val="restar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环境功能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4" w:hRule="atLeast"/>
                <w:jc w:val="center"/>
              </w:trPr>
              <w:tc>
                <w:tcPr>
                  <w:tcW w:w="580" w:type="pct"/>
                  <w:vMerge w:val="continue"/>
                  <w:tcBorders>
                    <w:top w:val="single" w:color="auto" w:sz="6" w:space="0"/>
                    <w:left w:val="single" w:color="auto" w:sz="6" w:space="0"/>
                    <w:bottom w:val="single" w:color="auto" w:sz="6" w:space="0"/>
                    <w:right w:val="single" w:color="auto" w:sz="6" w:space="0"/>
                  </w:tcBorders>
                  <w:vAlign w:val="center"/>
                </w:tcPr>
                <w:p>
                  <w:pPr>
                    <w:pStyle w:val="35"/>
                  </w:pPr>
                </w:p>
              </w:tc>
              <w:tc>
                <w:tcPr>
                  <w:tcW w:w="348" w:type="pct"/>
                  <w:vMerge w:val="continue"/>
                  <w:tcBorders>
                    <w:top w:val="single" w:color="auto" w:sz="6" w:space="0"/>
                    <w:left w:val="single" w:color="auto" w:sz="6" w:space="0"/>
                    <w:bottom w:val="single" w:color="auto" w:sz="6" w:space="0"/>
                    <w:right w:val="single" w:color="auto" w:sz="6" w:space="0"/>
                  </w:tcBorders>
                  <w:vAlign w:val="center"/>
                </w:tcPr>
                <w:p>
                  <w:pPr>
                    <w:pStyle w:val="35"/>
                  </w:pPr>
                </w:p>
              </w:tc>
              <w:tc>
                <w:tcPr>
                  <w:tcW w:w="380"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距离（</w:t>
                  </w:r>
                  <w:r>
                    <w:t>m</w:t>
                  </w:r>
                  <w:r>
                    <w:rPr>
                      <w:rFonts w:hint="eastAsia"/>
                    </w:rPr>
                    <w:t>）</w:t>
                  </w:r>
                </w:p>
              </w:tc>
              <w:tc>
                <w:tcPr>
                  <w:tcW w:w="310" w:type="pct"/>
                  <w:tcBorders>
                    <w:top w:val="single" w:color="auto" w:sz="6" w:space="0"/>
                    <w:left w:val="single" w:color="auto" w:sz="6" w:space="0"/>
                    <w:bottom w:val="single" w:color="auto" w:sz="6" w:space="0"/>
                    <w:right w:val="single" w:color="auto" w:sz="6" w:space="0"/>
                  </w:tcBorders>
                  <w:vAlign w:val="center"/>
                </w:tcPr>
                <w:p>
                  <w:pPr>
                    <w:pStyle w:val="35"/>
                  </w:pPr>
                  <w:r>
                    <w:t>X</w:t>
                  </w:r>
                </w:p>
              </w:tc>
              <w:tc>
                <w:tcPr>
                  <w:tcW w:w="400" w:type="pct"/>
                  <w:tcBorders>
                    <w:top w:val="single" w:color="auto" w:sz="6" w:space="0"/>
                    <w:left w:val="single" w:color="auto" w:sz="6" w:space="0"/>
                    <w:bottom w:val="single" w:color="auto" w:sz="6" w:space="0"/>
                    <w:right w:val="single" w:color="auto" w:sz="6" w:space="0"/>
                  </w:tcBorders>
                  <w:vAlign w:val="center"/>
                </w:tcPr>
                <w:p>
                  <w:pPr>
                    <w:pStyle w:val="35"/>
                  </w:pPr>
                  <w:r>
                    <w:t>Y</w:t>
                  </w:r>
                </w:p>
              </w:tc>
              <w:tc>
                <w:tcPr>
                  <w:tcW w:w="369"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距离（</w:t>
                  </w:r>
                  <w:r>
                    <w:t>m</w:t>
                  </w:r>
                  <w:r>
                    <w:rPr>
                      <w:rFonts w:hint="eastAsia"/>
                    </w:rPr>
                    <w:t>）</w:t>
                  </w:r>
                </w:p>
              </w:tc>
              <w:tc>
                <w:tcPr>
                  <w:tcW w:w="388" w:type="pct"/>
                  <w:tcBorders>
                    <w:top w:val="single" w:color="auto" w:sz="6" w:space="0"/>
                    <w:left w:val="single" w:color="auto" w:sz="6" w:space="0"/>
                    <w:bottom w:val="single" w:color="auto" w:sz="6" w:space="0"/>
                    <w:right w:val="single" w:color="auto" w:sz="6" w:space="0"/>
                  </w:tcBorders>
                  <w:vAlign w:val="center"/>
                </w:tcPr>
                <w:p>
                  <w:pPr>
                    <w:pStyle w:val="35"/>
                  </w:pPr>
                  <w:r>
                    <w:t>X</w:t>
                  </w:r>
                </w:p>
              </w:tc>
              <w:tc>
                <w:tcPr>
                  <w:tcW w:w="360" w:type="pct"/>
                  <w:tcBorders>
                    <w:top w:val="single" w:color="auto" w:sz="6" w:space="0"/>
                    <w:left w:val="single" w:color="auto" w:sz="6" w:space="0"/>
                    <w:bottom w:val="single" w:color="auto" w:sz="6" w:space="0"/>
                    <w:right w:val="single" w:color="auto" w:sz="6" w:space="0"/>
                  </w:tcBorders>
                  <w:vAlign w:val="center"/>
                </w:tcPr>
                <w:p>
                  <w:pPr>
                    <w:pStyle w:val="35"/>
                  </w:pPr>
                  <w:r>
                    <w:t>Y</w:t>
                  </w:r>
                </w:p>
              </w:tc>
              <w:tc>
                <w:tcPr>
                  <w:tcW w:w="329" w:type="pct"/>
                  <w:vMerge w:val="continue"/>
                  <w:tcBorders>
                    <w:top w:val="single" w:color="auto" w:sz="6" w:space="0"/>
                    <w:left w:val="single" w:color="auto" w:sz="6" w:space="0"/>
                    <w:bottom w:val="single" w:color="auto" w:sz="6" w:space="0"/>
                    <w:right w:val="single" w:color="auto" w:sz="6" w:space="0"/>
                  </w:tcBorders>
                  <w:vAlign w:val="center"/>
                </w:tcPr>
                <w:p>
                  <w:pPr>
                    <w:pStyle w:val="35"/>
                  </w:pPr>
                </w:p>
              </w:tc>
              <w:tc>
                <w:tcPr>
                  <w:tcW w:w="603" w:type="pct"/>
                  <w:vMerge w:val="continue"/>
                  <w:tcBorders>
                    <w:top w:val="single" w:color="auto" w:sz="6" w:space="0"/>
                    <w:left w:val="single" w:color="auto" w:sz="6" w:space="0"/>
                    <w:bottom w:val="single" w:color="auto" w:sz="6" w:space="0"/>
                    <w:right w:val="single" w:color="auto" w:sz="6" w:space="0"/>
                  </w:tcBorders>
                  <w:vAlign w:val="center"/>
                </w:tcPr>
                <w:p>
                  <w:pPr>
                    <w:pStyle w:val="35"/>
                  </w:pPr>
                </w:p>
              </w:tc>
              <w:tc>
                <w:tcPr>
                  <w:tcW w:w="928" w:type="pct"/>
                  <w:vMerge w:val="continue"/>
                  <w:tcBorders>
                    <w:top w:val="single" w:color="auto" w:sz="6" w:space="0"/>
                    <w:left w:val="single" w:color="auto" w:sz="6" w:space="0"/>
                    <w:bottom w:val="single" w:color="auto" w:sz="6" w:space="0"/>
                    <w:right w:val="single" w:color="auto" w:sz="6" w:space="0"/>
                  </w:tcBorders>
                  <w:vAlign w:val="center"/>
                </w:tcPr>
                <w:p>
                  <w:pPr>
                    <w:pStyle w:val="35"/>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42" w:hRule="atLeast"/>
                <w:jc w:val="center"/>
              </w:trPr>
              <w:tc>
                <w:tcPr>
                  <w:tcW w:w="580" w:type="pct"/>
                  <w:tcBorders>
                    <w:top w:val="single" w:color="auto" w:sz="6" w:space="0"/>
                    <w:left w:val="single" w:color="auto" w:sz="6" w:space="0"/>
                    <w:right w:val="single" w:color="auto" w:sz="6" w:space="0"/>
                  </w:tcBorders>
                  <w:vAlign w:val="center"/>
                </w:tcPr>
                <w:p>
                  <w:pPr>
                    <w:pStyle w:val="35"/>
                  </w:pPr>
                  <w:r>
                    <w:rPr>
                      <w:rFonts w:hint="eastAsia"/>
                      <w:lang w:eastAsia="zh-CN"/>
                    </w:rPr>
                    <w:t>东侧</w:t>
                  </w:r>
                  <w:r>
                    <w:rPr>
                      <w:rFonts w:hint="eastAsia"/>
                    </w:rPr>
                    <w:t>小河</w:t>
                  </w:r>
                </w:p>
              </w:tc>
              <w:tc>
                <w:tcPr>
                  <w:tcW w:w="348" w:type="pct"/>
                  <w:tcBorders>
                    <w:top w:val="single" w:color="auto" w:sz="6" w:space="0"/>
                    <w:left w:val="single" w:color="auto" w:sz="6" w:space="0"/>
                    <w:right w:val="single" w:color="auto" w:sz="6" w:space="0"/>
                  </w:tcBorders>
                  <w:vAlign w:val="center"/>
                </w:tcPr>
                <w:p>
                  <w:pPr>
                    <w:pStyle w:val="35"/>
                    <w:rPr>
                      <w:rFonts w:hint="eastAsia" w:eastAsia="宋体"/>
                      <w:lang w:eastAsia="zh-CN"/>
                    </w:rPr>
                  </w:pPr>
                  <w:r>
                    <w:rPr>
                      <w:rFonts w:hint="eastAsia"/>
                      <w:lang w:eastAsia="zh-CN"/>
                    </w:rPr>
                    <w:t>东</w:t>
                  </w:r>
                </w:p>
              </w:tc>
              <w:tc>
                <w:tcPr>
                  <w:tcW w:w="380" w:type="pct"/>
                  <w:tcBorders>
                    <w:top w:val="single" w:color="auto" w:sz="6" w:space="0"/>
                    <w:left w:val="single" w:color="auto" w:sz="6" w:space="0"/>
                    <w:right w:val="single" w:color="auto" w:sz="6" w:space="0"/>
                  </w:tcBorders>
                  <w:vAlign w:val="center"/>
                </w:tcPr>
                <w:p>
                  <w:pPr>
                    <w:pStyle w:val="35"/>
                    <w:rPr>
                      <w:rFonts w:hint="eastAsia" w:eastAsia="宋体"/>
                      <w:lang w:eastAsia="zh-CN"/>
                    </w:rPr>
                  </w:pPr>
                  <w:r>
                    <w:rPr>
                      <w:rFonts w:hint="eastAsia"/>
                      <w:lang w:val="en-US" w:eastAsia="zh-CN"/>
                    </w:rPr>
                    <w:t>0</w:t>
                  </w:r>
                </w:p>
              </w:tc>
              <w:tc>
                <w:tcPr>
                  <w:tcW w:w="310" w:type="pct"/>
                  <w:tcBorders>
                    <w:top w:val="single" w:color="auto" w:sz="6" w:space="0"/>
                    <w:left w:val="single" w:color="auto" w:sz="6" w:space="0"/>
                    <w:right w:val="single" w:color="auto" w:sz="6" w:space="0"/>
                  </w:tcBorders>
                  <w:vAlign w:val="center"/>
                </w:tcPr>
                <w:p>
                  <w:pPr>
                    <w:pStyle w:val="35"/>
                  </w:pPr>
                  <w:r>
                    <w:rPr>
                      <w:rFonts w:hint="eastAsia"/>
                    </w:rPr>
                    <w:t>0</w:t>
                  </w:r>
                </w:p>
              </w:tc>
              <w:tc>
                <w:tcPr>
                  <w:tcW w:w="400" w:type="pct"/>
                  <w:tcBorders>
                    <w:top w:val="single" w:color="auto" w:sz="6" w:space="0"/>
                    <w:left w:val="single" w:color="auto" w:sz="6" w:space="0"/>
                    <w:right w:val="single" w:color="auto" w:sz="6" w:space="0"/>
                  </w:tcBorders>
                  <w:vAlign w:val="center"/>
                </w:tcPr>
                <w:p>
                  <w:pPr>
                    <w:pStyle w:val="35"/>
                  </w:pPr>
                  <w:r>
                    <w:t>170</w:t>
                  </w:r>
                </w:p>
              </w:tc>
              <w:tc>
                <w:tcPr>
                  <w:tcW w:w="369" w:type="pct"/>
                  <w:tcBorders>
                    <w:top w:val="single" w:color="auto" w:sz="6" w:space="0"/>
                    <w:left w:val="single" w:color="auto" w:sz="6" w:space="0"/>
                    <w:right w:val="single" w:color="auto" w:sz="6" w:space="0"/>
                  </w:tcBorders>
                  <w:vAlign w:val="center"/>
                </w:tcPr>
                <w:p>
                  <w:pPr>
                    <w:pStyle w:val="35"/>
                  </w:pPr>
                  <w:r>
                    <w:rPr>
                      <w:rFonts w:hint="eastAsia"/>
                    </w:rPr>
                    <w:t>1</w:t>
                  </w:r>
                  <w:r>
                    <w:t>85</w:t>
                  </w:r>
                </w:p>
              </w:tc>
              <w:tc>
                <w:tcPr>
                  <w:tcW w:w="388" w:type="pct"/>
                  <w:tcBorders>
                    <w:top w:val="single" w:color="auto" w:sz="6" w:space="0"/>
                    <w:left w:val="single" w:color="auto" w:sz="6" w:space="0"/>
                    <w:right w:val="single" w:color="auto" w:sz="6" w:space="0"/>
                  </w:tcBorders>
                  <w:vAlign w:val="center"/>
                </w:tcPr>
                <w:p>
                  <w:pPr>
                    <w:pStyle w:val="35"/>
                  </w:pPr>
                  <w:r>
                    <w:rPr>
                      <w:rFonts w:hint="eastAsia"/>
                    </w:rPr>
                    <w:t>0</w:t>
                  </w:r>
                </w:p>
              </w:tc>
              <w:tc>
                <w:tcPr>
                  <w:tcW w:w="360" w:type="pct"/>
                  <w:tcBorders>
                    <w:top w:val="single" w:color="auto" w:sz="6" w:space="0"/>
                    <w:left w:val="single" w:color="auto" w:sz="6" w:space="0"/>
                    <w:right w:val="single" w:color="auto" w:sz="6" w:space="0"/>
                  </w:tcBorders>
                  <w:vAlign w:val="center"/>
                </w:tcPr>
                <w:p>
                  <w:pPr>
                    <w:pStyle w:val="35"/>
                  </w:pPr>
                  <w:r>
                    <w:t>185</w:t>
                  </w:r>
                </w:p>
              </w:tc>
              <w:tc>
                <w:tcPr>
                  <w:tcW w:w="329"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小河</w:t>
                  </w:r>
                </w:p>
              </w:tc>
              <w:tc>
                <w:tcPr>
                  <w:tcW w:w="603"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附近小河</w:t>
                  </w:r>
                </w:p>
              </w:tc>
              <w:tc>
                <w:tcPr>
                  <w:tcW w:w="928" w:type="pct"/>
                  <w:tcBorders>
                    <w:top w:val="single" w:color="auto" w:sz="6" w:space="0"/>
                    <w:left w:val="single" w:color="auto" w:sz="6" w:space="0"/>
                    <w:right w:val="single" w:color="auto" w:sz="6" w:space="0"/>
                  </w:tcBorders>
                  <w:vAlign w:val="center"/>
                </w:tcPr>
                <w:p>
                  <w:pPr>
                    <w:pStyle w:val="35"/>
                  </w:pPr>
                  <w:r>
                    <w:rPr>
                      <w:rFonts w:hint="eastAsia"/>
                    </w:rPr>
                    <w:t>《地表水环境质量标准》（</w:t>
                  </w:r>
                  <w:r>
                    <w:t>GB3838-2002</w:t>
                  </w:r>
                  <w:r>
                    <w:rPr>
                      <w:rFonts w:hint="eastAsia"/>
                    </w:rPr>
                    <w:t>）</w:t>
                  </w:r>
                  <w:r>
                    <w:rPr>
                      <w:rFonts w:hint="eastAsia" w:ascii="宋体" w:hAnsi="宋体" w:cs="宋体"/>
                    </w:rPr>
                    <w:t>Ⅳ</w:t>
                  </w:r>
                  <w:r>
                    <w:rPr>
                      <w:rFonts w:hint="eastAsia"/>
                    </w:rPr>
                    <w:t>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80"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浒光运河</w:t>
                  </w:r>
                </w:p>
              </w:tc>
              <w:tc>
                <w:tcPr>
                  <w:tcW w:w="348"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东南</w:t>
                  </w:r>
                </w:p>
              </w:tc>
              <w:tc>
                <w:tcPr>
                  <w:tcW w:w="380"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lang w:val="en-US" w:eastAsia="zh-CN"/>
                    </w:rPr>
                    <w:t>32</w:t>
                  </w:r>
                  <w:r>
                    <w:t>00</w:t>
                  </w:r>
                </w:p>
              </w:tc>
              <w:tc>
                <w:tcPr>
                  <w:tcW w:w="310" w:type="pct"/>
                  <w:tcBorders>
                    <w:top w:val="single" w:color="auto" w:sz="6" w:space="0"/>
                    <w:left w:val="single" w:color="auto" w:sz="6" w:space="0"/>
                    <w:bottom w:val="single" w:color="auto" w:sz="6" w:space="0"/>
                    <w:right w:val="single" w:color="auto" w:sz="6" w:space="0"/>
                  </w:tcBorders>
                  <w:vAlign w:val="center"/>
                </w:tcPr>
                <w:p>
                  <w:pPr>
                    <w:pStyle w:val="35"/>
                    <w:rPr>
                      <w:rFonts w:hint="default" w:eastAsia="宋体"/>
                      <w:lang w:val="en-US" w:eastAsia="zh-CN"/>
                    </w:rPr>
                  </w:pPr>
                  <w:r>
                    <w:rPr>
                      <w:rFonts w:hint="eastAsia"/>
                      <w:lang w:val="en-US" w:eastAsia="zh-CN"/>
                    </w:rPr>
                    <w:t>5300</w:t>
                  </w:r>
                </w:p>
              </w:tc>
              <w:tc>
                <w:tcPr>
                  <w:tcW w:w="400"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w:t>
                  </w:r>
                  <w:r>
                    <w:rPr>
                      <w:rFonts w:hint="eastAsia"/>
                      <w:lang w:val="en-US" w:eastAsia="zh-CN"/>
                    </w:rPr>
                    <w:t>440</w:t>
                  </w:r>
                  <w:r>
                    <w:t>0</w:t>
                  </w:r>
                </w:p>
              </w:tc>
              <w:tc>
                <w:tcPr>
                  <w:tcW w:w="369"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lang w:val="en-US" w:eastAsia="zh-CN"/>
                    </w:rPr>
                    <w:t>33</w:t>
                  </w:r>
                  <w:r>
                    <w:t>00</w:t>
                  </w:r>
                </w:p>
              </w:tc>
              <w:tc>
                <w:tcPr>
                  <w:tcW w:w="388" w:type="pct"/>
                  <w:tcBorders>
                    <w:top w:val="single" w:color="auto" w:sz="6" w:space="0"/>
                    <w:left w:val="single" w:color="auto" w:sz="6" w:space="0"/>
                    <w:bottom w:val="single" w:color="auto" w:sz="6" w:space="0"/>
                    <w:right w:val="single" w:color="auto" w:sz="6" w:space="0"/>
                  </w:tcBorders>
                  <w:vAlign w:val="center"/>
                </w:tcPr>
                <w:p>
                  <w:pPr>
                    <w:pStyle w:val="35"/>
                    <w:rPr>
                      <w:rFonts w:hint="default" w:eastAsia="宋体"/>
                      <w:lang w:val="en-US" w:eastAsia="zh-CN"/>
                    </w:rPr>
                  </w:pPr>
                  <w:r>
                    <w:rPr>
                      <w:rFonts w:hint="eastAsia"/>
                      <w:lang w:val="en-US" w:eastAsia="zh-CN"/>
                    </w:rPr>
                    <w:t>5200</w:t>
                  </w:r>
                </w:p>
              </w:tc>
              <w:tc>
                <w:tcPr>
                  <w:tcW w:w="360"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w:t>
                  </w:r>
                  <w:r>
                    <w:rPr>
                      <w:rFonts w:hint="eastAsia"/>
                      <w:lang w:val="en-US" w:eastAsia="zh-CN"/>
                    </w:rPr>
                    <w:t>430</w:t>
                  </w:r>
                  <w:r>
                    <w:t>0</w:t>
                  </w:r>
                </w:p>
              </w:tc>
              <w:tc>
                <w:tcPr>
                  <w:tcW w:w="329"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中河</w:t>
                  </w:r>
                </w:p>
              </w:tc>
              <w:tc>
                <w:tcPr>
                  <w:tcW w:w="603"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纳污水体</w:t>
                  </w:r>
                </w:p>
              </w:tc>
              <w:tc>
                <w:tcPr>
                  <w:tcW w:w="928" w:type="pct"/>
                  <w:tcBorders>
                    <w:top w:val="single" w:color="auto" w:sz="6" w:space="0"/>
                    <w:left w:val="single" w:color="auto" w:sz="6" w:space="0"/>
                    <w:bottom w:val="single" w:color="auto" w:sz="6" w:space="0"/>
                    <w:right w:val="single" w:color="auto" w:sz="6" w:space="0"/>
                  </w:tcBorders>
                  <w:vAlign w:val="center"/>
                </w:tcPr>
                <w:p>
                  <w:pPr>
                    <w:pStyle w:val="35"/>
                  </w:pPr>
                  <w:r>
                    <w:rPr>
                      <w:rFonts w:hint="eastAsia"/>
                    </w:rPr>
                    <w:t>Ⅲ类</w:t>
                  </w:r>
                </w:p>
              </w:tc>
            </w:tr>
          </w:tbl>
          <w:p>
            <w:pPr>
              <w:pStyle w:val="35"/>
              <w:jc w:val="left"/>
            </w:pPr>
            <w:r>
              <w:rPr>
                <w:rFonts w:hint="eastAsia"/>
              </w:rPr>
              <w:t>注：坐标原点为项目厂区西南角。</w:t>
            </w:r>
          </w:p>
          <w:p>
            <w:pPr>
              <w:pStyle w:val="14"/>
            </w:pPr>
            <w:r>
              <w:t>3</w:t>
            </w:r>
            <w:r>
              <w:rPr>
                <w:rFonts w:hint="eastAsia"/>
              </w:rPr>
              <w:t>、声环境保护目标</w:t>
            </w:r>
          </w:p>
          <w:p>
            <w:pPr>
              <w:pStyle w:val="29"/>
              <w:ind w:firstLine="480"/>
            </w:pPr>
            <w:r>
              <w:rPr>
                <w:rFonts w:hint="eastAsia"/>
              </w:rPr>
              <w:t>本项目厂界外50米范围内无声环境保护目标。</w:t>
            </w:r>
          </w:p>
          <w:p>
            <w:pPr>
              <w:pStyle w:val="14"/>
            </w:pPr>
            <w:r>
              <w:t>4</w:t>
            </w:r>
            <w:r>
              <w:rPr>
                <w:rFonts w:hint="eastAsia"/>
              </w:rPr>
              <w:t>、地下水环境保护目标</w:t>
            </w:r>
          </w:p>
          <w:p>
            <w:pPr>
              <w:pStyle w:val="29"/>
              <w:ind w:firstLine="480"/>
            </w:pPr>
            <w:r>
              <w:rPr>
                <w:rFonts w:hint="eastAsia"/>
              </w:rPr>
              <w:t>本项目厂界外500米范围内没有地下水集中式饮用水水源和热水、矿泉水、温泉等特殊地下水资源。</w:t>
            </w:r>
          </w:p>
          <w:p>
            <w:pPr>
              <w:pStyle w:val="14"/>
              <w:rPr>
                <w:rFonts w:eastAsia="宋体"/>
              </w:rPr>
            </w:pPr>
            <w:r>
              <w:t>5</w:t>
            </w:r>
            <w:r>
              <w:rPr>
                <w:rFonts w:hint="eastAsia"/>
              </w:rPr>
              <w:t>、生态环境保护目标</w:t>
            </w:r>
          </w:p>
          <w:p>
            <w:pPr>
              <w:pStyle w:val="29"/>
              <w:ind w:firstLine="480"/>
            </w:pPr>
            <w:r>
              <w:rPr>
                <w:rFonts w:hint="eastAsia"/>
              </w:rPr>
              <w:t>本项目</w:t>
            </w:r>
            <w:r>
              <w:rPr>
                <w:rFonts w:hint="eastAsia"/>
                <w:lang w:eastAsia="zh-CN"/>
              </w:rPr>
              <w:t>位于</w:t>
            </w:r>
            <w:r>
              <w:rPr>
                <w:rFonts w:hint="eastAsia"/>
              </w:rPr>
              <w:t>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rPr>
              <w:t>厂房，不新增用地，不涉及生态环境保护目标。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99" w:type="dxa"/>
            <w:tcMar>
              <w:left w:w="28" w:type="dxa"/>
              <w:right w:w="28" w:type="dxa"/>
            </w:tcMar>
            <w:vAlign w:val="center"/>
          </w:tcPr>
          <w:p>
            <w:pPr>
              <w:spacing w:line="240" w:lineRule="auto"/>
              <w:jc w:val="center"/>
            </w:pPr>
            <w:r>
              <w:t>污染物排放控制标准</w:t>
            </w:r>
          </w:p>
        </w:tc>
        <w:tc>
          <w:tcPr>
            <w:tcW w:w="8491" w:type="dxa"/>
          </w:tcPr>
          <w:p>
            <w:pPr>
              <w:pStyle w:val="14"/>
            </w:pPr>
            <w:r>
              <w:rPr>
                <w:rFonts w:hint="eastAsia"/>
              </w:rPr>
              <w:t>1、废气污染物排放标准</w:t>
            </w:r>
          </w:p>
          <w:p>
            <w:pPr>
              <w:pStyle w:val="29"/>
              <w:ind w:firstLine="480"/>
              <w:rPr>
                <w:color w:val="000000" w:themeColor="text1"/>
                <w14:textFill>
                  <w14:solidFill>
                    <w14:schemeClr w14:val="tx1"/>
                  </w14:solidFill>
                </w14:textFill>
              </w:rPr>
            </w:pPr>
            <w:r>
              <w:rPr>
                <w:rFonts w:hint="eastAsia"/>
              </w:rPr>
              <w:t>本项目产生的废气为非甲烷总烃、</w:t>
            </w:r>
            <w:r>
              <w:rPr>
                <w:rFonts w:hint="eastAsia"/>
                <w:lang w:eastAsia="zh-CN"/>
              </w:rPr>
              <w:t>颗粒物</w:t>
            </w:r>
            <w:r>
              <w:rPr>
                <w:rFonts w:hint="eastAsia"/>
              </w:rPr>
              <w:t>。非甲烷总烃、</w:t>
            </w:r>
            <w:r>
              <w:rPr>
                <w:rFonts w:hint="eastAsia"/>
                <w:lang w:eastAsia="zh-CN"/>
              </w:rPr>
              <w:t>颗粒物</w:t>
            </w:r>
            <w:r>
              <w:rPr>
                <w:rFonts w:hint="eastAsia"/>
              </w:rPr>
              <w:t>均执行《大气污染物综合排放标准》（DB32/4041-2021）表1</w:t>
            </w:r>
            <w:r>
              <w:rPr>
                <w:rFonts w:hint="eastAsia"/>
                <w:lang w:eastAsia="zh-CN"/>
              </w:rPr>
              <w:t>、表</w:t>
            </w:r>
            <w:r>
              <w:rPr>
                <w:rFonts w:hint="eastAsia"/>
                <w:lang w:val="en-US" w:eastAsia="zh-CN"/>
              </w:rPr>
              <w:t>3</w:t>
            </w:r>
            <w:r>
              <w:rPr>
                <w:rFonts w:hint="eastAsia"/>
              </w:rPr>
              <w:t>相关标准，非甲烷总烃厂区内V</w:t>
            </w:r>
            <w:r>
              <w:rPr>
                <w:rFonts w:hint="eastAsia"/>
                <w:color w:val="000000" w:themeColor="text1"/>
                <w14:textFill>
                  <w14:solidFill>
                    <w14:schemeClr w14:val="tx1"/>
                  </w14:solidFill>
                </w14:textFill>
              </w:rPr>
              <w:t>OCs无组织排放限值执行江苏省《大气污染物综合排放标准》（DB32/4041-2021）表2标准，具体见下表。</w:t>
            </w:r>
          </w:p>
          <w:p>
            <w:pPr>
              <w:pStyle w:val="12"/>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3-5  </w:t>
            </w:r>
            <w:r>
              <w:rPr>
                <w:rFonts w:hint="eastAsia"/>
                <w:color w:val="000000" w:themeColor="text1"/>
                <w14:textFill>
                  <w14:solidFill>
                    <w14:schemeClr w14:val="tx1"/>
                  </w14:solidFill>
                </w14:textFill>
              </w:rPr>
              <w:t>废气污染物排放标准</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5"/>
              <w:gridCol w:w="1449"/>
              <w:gridCol w:w="987"/>
              <w:gridCol w:w="1264"/>
              <w:gridCol w:w="1202"/>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污染物</w:t>
                  </w:r>
                </w:p>
              </w:tc>
              <w:tc>
                <w:tcPr>
                  <w:tcW w:w="141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最高允许排放浓度（</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96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排气筒（</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tc>
              <w:tc>
                <w:tcPr>
                  <w:tcW w:w="123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最高允许排放速率（</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w:t>
                  </w:r>
                </w:p>
              </w:tc>
              <w:tc>
                <w:tcPr>
                  <w:tcW w:w="117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无组织排放监控浓度限值（</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tc>
              <w:tc>
                <w:tcPr>
                  <w:tcW w:w="2068"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41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60</w:t>
                  </w:r>
                </w:p>
              </w:tc>
              <w:tc>
                <w:tcPr>
                  <w:tcW w:w="96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15</w:t>
                  </w:r>
                </w:p>
              </w:tc>
              <w:tc>
                <w:tcPr>
                  <w:tcW w:w="123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3</w:t>
                  </w:r>
                </w:p>
              </w:tc>
              <w:tc>
                <w:tcPr>
                  <w:tcW w:w="117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4</w:t>
                  </w:r>
                </w:p>
              </w:tc>
              <w:tc>
                <w:tcPr>
                  <w:tcW w:w="2068" w:type="dxa"/>
                  <w:vMerge w:val="restart"/>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江苏省地方标准《大气污染物综合排放标准》（</w:t>
                  </w:r>
                  <w:r>
                    <w:rPr>
                      <w:color w:val="000000" w:themeColor="text1"/>
                      <w14:textFill>
                        <w14:solidFill>
                          <w14:schemeClr w14:val="tx1"/>
                        </w14:solidFill>
                      </w14:textFill>
                    </w:rPr>
                    <w:t>DB32/4041-2021</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23"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color w:val="auto"/>
                      <w:lang w:eastAsia="zh-CN"/>
                    </w:rPr>
                  </w:pPr>
                  <w:r>
                    <w:rPr>
                      <w:rFonts w:hint="eastAsia"/>
                      <w:color w:val="auto"/>
                      <w:lang w:eastAsia="zh-CN"/>
                    </w:rPr>
                    <w:t>颗粒物</w:t>
                  </w:r>
                </w:p>
              </w:tc>
              <w:tc>
                <w:tcPr>
                  <w:tcW w:w="1410" w:type="dxa"/>
                  <w:tcBorders>
                    <w:top w:val="single" w:color="auto" w:sz="4" w:space="0"/>
                    <w:left w:val="single" w:color="auto" w:sz="4" w:space="0"/>
                    <w:bottom w:val="single" w:color="auto" w:sz="4" w:space="0"/>
                    <w:right w:val="single" w:color="auto" w:sz="4" w:space="0"/>
                  </w:tcBorders>
                  <w:vAlign w:val="center"/>
                </w:tcPr>
                <w:p>
                  <w:pPr>
                    <w:pStyle w:val="35"/>
                    <w:rPr>
                      <w:rFonts w:hint="default" w:eastAsia="宋体"/>
                      <w:color w:val="auto"/>
                      <w:lang w:val="en-US" w:eastAsia="zh-CN"/>
                    </w:rPr>
                  </w:pPr>
                  <w:r>
                    <w:rPr>
                      <w:rFonts w:hint="eastAsia"/>
                      <w:color w:val="auto"/>
                      <w:lang w:val="en-US" w:eastAsia="zh-CN"/>
                    </w:rPr>
                    <w:t>20</w:t>
                  </w:r>
                </w:p>
              </w:tc>
              <w:tc>
                <w:tcPr>
                  <w:tcW w:w="960" w:type="dxa"/>
                  <w:tcBorders>
                    <w:top w:val="single" w:color="auto" w:sz="4" w:space="0"/>
                    <w:left w:val="single" w:color="auto" w:sz="4" w:space="0"/>
                    <w:bottom w:val="single" w:color="auto" w:sz="4" w:space="0"/>
                    <w:right w:val="single" w:color="auto" w:sz="4" w:space="0"/>
                  </w:tcBorders>
                  <w:vAlign w:val="center"/>
                </w:tcPr>
                <w:p>
                  <w:pPr>
                    <w:pStyle w:val="35"/>
                    <w:rPr>
                      <w:color w:val="auto"/>
                    </w:rPr>
                  </w:pPr>
                  <w:r>
                    <w:rPr>
                      <w:color w:val="auto"/>
                    </w:rPr>
                    <w:t>15</w:t>
                  </w:r>
                </w:p>
              </w:tc>
              <w:tc>
                <w:tcPr>
                  <w:tcW w:w="1230"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color w:val="auto"/>
                      <w:lang w:eastAsia="zh-CN"/>
                    </w:rPr>
                  </w:pPr>
                  <w:r>
                    <w:rPr>
                      <w:rFonts w:hint="eastAsia"/>
                      <w:color w:val="auto"/>
                      <w:lang w:val="en-US" w:eastAsia="zh-CN"/>
                    </w:rPr>
                    <w:t>1</w:t>
                  </w:r>
                </w:p>
              </w:tc>
              <w:tc>
                <w:tcPr>
                  <w:tcW w:w="1170" w:type="dxa"/>
                  <w:tcBorders>
                    <w:top w:val="single" w:color="auto" w:sz="4" w:space="0"/>
                    <w:left w:val="single" w:color="auto" w:sz="4" w:space="0"/>
                    <w:bottom w:val="single" w:color="auto" w:sz="4" w:space="0"/>
                    <w:right w:val="single" w:color="auto" w:sz="4" w:space="0"/>
                  </w:tcBorders>
                  <w:vAlign w:val="center"/>
                </w:tcPr>
                <w:p>
                  <w:pPr>
                    <w:pStyle w:val="35"/>
                    <w:rPr>
                      <w:rFonts w:hint="eastAsia" w:eastAsia="宋体"/>
                      <w:color w:val="auto"/>
                      <w:lang w:eastAsia="zh-CN"/>
                    </w:rPr>
                  </w:pPr>
                  <w:r>
                    <w:rPr>
                      <w:color w:val="auto"/>
                    </w:rPr>
                    <w:t>0.</w:t>
                  </w:r>
                  <w:r>
                    <w:rPr>
                      <w:rFonts w:hint="eastAsia"/>
                      <w:color w:val="auto"/>
                      <w:lang w:val="en-US" w:eastAsia="zh-CN"/>
                    </w:rPr>
                    <w:t>5</w:t>
                  </w:r>
                </w:p>
              </w:tc>
              <w:tc>
                <w:tcPr>
                  <w:tcW w:w="2068" w:type="dxa"/>
                  <w:vMerge w:val="continue"/>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23" w:type="dxa"/>
                  <w:vMerge w:val="restart"/>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1410" w:type="dxa"/>
                  <w:vMerge w:val="restart"/>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bCs/>
                      <w:color w:val="000000" w:themeColor="text1"/>
                      <w14:textFill>
                        <w14:solidFill>
                          <w14:schemeClr w14:val="tx1"/>
                        </w14:solidFill>
                      </w14:textFill>
                    </w:rPr>
                    <w:t>厂区内 VOCs无组织排放监控浓度限值</w:t>
                  </w:r>
                </w:p>
              </w:tc>
              <w:tc>
                <w:tcPr>
                  <w:tcW w:w="2190" w:type="dxa"/>
                  <w:gridSpan w:val="2"/>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厂区内监控点处</w:t>
                  </w:r>
                  <w:r>
                    <w:rPr>
                      <w:color w:val="000000" w:themeColor="text1"/>
                      <w14:textFill>
                        <w14:solidFill>
                          <w14:schemeClr w14:val="tx1"/>
                        </w14:solidFill>
                      </w14:textFill>
                    </w:rPr>
                    <w:t>1h</w:t>
                  </w:r>
                  <w:r>
                    <w:rPr>
                      <w:rFonts w:hint="eastAsia"/>
                      <w:color w:val="000000" w:themeColor="text1"/>
                      <w14:textFill>
                        <w14:solidFill>
                          <w14:schemeClr w14:val="tx1"/>
                        </w14:solidFill>
                      </w14:textFill>
                    </w:rPr>
                    <w:t>平均浓度值</w:t>
                  </w:r>
                </w:p>
              </w:tc>
              <w:tc>
                <w:tcPr>
                  <w:tcW w:w="117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szCs w:val="20"/>
                      <w14:textFill>
                        <w14:solidFill>
                          <w14:schemeClr w14:val="tx1"/>
                        </w14:solidFill>
                      </w14:textFill>
                    </w:rPr>
                  </w:pPr>
                  <w:r>
                    <w:rPr>
                      <w:color w:val="000000" w:themeColor="text1"/>
                      <w14:textFill>
                        <w14:solidFill>
                          <w14:schemeClr w14:val="tx1"/>
                        </w14:solidFill>
                      </w14:textFill>
                    </w:rPr>
                    <w:t>6</w:t>
                  </w:r>
                </w:p>
              </w:tc>
              <w:tc>
                <w:tcPr>
                  <w:tcW w:w="2068" w:type="dxa"/>
                  <w:vMerge w:val="continue"/>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23" w:type="dxa"/>
                  <w:vMerge w:val="continue"/>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p>
              </w:tc>
              <w:tc>
                <w:tcPr>
                  <w:tcW w:w="1410" w:type="dxa"/>
                  <w:vMerge w:val="continue"/>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p>
              </w:tc>
              <w:tc>
                <w:tcPr>
                  <w:tcW w:w="2190" w:type="dxa"/>
                  <w:gridSpan w:val="2"/>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厂区内监控点处任意一次浓度值</w:t>
                  </w:r>
                </w:p>
              </w:tc>
              <w:tc>
                <w:tcPr>
                  <w:tcW w:w="1170" w:type="dxa"/>
                  <w:tcBorders>
                    <w:top w:val="single" w:color="auto" w:sz="4" w:space="0"/>
                    <w:left w:val="single" w:color="auto" w:sz="4" w:space="0"/>
                    <w:bottom w:val="single" w:color="auto" w:sz="4" w:space="0"/>
                    <w:right w:val="single" w:color="auto" w:sz="4" w:space="0"/>
                  </w:tcBorders>
                  <w:vAlign w:val="center"/>
                </w:tcPr>
                <w:p>
                  <w:pPr>
                    <w:pStyle w:val="35"/>
                    <w:rPr>
                      <w:color w:val="000000" w:themeColor="text1"/>
                      <w:szCs w:val="20"/>
                      <w14:textFill>
                        <w14:solidFill>
                          <w14:schemeClr w14:val="tx1"/>
                        </w14:solidFill>
                      </w14:textFill>
                    </w:rPr>
                  </w:pPr>
                  <w:r>
                    <w:rPr>
                      <w:color w:val="000000" w:themeColor="text1"/>
                      <w14:textFill>
                        <w14:solidFill>
                          <w14:schemeClr w14:val="tx1"/>
                        </w14:solidFill>
                      </w14:textFill>
                    </w:rPr>
                    <w:t>20</w:t>
                  </w:r>
                </w:p>
              </w:tc>
              <w:tc>
                <w:tcPr>
                  <w:tcW w:w="2068" w:type="dxa"/>
                  <w:vMerge w:val="continue"/>
                  <w:tcBorders>
                    <w:top w:val="single" w:color="auto" w:sz="4" w:space="0"/>
                    <w:left w:val="single" w:color="auto" w:sz="4" w:space="0"/>
                    <w:bottom w:val="single" w:color="auto" w:sz="4" w:space="0"/>
                    <w:right w:val="single" w:color="auto" w:sz="4" w:space="0"/>
                  </w:tcBorders>
                  <w:vAlign w:val="center"/>
                </w:tcPr>
                <w:p>
                  <w:pPr>
                    <w:pStyle w:val="35"/>
                    <w:rPr>
                      <w:color w:val="000000" w:themeColor="text1"/>
                      <w14:textFill>
                        <w14:solidFill>
                          <w14:schemeClr w14:val="tx1"/>
                        </w14:solidFill>
                      </w14:textFill>
                    </w:rPr>
                  </w:pPr>
                </w:p>
              </w:tc>
            </w:tr>
          </w:tbl>
          <w:p>
            <w:pPr>
              <w:pStyle w:val="14"/>
            </w:pPr>
            <w:r>
              <w:t>2</w:t>
            </w:r>
            <w:r>
              <w:rPr>
                <w:rFonts w:hint="eastAsia"/>
              </w:rPr>
              <w:t>、废水污染物排放标准</w:t>
            </w:r>
          </w:p>
          <w:p>
            <w:pPr>
              <w:pStyle w:val="29"/>
              <w:ind w:firstLine="480"/>
            </w:pPr>
            <w:r>
              <w:rPr>
                <w:rFonts w:hint="eastAsia"/>
              </w:rPr>
              <w:t>本项目生活污水排入市政污水管网执行科技城水质净化厂的接管标准，废水接管标准：pH、COD、SS接管标准执行《污水综合排放标准》（GB8978-1996）表4中三级标准，氨氮、总磷接管标准执行《污水排入城镇下水道水质标准》（GB/T31962-2015）表1B级标准；统一处理后达《苏州特别排放限值标准》和《城镇污水处理厂污染物排放标准》（GB18918-2002）一级标准A标准后最终排入浒光运河，具体见下表。</w:t>
            </w:r>
          </w:p>
          <w:p>
            <w:pPr>
              <w:pStyle w:val="12"/>
            </w:pPr>
            <w:r>
              <w:rPr>
                <w:rFonts w:hint="eastAsia"/>
              </w:rPr>
              <w:t>表</w:t>
            </w:r>
            <w:r>
              <w:t xml:space="preserve">3-6  </w:t>
            </w:r>
            <w:r>
              <w:rPr>
                <w:rFonts w:hint="eastAsia"/>
              </w:rPr>
              <w:t>废水污染物排放标准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7"/>
              <w:gridCol w:w="1012"/>
              <w:gridCol w:w="2652"/>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标准</w:t>
                  </w: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项目</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浓度限值</w:t>
                  </w:r>
                  <w:r>
                    <w:t>mg/L</w:t>
                  </w:r>
                </w:p>
              </w:tc>
              <w:tc>
                <w:tcPr>
                  <w:tcW w:w="3674"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企业污水接管口</w:t>
                  </w: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pH</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6~9</w:t>
                  </w:r>
                </w:p>
              </w:tc>
              <w:tc>
                <w:tcPr>
                  <w:tcW w:w="3674"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《污水综合排放标准》</w:t>
                  </w:r>
                  <w:r>
                    <w:t>(GB8978-1996)</w:t>
                  </w:r>
                  <w:r>
                    <w:rPr>
                      <w:rFonts w:hint="eastAsia"/>
                    </w:rPr>
                    <w:t>表</w:t>
                  </w:r>
                  <w:r>
                    <w:t>4</w:t>
                  </w:r>
                  <w:r>
                    <w:rPr>
                      <w:rFonts w:hint="eastAsia"/>
                    </w:rPr>
                    <w:t>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COD</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500</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SS</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400</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NH</w:t>
                  </w:r>
                  <w:r>
                    <w:rPr>
                      <w:vertAlign w:val="subscript"/>
                    </w:rPr>
                    <w:t>3</w:t>
                  </w:r>
                  <w:r>
                    <w:t>-N</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45</w:t>
                  </w:r>
                </w:p>
              </w:tc>
              <w:tc>
                <w:tcPr>
                  <w:tcW w:w="3674"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《污水排入城镇下水道水质标准》</w:t>
                  </w:r>
                  <w:r>
                    <w:t>(GB/T31962-2015</w:t>
                  </w:r>
                  <w:r>
                    <w:rPr>
                      <w:rFonts w:hint="eastAsia"/>
                    </w:rPr>
                    <w:t>）表</w:t>
                  </w:r>
                  <w:r>
                    <w:t>1B</w:t>
                  </w:r>
                  <w:r>
                    <w:rPr>
                      <w:rFonts w:hint="eastAsia"/>
                    </w:rPr>
                    <w:t>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TP</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8</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Style w:val="22"/>
                      <w:rFonts w:hint="eastAsia"/>
                      <w:bCs/>
                    </w:rPr>
                    <w:t>污水处理厂排口</w:t>
                  </w: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pH</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6~9</w:t>
                  </w:r>
                </w:p>
              </w:tc>
              <w:tc>
                <w:tcPr>
                  <w:tcW w:w="3674"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Fonts w:hint="eastAsia"/>
                      <w:kern w:val="0"/>
                    </w:rPr>
                    <w:t>《城镇污水处理厂污染物排放标准》（</w:t>
                  </w:r>
                  <w:r>
                    <w:rPr>
                      <w:kern w:val="0"/>
                    </w:rPr>
                    <w:t>GB18918-2002</w:t>
                  </w:r>
                  <w:r>
                    <w:rPr>
                      <w:rFonts w:hint="eastAsia"/>
                      <w:kern w:val="0"/>
                    </w:rPr>
                    <w:t>）中一级</w:t>
                  </w:r>
                  <w:r>
                    <w:rPr>
                      <w:kern w:val="0"/>
                    </w:rPr>
                    <w:t>A</w:t>
                  </w:r>
                  <w:r>
                    <w:rPr>
                      <w:rFonts w:hint="eastAsia"/>
                      <w:kern w:val="0"/>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SS</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pPr>
                  <w:r>
                    <w:t>10</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COD</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rPr>
                      <w:highlight w:val="yellow"/>
                    </w:rPr>
                  </w:pPr>
                  <w:r>
                    <w:t>30</w:t>
                  </w:r>
                </w:p>
              </w:tc>
              <w:tc>
                <w:tcPr>
                  <w:tcW w:w="3674" w:type="dxa"/>
                  <w:vMerge w:val="restar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《苏州特别排放限值标准》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NH</w:t>
                  </w:r>
                  <w:r>
                    <w:rPr>
                      <w:vertAlign w:val="subscript"/>
                    </w:rPr>
                    <w:t>3</w:t>
                  </w:r>
                  <w:r>
                    <w:t>-N</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rPr>
                      <w:highlight w:val="yellow"/>
                    </w:rPr>
                  </w:pPr>
                  <w:r>
                    <w:t>1.5(3)*</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27"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c>
                <w:tcPr>
                  <w:tcW w:w="1012" w:type="dxa"/>
                  <w:tcBorders>
                    <w:top w:val="single" w:color="auto" w:sz="4" w:space="0"/>
                    <w:left w:val="single" w:color="auto" w:sz="4" w:space="0"/>
                    <w:bottom w:val="single" w:color="auto" w:sz="4" w:space="0"/>
                    <w:right w:val="single" w:color="auto" w:sz="4" w:space="0"/>
                  </w:tcBorders>
                  <w:vAlign w:val="center"/>
                </w:tcPr>
                <w:p>
                  <w:pPr>
                    <w:pStyle w:val="35"/>
                  </w:pPr>
                  <w:r>
                    <w:t>TP</w:t>
                  </w:r>
                </w:p>
              </w:tc>
              <w:tc>
                <w:tcPr>
                  <w:tcW w:w="2652" w:type="dxa"/>
                  <w:tcBorders>
                    <w:top w:val="single" w:color="auto" w:sz="4" w:space="0"/>
                    <w:left w:val="single" w:color="auto" w:sz="4" w:space="0"/>
                    <w:bottom w:val="single" w:color="auto" w:sz="4" w:space="0"/>
                    <w:right w:val="single" w:color="auto" w:sz="4" w:space="0"/>
                  </w:tcBorders>
                  <w:vAlign w:val="center"/>
                </w:tcPr>
                <w:p>
                  <w:pPr>
                    <w:pStyle w:val="35"/>
                    <w:rPr>
                      <w:highlight w:val="yellow"/>
                    </w:rPr>
                  </w:pPr>
                  <w:r>
                    <w:t>0.3</w:t>
                  </w:r>
                </w:p>
              </w:tc>
              <w:tc>
                <w:tcPr>
                  <w:tcW w:w="3674" w:type="dxa"/>
                  <w:vMerge w:val="continue"/>
                  <w:tcBorders>
                    <w:top w:val="single" w:color="auto" w:sz="4" w:space="0"/>
                    <w:left w:val="single" w:color="auto" w:sz="4" w:space="0"/>
                    <w:bottom w:val="single" w:color="auto" w:sz="4" w:space="0"/>
                    <w:right w:val="single" w:color="auto" w:sz="4" w:space="0"/>
                  </w:tcBorders>
                  <w:vAlign w:val="center"/>
                </w:tcPr>
                <w:p>
                  <w:pPr>
                    <w:pStyle w:val="35"/>
                  </w:pPr>
                </w:p>
              </w:tc>
            </w:tr>
          </w:tbl>
          <w:p>
            <w:pPr>
              <w:pStyle w:val="35"/>
              <w:rPr>
                <w:shd w:val="clear" w:color="auto" w:fill="FFFFFF"/>
              </w:rPr>
            </w:pPr>
            <w:r>
              <w:rPr>
                <w:rFonts w:hint="eastAsia"/>
                <w:shd w:val="clear" w:color="auto" w:fill="FFFFFF"/>
              </w:rPr>
              <w:t>注：*括号数值为水温＞12℃时的控制指标，括号内数值为水温≤12℃时的控制指标；</w:t>
            </w:r>
          </w:p>
          <w:p>
            <w:pPr>
              <w:pStyle w:val="14"/>
            </w:pPr>
            <w:r>
              <w:t>3</w:t>
            </w:r>
            <w:r>
              <w:rPr>
                <w:rFonts w:hint="eastAsia"/>
              </w:rPr>
              <w:t>、噪声排放标准</w:t>
            </w:r>
          </w:p>
          <w:p>
            <w:pPr>
              <w:pStyle w:val="29"/>
              <w:ind w:firstLine="480"/>
            </w:pPr>
            <w:r>
              <w:rPr>
                <w:rFonts w:hint="eastAsia"/>
              </w:rPr>
              <w:t>运营期厂界噪声执行《工业企业厂界环境噪声排放标准》（GB12348-2008）中的3类标准，具体见下表。</w:t>
            </w:r>
          </w:p>
          <w:p>
            <w:pPr>
              <w:pStyle w:val="12"/>
            </w:pPr>
            <w:r>
              <w:rPr>
                <w:rFonts w:hint="eastAsia"/>
              </w:rPr>
              <w:t>表</w:t>
            </w:r>
            <w:r>
              <w:t xml:space="preserve">3-7  </w:t>
            </w:r>
            <w:r>
              <w:rPr>
                <w:rFonts w:hint="eastAsia"/>
              </w:rPr>
              <w:t>噪声排放标准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2636"/>
              <w:gridCol w:w="935"/>
              <w:gridCol w:w="1114"/>
              <w:gridCol w:w="993"/>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1589" w:type="dxa"/>
                  <w:vMerge w:val="restart"/>
                  <w:vAlign w:val="center"/>
                </w:tcPr>
                <w:p>
                  <w:pPr>
                    <w:pStyle w:val="35"/>
                  </w:pPr>
                  <w:r>
                    <w:rPr>
                      <w:rFonts w:hint="eastAsia"/>
                    </w:rPr>
                    <w:t>位置</w:t>
                  </w:r>
                </w:p>
              </w:tc>
              <w:tc>
                <w:tcPr>
                  <w:tcW w:w="2636" w:type="dxa"/>
                  <w:vMerge w:val="restart"/>
                  <w:vAlign w:val="center"/>
                </w:tcPr>
                <w:p>
                  <w:pPr>
                    <w:pStyle w:val="35"/>
                  </w:pPr>
                  <w:r>
                    <w:rPr>
                      <w:rFonts w:hint="eastAsia"/>
                    </w:rPr>
                    <w:t>执行标准</w:t>
                  </w:r>
                </w:p>
              </w:tc>
              <w:tc>
                <w:tcPr>
                  <w:tcW w:w="935" w:type="dxa"/>
                  <w:vMerge w:val="restart"/>
                  <w:vAlign w:val="center"/>
                </w:tcPr>
                <w:p>
                  <w:pPr>
                    <w:pStyle w:val="35"/>
                  </w:pPr>
                  <w:r>
                    <w:rPr>
                      <w:rFonts w:hint="eastAsia"/>
                    </w:rPr>
                    <w:t>类别</w:t>
                  </w:r>
                </w:p>
              </w:tc>
              <w:tc>
                <w:tcPr>
                  <w:tcW w:w="1114" w:type="dxa"/>
                  <w:vMerge w:val="restart"/>
                  <w:vAlign w:val="center"/>
                </w:tcPr>
                <w:p>
                  <w:pPr>
                    <w:pStyle w:val="35"/>
                  </w:pPr>
                  <w:r>
                    <w:rPr>
                      <w:rFonts w:hint="eastAsia"/>
                    </w:rPr>
                    <w:t>单位</w:t>
                  </w:r>
                </w:p>
              </w:tc>
              <w:tc>
                <w:tcPr>
                  <w:tcW w:w="1991" w:type="dxa"/>
                  <w:gridSpan w:val="2"/>
                  <w:vAlign w:val="center"/>
                </w:tcPr>
                <w:p>
                  <w:pPr>
                    <w:pStyle w:val="35"/>
                  </w:pPr>
                  <w:r>
                    <w:rPr>
                      <w:rFonts w:hint="eastAsi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589" w:type="dxa"/>
                  <w:vMerge w:val="continue"/>
                  <w:vAlign w:val="center"/>
                </w:tcPr>
                <w:p>
                  <w:pPr>
                    <w:pStyle w:val="35"/>
                  </w:pPr>
                </w:p>
              </w:tc>
              <w:tc>
                <w:tcPr>
                  <w:tcW w:w="2636" w:type="dxa"/>
                  <w:vMerge w:val="continue"/>
                  <w:vAlign w:val="center"/>
                </w:tcPr>
                <w:p>
                  <w:pPr>
                    <w:pStyle w:val="35"/>
                  </w:pPr>
                </w:p>
              </w:tc>
              <w:tc>
                <w:tcPr>
                  <w:tcW w:w="935" w:type="dxa"/>
                  <w:vMerge w:val="continue"/>
                  <w:vAlign w:val="center"/>
                </w:tcPr>
                <w:p>
                  <w:pPr>
                    <w:pStyle w:val="35"/>
                  </w:pPr>
                </w:p>
              </w:tc>
              <w:tc>
                <w:tcPr>
                  <w:tcW w:w="1114" w:type="dxa"/>
                  <w:vMerge w:val="continue"/>
                  <w:vAlign w:val="center"/>
                </w:tcPr>
                <w:p>
                  <w:pPr>
                    <w:pStyle w:val="35"/>
                  </w:pPr>
                </w:p>
              </w:tc>
              <w:tc>
                <w:tcPr>
                  <w:tcW w:w="993" w:type="dxa"/>
                  <w:vAlign w:val="center"/>
                </w:tcPr>
                <w:p>
                  <w:pPr>
                    <w:pStyle w:val="35"/>
                  </w:pPr>
                  <w:r>
                    <w:rPr>
                      <w:rFonts w:hint="eastAsia"/>
                    </w:rPr>
                    <w:t>昼间</w:t>
                  </w:r>
                </w:p>
              </w:tc>
              <w:tc>
                <w:tcPr>
                  <w:tcW w:w="998" w:type="dxa"/>
                  <w:vAlign w:val="center"/>
                </w:tcPr>
                <w:p>
                  <w:pPr>
                    <w:pStyle w:val="35"/>
                  </w:pPr>
                  <w:r>
                    <w:rPr>
                      <w:rFonts w:hint="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589" w:type="dxa"/>
                  <w:vAlign w:val="center"/>
                </w:tcPr>
                <w:p>
                  <w:pPr>
                    <w:pStyle w:val="35"/>
                  </w:pPr>
                  <w:r>
                    <w:rPr>
                      <w:rFonts w:hint="eastAsia"/>
                    </w:rPr>
                    <w:t>项目厂界</w:t>
                  </w:r>
                </w:p>
              </w:tc>
              <w:tc>
                <w:tcPr>
                  <w:tcW w:w="2636" w:type="dxa"/>
                  <w:vAlign w:val="center"/>
                </w:tcPr>
                <w:p>
                  <w:pPr>
                    <w:pStyle w:val="35"/>
                  </w:pPr>
                  <w:r>
                    <w:rPr>
                      <w:rFonts w:hint="eastAsia"/>
                    </w:rPr>
                    <w:t>《工业企业厂界环境噪声排放标准》（</w:t>
                  </w:r>
                  <w:r>
                    <w:t>GB12348-2008</w:t>
                  </w:r>
                  <w:r>
                    <w:rPr>
                      <w:rFonts w:hint="eastAsia"/>
                    </w:rPr>
                    <w:t>）</w:t>
                  </w:r>
                </w:p>
              </w:tc>
              <w:tc>
                <w:tcPr>
                  <w:tcW w:w="935" w:type="dxa"/>
                  <w:vAlign w:val="center"/>
                </w:tcPr>
                <w:p>
                  <w:pPr>
                    <w:pStyle w:val="35"/>
                  </w:pPr>
                  <w:r>
                    <w:t>3</w:t>
                  </w:r>
                  <w:r>
                    <w:rPr>
                      <w:rFonts w:hint="eastAsia"/>
                    </w:rPr>
                    <w:t>类</w:t>
                  </w:r>
                </w:p>
              </w:tc>
              <w:tc>
                <w:tcPr>
                  <w:tcW w:w="1114" w:type="dxa"/>
                  <w:vAlign w:val="center"/>
                </w:tcPr>
                <w:p>
                  <w:pPr>
                    <w:pStyle w:val="35"/>
                  </w:pPr>
                  <w:r>
                    <w:rPr>
                      <w:bCs/>
                    </w:rPr>
                    <w:t>dB</w:t>
                  </w:r>
                  <w:r>
                    <w:rPr>
                      <w:rFonts w:hint="eastAsia"/>
                      <w:bCs/>
                    </w:rPr>
                    <w:t>（</w:t>
                  </w:r>
                  <w:r>
                    <w:rPr>
                      <w:bCs/>
                    </w:rPr>
                    <w:t>A</w:t>
                  </w:r>
                  <w:r>
                    <w:rPr>
                      <w:rFonts w:hint="eastAsia"/>
                      <w:bCs/>
                    </w:rPr>
                    <w:t>）</w:t>
                  </w:r>
                </w:p>
              </w:tc>
              <w:tc>
                <w:tcPr>
                  <w:tcW w:w="993" w:type="dxa"/>
                  <w:vAlign w:val="center"/>
                </w:tcPr>
                <w:p>
                  <w:pPr>
                    <w:pStyle w:val="35"/>
                  </w:pPr>
                  <w:r>
                    <w:t>65</w:t>
                  </w:r>
                </w:p>
              </w:tc>
              <w:tc>
                <w:tcPr>
                  <w:tcW w:w="998" w:type="dxa"/>
                  <w:vAlign w:val="center"/>
                </w:tcPr>
                <w:p>
                  <w:pPr>
                    <w:pStyle w:val="35"/>
                  </w:pPr>
                  <w:r>
                    <w:t>55</w:t>
                  </w:r>
                </w:p>
              </w:tc>
            </w:tr>
          </w:tbl>
          <w:p>
            <w:pPr>
              <w:pStyle w:val="14"/>
            </w:pPr>
            <w:r>
              <w:t>4</w:t>
            </w:r>
            <w:r>
              <w:rPr>
                <w:rFonts w:hint="eastAsia"/>
              </w:rPr>
              <w:t>、固废控制标准</w:t>
            </w:r>
          </w:p>
          <w:p>
            <w:pPr>
              <w:pStyle w:val="29"/>
              <w:ind w:firstLine="480"/>
            </w:pPr>
            <w:r>
              <w:rPr>
                <w:rFonts w:hint="eastAsia"/>
              </w:rPr>
              <w:t>本项目固体废物执行《中华人民共和国固体废物污染环境防治法》（2020年4月29日第十三届全国人民代表大会常务委员会第十七次会议第二次修订，自2020年9月1日起施行）和《江苏省固体废物污染环境防治条例》。一般工业固体废物贮存执行《一般工业固体废物贮存和填埋污染控制标准》（GB18599-2020）。危险废物管理执行《危险废物收集、贮存、运输技术规范》（HJ2025-2012）、《危险废物贮存污染控制标准》（GB18597-2001）、《省生态环境厅关于进一步加强危险废物污染防治工作的实施意见》（苏环办[2019]327号）及2013年修改单（公告2013年第36号）。生活垃圾参照执行《城市生活垃圾管理办法》（建设部令第157号）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99" w:type="dxa"/>
            <w:vAlign w:val="center"/>
          </w:tcPr>
          <w:p>
            <w:pPr>
              <w:spacing w:line="240" w:lineRule="auto"/>
              <w:jc w:val="center"/>
            </w:pPr>
            <w:r>
              <w:t>总量控制指标</w:t>
            </w:r>
          </w:p>
        </w:tc>
        <w:tc>
          <w:tcPr>
            <w:tcW w:w="8491" w:type="dxa"/>
          </w:tcPr>
          <w:p>
            <w:pPr>
              <w:pStyle w:val="29"/>
              <w:ind w:firstLine="480"/>
              <w:rPr>
                <w:i/>
              </w:rPr>
            </w:pPr>
            <w:r>
              <w:rPr>
                <w:rFonts w:hint="eastAsia"/>
              </w:rPr>
              <w:t>本项目建成后全厂污染物总量控制指标见下表。</w:t>
            </w:r>
          </w:p>
          <w:p>
            <w:pPr>
              <w:pStyle w:val="12"/>
            </w:pPr>
            <w:r>
              <w:rPr>
                <w:rFonts w:hint="eastAsia"/>
              </w:rPr>
              <w:t>表</w:t>
            </w:r>
            <w:r>
              <w:t xml:space="preserve">3-8  </w:t>
            </w:r>
            <w:r>
              <w:rPr>
                <w:rFonts w:hint="eastAsia"/>
              </w:rPr>
              <w:t>本项目建成后全厂污染物排放总量指标</w:t>
            </w:r>
            <w:r>
              <w:t xml:space="preserve">  </w:t>
            </w:r>
            <w:r>
              <w:rPr>
                <w:rFonts w:hint="eastAsia"/>
              </w:rPr>
              <w:t>单位：</w:t>
            </w:r>
            <w:r>
              <w:t>t/a</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4"/>
              <w:gridCol w:w="831"/>
              <w:gridCol w:w="1022"/>
              <w:gridCol w:w="818"/>
              <w:gridCol w:w="709"/>
              <w:gridCol w:w="993"/>
              <w:gridCol w:w="850"/>
              <w:gridCol w:w="850"/>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restart"/>
                  <w:noWrap/>
                  <w:vAlign w:val="center"/>
                </w:tcPr>
                <w:p>
                  <w:pPr>
                    <w:pStyle w:val="35"/>
                    <w:rPr>
                      <w:color w:val="auto"/>
                    </w:rPr>
                  </w:pPr>
                  <w:bookmarkStart w:id="6" w:name="_Hlk101787189"/>
                  <w:r>
                    <w:rPr>
                      <w:rFonts w:hint="eastAsia"/>
                      <w:color w:val="auto"/>
                    </w:rPr>
                    <w:t>类别</w:t>
                  </w:r>
                </w:p>
              </w:tc>
              <w:tc>
                <w:tcPr>
                  <w:tcW w:w="502" w:type="pct"/>
                  <w:vMerge w:val="restart"/>
                  <w:vAlign w:val="center"/>
                </w:tcPr>
                <w:p>
                  <w:pPr>
                    <w:pStyle w:val="35"/>
                    <w:rPr>
                      <w:color w:val="auto"/>
                    </w:rPr>
                  </w:pPr>
                  <w:r>
                    <w:rPr>
                      <w:rFonts w:hint="eastAsia"/>
                      <w:color w:val="auto"/>
                    </w:rPr>
                    <w:t>污染物名称</w:t>
                  </w:r>
                </w:p>
              </w:tc>
              <w:tc>
                <w:tcPr>
                  <w:tcW w:w="618" w:type="pct"/>
                  <w:vMerge w:val="restart"/>
                  <w:vAlign w:val="center"/>
                </w:tcPr>
                <w:p>
                  <w:pPr>
                    <w:pStyle w:val="35"/>
                    <w:rPr>
                      <w:color w:val="auto"/>
                    </w:rPr>
                  </w:pPr>
                  <w:r>
                    <w:rPr>
                      <w:rFonts w:hint="eastAsia"/>
                      <w:color w:val="auto"/>
                    </w:rPr>
                    <w:t>现有项目排放量</w:t>
                  </w:r>
                </w:p>
              </w:tc>
              <w:tc>
                <w:tcPr>
                  <w:tcW w:w="1524" w:type="pct"/>
                  <w:gridSpan w:val="3"/>
                  <w:vAlign w:val="center"/>
                </w:tcPr>
                <w:p>
                  <w:pPr>
                    <w:pStyle w:val="35"/>
                    <w:rPr>
                      <w:color w:val="auto"/>
                    </w:rPr>
                  </w:pPr>
                  <w:r>
                    <w:rPr>
                      <w:rFonts w:hint="eastAsia"/>
                      <w:color w:val="auto"/>
                    </w:rPr>
                    <w:t>本项目</w:t>
                  </w:r>
                </w:p>
              </w:tc>
              <w:tc>
                <w:tcPr>
                  <w:tcW w:w="514" w:type="pct"/>
                  <w:vMerge w:val="restart"/>
                  <w:vAlign w:val="center"/>
                </w:tcPr>
                <w:p>
                  <w:pPr>
                    <w:pStyle w:val="35"/>
                    <w:rPr>
                      <w:color w:val="auto"/>
                    </w:rPr>
                  </w:pPr>
                  <w:r>
                    <w:rPr>
                      <w:rFonts w:hint="eastAsia"/>
                      <w:color w:val="auto"/>
                    </w:rPr>
                    <w:t>以新带老削减量</w:t>
                  </w:r>
                </w:p>
              </w:tc>
              <w:tc>
                <w:tcPr>
                  <w:tcW w:w="514" w:type="pct"/>
                  <w:vMerge w:val="restart"/>
                  <w:vAlign w:val="center"/>
                </w:tcPr>
                <w:p>
                  <w:pPr>
                    <w:pStyle w:val="35"/>
                    <w:rPr>
                      <w:color w:val="auto"/>
                    </w:rPr>
                  </w:pPr>
                  <w:r>
                    <w:rPr>
                      <w:rFonts w:hint="eastAsia"/>
                      <w:color w:val="auto"/>
                    </w:rPr>
                    <w:t>扩建后全厂排放量</w:t>
                  </w:r>
                </w:p>
              </w:tc>
              <w:tc>
                <w:tcPr>
                  <w:tcW w:w="603" w:type="pct"/>
                  <w:vMerge w:val="restart"/>
                  <w:vAlign w:val="center"/>
                </w:tcPr>
                <w:p>
                  <w:pPr>
                    <w:pStyle w:val="35"/>
                    <w:rPr>
                      <w:color w:val="auto"/>
                    </w:rPr>
                  </w:pPr>
                  <w:r>
                    <w:rPr>
                      <w:rFonts w:hint="eastAsia"/>
                      <w:color w:val="auto"/>
                    </w:rPr>
                    <w:t>新增申请量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noWrap/>
                  <w:vAlign w:val="center"/>
                </w:tcPr>
                <w:p>
                  <w:pPr>
                    <w:pStyle w:val="35"/>
                    <w:rPr>
                      <w:color w:val="auto"/>
                    </w:rPr>
                  </w:pPr>
                </w:p>
              </w:tc>
              <w:tc>
                <w:tcPr>
                  <w:tcW w:w="502" w:type="pct"/>
                  <w:vMerge w:val="continue"/>
                  <w:vAlign w:val="center"/>
                </w:tcPr>
                <w:p>
                  <w:pPr>
                    <w:pStyle w:val="35"/>
                    <w:rPr>
                      <w:color w:val="auto"/>
                    </w:rPr>
                  </w:pPr>
                </w:p>
              </w:tc>
              <w:tc>
                <w:tcPr>
                  <w:tcW w:w="618" w:type="pct"/>
                  <w:vMerge w:val="continue"/>
                  <w:vAlign w:val="center"/>
                </w:tcPr>
                <w:p>
                  <w:pPr>
                    <w:pStyle w:val="35"/>
                    <w:rPr>
                      <w:color w:val="auto"/>
                    </w:rPr>
                  </w:pPr>
                </w:p>
              </w:tc>
              <w:tc>
                <w:tcPr>
                  <w:tcW w:w="494" w:type="pct"/>
                  <w:vAlign w:val="center"/>
                </w:tcPr>
                <w:p>
                  <w:pPr>
                    <w:pStyle w:val="35"/>
                    <w:rPr>
                      <w:color w:val="auto"/>
                    </w:rPr>
                  </w:pPr>
                  <w:r>
                    <w:rPr>
                      <w:rFonts w:hint="eastAsia"/>
                      <w:color w:val="auto"/>
                    </w:rPr>
                    <w:t>本项目产生量</w:t>
                  </w:r>
                </w:p>
              </w:tc>
              <w:tc>
                <w:tcPr>
                  <w:tcW w:w="428" w:type="pct"/>
                  <w:vAlign w:val="center"/>
                </w:tcPr>
                <w:p>
                  <w:pPr>
                    <w:pStyle w:val="35"/>
                    <w:rPr>
                      <w:color w:val="auto"/>
                    </w:rPr>
                  </w:pPr>
                  <w:r>
                    <w:rPr>
                      <w:rFonts w:hint="eastAsia"/>
                      <w:color w:val="auto"/>
                    </w:rPr>
                    <w:t>削减量</w:t>
                  </w:r>
                </w:p>
              </w:tc>
              <w:tc>
                <w:tcPr>
                  <w:tcW w:w="600" w:type="pct"/>
                  <w:vAlign w:val="center"/>
                </w:tcPr>
                <w:p>
                  <w:pPr>
                    <w:pStyle w:val="35"/>
                    <w:rPr>
                      <w:color w:val="auto"/>
                    </w:rPr>
                  </w:pPr>
                  <w:r>
                    <w:rPr>
                      <w:rFonts w:hint="eastAsia"/>
                      <w:color w:val="auto"/>
                    </w:rPr>
                    <w:t>本项目排放量</w:t>
                  </w:r>
                </w:p>
              </w:tc>
              <w:tc>
                <w:tcPr>
                  <w:tcW w:w="514" w:type="pct"/>
                  <w:vMerge w:val="continue"/>
                  <w:vAlign w:val="center"/>
                </w:tcPr>
                <w:p>
                  <w:pPr>
                    <w:pStyle w:val="35"/>
                    <w:rPr>
                      <w:color w:val="auto"/>
                    </w:rPr>
                  </w:pPr>
                </w:p>
              </w:tc>
              <w:tc>
                <w:tcPr>
                  <w:tcW w:w="514" w:type="pct"/>
                  <w:vMerge w:val="continue"/>
                  <w:vAlign w:val="center"/>
                </w:tcPr>
                <w:p>
                  <w:pPr>
                    <w:pStyle w:val="35"/>
                    <w:rPr>
                      <w:color w:val="auto"/>
                    </w:rPr>
                  </w:pPr>
                </w:p>
              </w:tc>
              <w:tc>
                <w:tcPr>
                  <w:tcW w:w="603" w:type="pct"/>
                  <w:vMerge w:val="continue"/>
                  <w:vAlign w:val="center"/>
                </w:tcPr>
                <w:p>
                  <w:pPr>
                    <w:pStyle w:val="35"/>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Align w:val="center"/>
                </w:tcPr>
                <w:p>
                  <w:pPr>
                    <w:pStyle w:val="35"/>
                    <w:rPr>
                      <w:color w:val="auto"/>
                    </w:rPr>
                  </w:pPr>
                  <w:r>
                    <w:rPr>
                      <w:rFonts w:hint="eastAsia"/>
                      <w:color w:val="auto"/>
                    </w:rPr>
                    <w:t>废气</w:t>
                  </w:r>
                </w:p>
                <w:p>
                  <w:pPr>
                    <w:pStyle w:val="35"/>
                    <w:rPr>
                      <w:color w:val="auto"/>
                    </w:rPr>
                  </w:pPr>
                  <w:r>
                    <w:rPr>
                      <w:rFonts w:hint="eastAsia"/>
                      <w:color w:val="auto"/>
                    </w:rPr>
                    <w:t>（有组织）</w:t>
                  </w:r>
                </w:p>
              </w:tc>
              <w:tc>
                <w:tcPr>
                  <w:tcW w:w="502" w:type="pct"/>
                  <w:noWrap/>
                  <w:vAlign w:val="center"/>
                </w:tcPr>
                <w:p>
                  <w:pPr>
                    <w:pStyle w:val="35"/>
                    <w:rPr>
                      <w:color w:val="auto"/>
                    </w:rPr>
                  </w:pPr>
                  <w:r>
                    <w:rPr>
                      <w:rFonts w:hint="eastAsia"/>
                      <w:color w:val="auto"/>
                    </w:rPr>
                    <w:t>非甲烷总烃</w:t>
                  </w:r>
                </w:p>
              </w:tc>
              <w:tc>
                <w:tcPr>
                  <w:tcW w:w="618" w:type="pct"/>
                  <w:vAlign w:val="center"/>
                </w:tcPr>
                <w:p>
                  <w:pPr>
                    <w:pStyle w:val="35"/>
                    <w:rPr>
                      <w:rFonts w:hint="default" w:eastAsia="宋体"/>
                      <w:color w:val="auto"/>
                      <w:lang w:val="en-US" w:eastAsia="zh-CN"/>
                    </w:rPr>
                  </w:pPr>
                  <w:r>
                    <w:rPr>
                      <w:rFonts w:hint="eastAsia"/>
                      <w:color w:val="auto"/>
                      <w:lang w:val="en-US" w:eastAsia="zh-CN"/>
                    </w:rPr>
                    <w:t>0.0151</w:t>
                  </w:r>
                </w:p>
              </w:tc>
              <w:tc>
                <w:tcPr>
                  <w:tcW w:w="494" w:type="pct"/>
                  <w:vAlign w:val="center"/>
                </w:tcPr>
                <w:p>
                  <w:pPr>
                    <w:pStyle w:val="35"/>
                    <w:rPr>
                      <w:rFonts w:hint="default" w:eastAsia="宋体"/>
                      <w:color w:val="auto"/>
                      <w:lang w:val="en-US" w:eastAsia="zh-CN"/>
                    </w:rPr>
                  </w:pPr>
                  <w:r>
                    <w:rPr>
                      <w:color w:val="auto"/>
                    </w:rPr>
                    <w:t>0.</w:t>
                  </w:r>
                  <w:r>
                    <w:rPr>
                      <w:rFonts w:hint="eastAsia"/>
                      <w:color w:val="auto"/>
                      <w:lang w:val="en-US" w:eastAsia="zh-CN"/>
                    </w:rPr>
                    <w:t>0475</w:t>
                  </w:r>
                </w:p>
              </w:tc>
              <w:tc>
                <w:tcPr>
                  <w:tcW w:w="428" w:type="pct"/>
                  <w:shd w:val="clear" w:color="auto" w:fill="auto"/>
                  <w:vAlign w:val="center"/>
                </w:tcPr>
                <w:p>
                  <w:pPr>
                    <w:pStyle w:val="35"/>
                    <w:rPr>
                      <w:rFonts w:hint="default" w:eastAsia="宋体"/>
                      <w:color w:val="auto"/>
                      <w:lang w:val="en-US" w:eastAsia="zh-CN"/>
                    </w:rPr>
                  </w:pPr>
                  <w:r>
                    <w:rPr>
                      <w:color w:val="auto"/>
                    </w:rPr>
                    <w:t>0.</w:t>
                  </w:r>
                  <w:r>
                    <w:rPr>
                      <w:rFonts w:hint="eastAsia"/>
                      <w:color w:val="auto"/>
                      <w:lang w:val="en-US" w:eastAsia="zh-CN"/>
                    </w:rPr>
                    <w:t>0427</w:t>
                  </w:r>
                </w:p>
              </w:tc>
              <w:tc>
                <w:tcPr>
                  <w:tcW w:w="600" w:type="pct"/>
                  <w:vAlign w:val="center"/>
                </w:tcPr>
                <w:p>
                  <w:pPr>
                    <w:pStyle w:val="35"/>
                    <w:rPr>
                      <w:rFonts w:hint="default" w:eastAsia="宋体"/>
                      <w:color w:val="auto"/>
                      <w:lang w:val="en-US" w:eastAsia="zh-CN"/>
                    </w:rPr>
                  </w:pPr>
                  <w:r>
                    <w:rPr>
                      <w:rFonts w:hint="eastAsia"/>
                      <w:color w:val="auto"/>
                      <w:lang w:val="en-US" w:eastAsia="zh-CN"/>
                    </w:rPr>
                    <w:t>0.0048</w:t>
                  </w:r>
                </w:p>
              </w:tc>
              <w:tc>
                <w:tcPr>
                  <w:tcW w:w="514" w:type="pct"/>
                  <w:vAlign w:val="center"/>
                </w:tcPr>
                <w:p>
                  <w:pPr>
                    <w:pStyle w:val="35"/>
                    <w:rPr>
                      <w:color w:val="auto"/>
                    </w:rPr>
                  </w:pPr>
                  <w:r>
                    <w:rPr>
                      <w:rFonts w:hint="eastAsia"/>
                      <w:color w:val="auto"/>
                    </w:rPr>
                    <w:t>0</w:t>
                  </w:r>
                </w:p>
              </w:tc>
              <w:tc>
                <w:tcPr>
                  <w:tcW w:w="514" w:type="pct"/>
                  <w:vAlign w:val="center"/>
                </w:tcPr>
                <w:p>
                  <w:pPr>
                    <w:pStyle w:val="35"/>
                    <w:rPr>
                      <w:rFonts w:hint="default" w:eastAsia="宋体"/>
                      <w:color w:val="auto"/>
                      <w:lang w:val="en-US" w:eastAsia="zh-CN"/>
                    </w:rPr>
                  </w:pPr>
                  <w:r>
                    <w:rPr>
                      <w:rFonts w:hint="eastAsia"/>
                      <w:color w:val="auto"/>
                      <w:lang w:val="en-US" w:eastAsia="zh-CN"/>
                    </w:rPr>
                    <w:t>0.0199</w:t>
                  </w:r>
                </w:p>
              </w:tc>
              <w:tc>
                <w:tcPr>
                  <w:tcW w:w="603" w:type="pct"/>
                  <w:vAlign w:val="center"/>
                </w:tcPr>
                <w:p>
                  <w:pPr>
                    <w:pStyle w:val="35"/>
                    <w:rPr>
                      <w:rFonts w:hint="eastAsia"/>
                      <w:color w:val="auto"/>
                      <w:lang w:val="en-US" w:eastAsia="zh-CN"/>
                    </w:rPr>
                  </w:pPr>
                  <w:r>
                    <w:rPr>
                      <w:rFonts w:hint="eastAsia"/>
                      <w:color w:val="auto"/>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restart"/>
                  <w:vAlign w:val="center"/>
                </w:tcPr>
                <w:p>
                  <w:pPr>
                    <w:pStyle w:val="35"/>
                    <w:rPr>
                      <w:color w:val="auto"/>
                    </w:rPr>
                  </w:pPr>
                  <w:r>
                    <w:rPr>
                      <w:rFonts w:hint="eastAsia"/>
                      <w:color w:val="auto"/>
                    </w:rPr>
                    <w:t>废气</w:t>
                  </w:r>
                </w:p>
                <w:p>
                  <w:pPr>
                    <w:pStyle w:val="35"/>
                    <w:rPr>
                      <w:color w:val="auto"/>
                    </w:rPr>
                  </w:pPr>
                  <w:r>
                    <w:rPr>
                      <w:rFonts w:hint="eastAsia"/>
                      <w:color w:val="auto"/>
                    </w:rPr>
                    <w:t>（无组织）</w:t>
                  </w:r>
                </w:p>
              </w:tc>
              <w:tc>
                <w:tcPr>
                  <w:tcW w:w="502" w:type="pct"/>
                  <w:noWrap/>
                  <w:vAlign w:val="center"/>
                </w:tcPr>
                <w:p>
                  <w:pPr>
                    <w:pStyle w:val="35"/>
                    <w:rPr>
                      <w:color w:val="auto"/>
                    </w:rPr>
                  </w:pPr>
                  <w:r>
                    <w:rPr>
                      <w:rFonts w:hint="eastAsia"/>
                      <w:color w:val="auto"/>
                    </w:rPr>
                    <w:t>非甲烷总烃</w:t>
                  </w:r>
                </w:p>
              </w:tc>
              <w:tc>
                <w:tcPr>
                  <w:tcW w:w="618" w:type="pct"/>
                  <w:vAlign w:val="center"/>
                </w:tcPr>
                <w:p>
                  <w:pPr>
                    <w:pStyle w:val="35"/>
                    <w:rPr>
                      <w:rFonts w:hint="default" w:eastAsia="宋体"/>
                      <w:color w:val="auto"/>
                      <w:lang w:val="en-US" w:eastAsia="zh-CN"/>
                    </w:rPr>
                  </w:pPr>
                  <w:r>
                    <w:rPr>
                      <w:rFonts w:hint="eastAsia"/>
                      <w:color w:val="auto"/>
                      <w:lang w:val="en-US" w:eastAsia="zh-CN"/>
                    </w:rPr>
                    <w:t>0.0112</w:t>
                  </w:r>
                </w:p>
              </w:tc>
              <w:tc>
                <w:tcPr>
                  <w:tcW w:w="494" w:type="pct"/>
                  <w:vAlign w:val="center"/>
                </w:tcPr>
                <w:p>
                  <w:pPr>
                    <w:pStyle w:val="35"/>
                    <w:rPr>
                      <w:rFonts w:hint="default" w:eastAsia="宋体"/>
                      <w:color w:val="auto"/>
                      <w:lang w:val="en-US" w:eastAsia="zh-CN"/>
                    </w:rPr>
                  </w:pPr>
                  <w:r>
                    <w:rPr>
                      <w:rFonts w:hint="eastAsia"/>
                      <w:color w:val="auto"/>
                      <w:lang w:val="en-US" w:eastAsia="zh-CN"/>
                    </w:rPr>
                    <w:t>0.0025</w:t>
                  </w:r>
                </w:p>
              </w:tc>
              <w:tc>
                <w:tcPr>
                  <w:tcW w:w="428" w:type="pct"/>
                  <w:vAlign w:val="center"/>
                </w:tcPr>
                <w:p>
                  <w:pPr>
                    <w:pStyle w:val="35"/>
                    <w:rPr>
                      <w:color w:val="auto"/>
                    </w:rPr>
                  </w:pPr>
                  <w:r>
                    <w:rPr>
                      <w:rFonts w:hint="eastAsia"/>
                      <w:color w:val="auto"/>
                    </w:rPr>
                    <w:t>0</w:t>
                  </w:r>
                </w:p>
              </w:tc>
              <w:tc>
                <w:tcPr>
                  <w:tcW w:w="600" w:type="pct"/>
                  <w:vAlign w:val="center"/>
                </w:tcPr>
                <w:p>
                  <w:pPr>
                    <w:pStyle w:val="35"/>
                    <w:rPr>
                      <w:rFonts w:hint="default" w:eastAsia="宋体"/>
                      <w:color w:val="auto"/>
                      <w:lang w:val="en-US" w:eastAsia="zh-CN"/>
                    </w:rPr>
                  </w:pPr>
                  <w:r>
                    <w:rPr>
                      <w:rFonts w:hint="eastAsia"/>
                      <w:color w:val="auto"/>
                      <w:lang w:val="en-US" w:eastAsia="zh-CN"/>
                    </w:rPr>
                    <w:t>0.0025</w:t>
                  </w:r>
                </w:p>
              </w:tc>
              <w:tc>
                <w:tcPr>
                  <w:tcW w:w="514" w:type="pct"/>
                  <w:vAlign w:val="center"/>
                </w:tcPr>
                <w:p>
                  <w:pPr>
                    <w:pStyle w:val="35"/>
                    <w:rPr>
                      <w:color w:val="auto"/>
                    </w:rPr>
                  </w:pPr>
                  <w:r>
                    <w:rPr>
                      <w:rFonts w:hint="eastAsia"/>
                      <w:color w:val="auto"/>
                    </w:rPr>
                    <w:t>0</w:t>
                  </w:r>
                </w:p>
              </w:tc>
              <w:tc>
                <w:tcPr>
                  <w:tcW w:w="514" w:type="pct"/>
                  <w:vAlign w:val="center"/>
                </w:tcPr>
                <w:p>
                  <w:pPr>
                    <w:pStyle w:val="35"/>
                    <w:rPr>
                      <w:rFonts w:hint="default" w:eastAsia="宋体"/>
                      <w:color w:val="auto"/>
                      <w:lang w:val="en-US" w:eastAsia="zh-CN"/>
                    </w:rPr>
                  </w:pPr>
                  <w:r>
                    <w:rPr>
                      <w:rFonts w:hint="eastAsia"/>
                      <w:color w:val="auto"/>
                      <w:lang w:val="en-US" w:eastAsia="zh-CN"/>
                    </w:rPr>
                    <w:t>0.0137</w:t>
                  </w:r>
                </w:p>
              </w:tc>
              <w:tc>
                <w:tcPr>
                  <w:tcW w:w="603" w:type="pct"/>
                  <w:vAlign w:val="center"/>
                </w:tcPr>
                <w:p>
                  <w:pPr>
                    <w:pStyle w:val="35"/>
                    <w:rPr>
                      <w:rFonts w:hint="eastAsia"/>
                      <w:color w:val="auto"/>
                      <w:lang w:val="en-US" w:eastAsia="zh-CN"/>
                    </w:rPr>
                  </w:pPr>
                  <w:r>
                    <w:rPr>
                      <w:rFonts w:hint="eastAsia"/>
                      <w:color w:val="auto"/>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noWrap/>
                  <w:vAlign w:val="center"/>
                </w:tcPr>
                <w:p>
                  <w:pPr>
                    <w:pStyle w:val="35"/>
                    <w:rPr>
                      <w:rFonts w:hint="eastAsia" w:eastAsia="宋体"/>
                      <w:color w:val="auto"/>
                      <w:lang w:eastAsia="zh-CN"/>
                    </w:rPr>
                  </w:pPr>
                  <w:r>
                    <w:rPr>
                      <w:rFonts w:hint="eastAsia"/>
                      <w:color w:val="auto"/>
                      <w:lang w:eastAsia="zh-CN"/>
                    </w:rPr>
                    <w:t>颗粒物</w:t>
                  </w:r>
                </w:p>
              </w:tc>
              <w:tc>
                <w:tcPr>
                  <w:tcW w:w="618" w:type="pct"/>
                  <w:vAlign w:val="center"/>
                </w:tcPr>
                <w:p>
                  <w:pPr>
                    <w:pStyle w:val="35"/>
                    <w:rPr>
                      <w:rFonts w:hint="default" w:eastAsia="宋体"/>
                      <w:color w:val="auto"/>
                      <w:lang w:val="en-US" w:eastAsia="zh-CN"/>
                    </w:rPr>
                  </w:pPr>
                  <w:r>
                    <w:rPr>
                      <w:rFonts w:hint="eastAsia"/>
                      <w:color w:val="auto"/>
                      <w:lang w:val="en-US" w:eastAsia="zh-CN"/>
                    </w:rPr>
                    <w:t>0.0006</w:t>
                  </w:r>
                </w:p>
              </w:tc>
              <w:tc>
                <w:tcPr>
                  <w:tcW w:w="494" w:type="pct"/>
                  <w:vAlign w:val="center"/>
                </w:tcPr>
                <w:p>
                  <w:pPr>
                    <w:pStyle w:val="35"/>
                    <w:rPr>
                      <w:rFonts w:hint="eastAsia" w:eastAsia="宋体"/>
                      <w:color w:val="auto"/>
                      <w:lang w:eastAsia="zh-CN"/>
                    </w:rPr>
                  </w:pPr>
                  <w:r>
                    <w:rPr>
                      <w:color w:val="auto"/>
                    </w:rPr>
                    <w:t>0.00</w:t>
                  </w:r>
                  <w:r>
                    <w:rPr>
                      <w:rFonts w:hint="eastAsia"/>
                      <w:color w:val="auto"/>
                      <w:lang w:val="en-US" w:eastAsia="zh-CN"/>
                    </w:rPr>
                    <w:t>5</w:t>
                  </w:r>
                </w:p>
              </w:tc>
              <w:tc>
                <w:tcPr>
                  <w:tcW w:w="428" w:type="pct"/>
                  <w:vAlign w:val="center"/>
                </w:tcPr>
                <w:p>
                  <w:pPr>
                    <w:pStyle w:val="35"/>
                    <w:rPr>
                      <w:color w:val="auto"/>
                    </w:rPr>
                  </w:pPr>
                  <w:r>
                    <w:rPr>
                      <w:rFonts w:hint="eastAsia"/>
                      <w:color w:val="auto"/>
                    </w:rPr>
                    <w:t>0</w:t>
                  </w:r>
                </w:p>
              </w:tc>
              <w:tc>
                <w:tcPr>
                  <w:tcW w:w="600" w:type="pct"/>
                  <w:vAlign w:val="center"/>
                </w:tcPr>
                <w:p>
                  <w:pPr>
                    <w:pStyle w:val="35"/>
                    <w:rPr>
                      <w:rFonts w:hint="eastAsia" w:eastAsia="宋体"/>
                      <w:color w:val="auto"/>
                      <w:lang w:eastAsia="zh-CN"/>
                    </w:rPr>
                  </w:pPr>
                  <w:r>
                    <w:rPr>
                      <w:color w:val="auto"/>
                    </w:rPr>
                    <w:t>0.00</w:t>
                  </w:r>
                  <w:r>
                    <w:rPr>
                      <w:rFonts w:hint="eastAsia"/>
                      <w:color w:val="auto"/>
                      <w:lang w:val="en-US" w:eastAsia="zh-CN"/>
                    </w:rPr>
                    <w:t>5</w:t>
                  </w:r>
                </w:p>
              </w:tc>
              <w:tc>
                <w:tcPr>
                  <w:tcW w:w="514" w:type="pct"/>
                  <w:vAlign w:val="center"/>
                </w:tcPr>
                <w:p>
                  <w:pPr>
                    <w:pStyle w:val="35"/>
                    <w:rPr>
                      <w:color w:val="auto"/>
                    </w:rPr>
                  </w:pPr>
                  <w:r>
                    <w:rPr>
                      <w:rFonts w:hint="eastAsia"/>
                      <w:color w:val="auto"/>
                    </w:rPr>
                    <w:t>0</w:t>
                  </w:r>
                </w:p>
              </w:tc>
              <w:tc>
                <w:tcPr>
                  <w:tcW w:w="514" w:type="pct"/>
                  <w:vAlign w:val="center"/>
                </w:tcPr>
                <w:p>
                  <w:pPr>
                    <w:pStyle w:val="35"/>
                    <w:rPr>
                      <w:rFonts w:hint="eastAsia" w:eastAsia="宋体"/>
                      <w:color w:val="auto"/>
                      <w:lang w:val="en-US" w:eastAsia="zh-CN"/>
                    </w:rPr>
                  </w:pPr>
                  <w:r>
                    <w:rPr>
                      <w:rFonts w:hint="eastAsia"/>
                      <w:color w:val="auto"/>
                      <w:lang w:val="en-US" w:eastAsia="zh-CN"/>
                    </w:rPr>
                    <w:t>0</w:t>
                  </w:r>
                </w:p>
              </w:tc>
              <w:tc>
                <w:tcPr>
                  <w:tcW w:w="603" w:type="pct"/>
                  <w:vAlign w:val="center"/>
                </w:tcPr>
                <w:p>
                  <w:pPr>
                    <w:pStyle w:val="35"/>
                    <w:rPr>
                      <w:rFonts w:hint="eastAsia"/>
                      <w:color w:val="auto"/>
                      <w:lang w:val="en-US" w:eastAsia="zh-CN"/>
                    </w:rPr>
                  </w:pPr>
                  <w:r>
                    <w:rPr>
                      <w:rFonts w:hint="eastAsia"/>
                      <w:color w:val="auto"/>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restart"/>
                  <w:vAlign w:val="center"/>
                </w:tcPr>
                <w:p>
                  <w:pPr>
                    <w:pStyle w:val="35"/>
                    <w:rPr>
                      <w:color w:val="auto"/>
                    </w:rPr>
                  </w:pPr>
                  <w:r>
                    <w:rPr>
                      <w:rFonts w:hint="eastAsia"/>
                      <w:color w:val="auto"/>
                    </w:rPr>
                    <w:t>生活污水</w:t>
                  </w:r>
                </w:p>
              </w:tc>
              <w:tc>
                <w:tcPr>
                  <w:tcW w:w="502" w:type="pct"/>
                  <w:noWrap/>
                  <w:vAlign w:val="center"/>
                </w:tcPr>
                <w:p>
                  <w:pPr>
                    <w:pStyle w:val="35"/>
                    <w:rPr>
                      <w:color w:val="auto"/>
                    </w:rPr>
                  </w:pPr>
                  <w:r>
                    <w:rPr>
                      <w:rFonts w:hint="eastAsia"/>
                      <w:color w:val="auto"/>
                    </w:rPr>
                    <w:t>水量</w:t>
                  </w:r>
                </w:p>
              </w:tc>
              <w:tc>
                <w:tcPr>
                  <w:tcW w:w="618" w:type="pct"/>
                  <w:vAlign w:val="center"/>
                </w:tcPr>
                <w:p>
                  <w:pPr>
                    <w:pStyle w:val="35"/>
                    <w:rPr>
                      <w:rFonts w:hint="default" w:eastAsia="宋体"/>
                      <w:color w:val="auto"/>
                      <w:lang w:val="en-US" w:eastAsia="zh-CN"/>
                    </w:rPr>
                  </w:pPr>
                  <w:r>
                    <w:rPr>
                      <w:rFonts w:hint="eastAsia"/>
                      <w:color w:val="auto"/>
                      <w:lang w:val="en-US" w:eastAsia="zh-CN"/>
                    </w:rPr>
                    <w:t>745</w:t>
                  </w:r>
                </w:p>
              </w:tc>
              <w:tc>
                <w:tcPr>
                  <w:tcW w:w="494" w:type="pct"/>
                  <w:vAlign w:val="center"/>
                </w:tcPr>
                <w:p>
                  <w:pPr>
                    <w:pStyle w:val="35"/>
                    <w:rPr>
                      <w:rFonts w:hint="default" w:eastAsia="宋体"/>
                      <w:color w:val="auto"/>
                      <w:lang w:val="en-US" w:eastAsia="zh-CN"/>
                    </w:rPr>
                  </w:pPr>
                  <w:r>
                    <w:rPr>
                      <w:rFonts w:hint="eastAsia"/>
                      <w:color w:val="auto"/>
                      <w:lang w:val="en-US" w:eastAsia="zh-CN"/>
                    </w:rPr>
                    <w:t>900</w:t>
                  </w:r>
                </w:p>
              </w:tc>
              <w:tc>
                <w:tcPr>
                  <w:tcW w:w="428" w:type="pct"/>
                  <w:vAlign w:val="center"/>
                </w:tcPr>
                <w:p>
                  <w:pPr>
                    <w:pStyle w:val="35"/>
                    <w:rPr>
                      <w:color w:val="auto"/>
                    </w:rPr>
                  </w:pPr>
                  <w:r>
                    <w:rPr>
                      <w:rFonts w:hint="eastAsia"/>
                      <w:color w:val="auto"/>
                    </w:rPr>
                    <w:t>0</w:t>
                  </w:r>
                </w:p>
              </w:tc>
              <w:tc>
                <w:tcPr>
                  <w:tcW w:w="993" w:type="dxa"/>
                  <w:vAlign w:val="center"/>
                </w:tcPr>
                <w:p>
                  <w:pPr>
                    <w:pStyle w:val="35"/>
                    <w:rPr>
                      <w:color w:val="auto"/>
                    </w:rPr>
                  </w:pPr>
                  <w:r>
                    <w:rPr>
                      <w:rFonts w:hint="eastAsia"/>
                      <w:color w:val="auto"/>
                      <w:lang w:val="en-US" w:eastAsia="zh-CN"/>
                    </w:rPr>
                    <w:t>900</w:t>
                  </w:r>
                </w:p>
              </w:tc>
              <w:tc>
                <w:tcPr>
                  <w:tcW w:w="514" w:type="pct"/>
                  <w:vAlign w:val="center"/>
                </w:tcPr>
                <w:p>
                  <w:pPr>
                    <w:pStyle w:val="35"/>
                    <w:rPr>
                      <w:color w:val="auto"/>
                    </w:rPr>
                  </w:pPr>
                  <w:r>
                    <w:rPr>
                      <w:rFonts w:hint="eastAsia"/>
                      <w:color w:val="auto"/>
                    </w:rPr>
                    <w:t>0</w:t>
                  </w:r>
                </w:p>
              </w:tc>
              <w:tc>
                <w:tcPr>
                  <w:tcW w:w="514" w:type="pct"/>
                  <w:shd w:val="clear" w:color="auto" w:fill="auto"/>
                  <w:vAlign w:val="center"/>
                </w:tcPr>
                <w:p>
                  <w:pPr>
                    <w:pStyle w:val="35"/>
                    <w:rPr>
                      <w:rFonts w:hint="default" w:eastAsia="宋体"/>
                      <w:color w:val="auto"/>
                      <w:lang w:val="en-US" w:eastAsia="zh-CN"/>
                    </w:rPr>
                  </w:pPr>
                  <w:r>
                    <w:rPr>
                      <w:rFonts w:hint="eastAsia"/>
                      <w:color w:val="auto"/>
                      <w:lang w:val="en-US" w:eastAsia="zh-CN"/>
                    </w:rPr>
                    <w:t>1645</w:t>
                  </w:r>
                </w:p>
              </w:tc>
              <w:tc>
                <w:tcPr>
                  <w:tcW w:w="998" w:type="dxa"/>
                  <w:vAlign w:val="center"/>
                </w:tcPr>
                <w:p>
                  <w:pPr>
                    <w:pStyle w:val="35"/>
                    <w:rPr>
                      <w:rFonts w:hint="eastAsia"/>
                      <w:color w:val="auto"/>
                      <w:lang w:val="en-US" w:eastAsia="zh-CN"/>
                    </w:rPr>
                  </w:pPr>
                  <w:r>
                    <w:rPr>
                      <w:rFonts w:hint="eastAsia"/>
                      <w:color w:val="auto"/>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noWrap/>
                  <w:vAlign w:val="center"/>
                </w:tcPr>
                <w:p>
                  <w:pPr>
                    <w:pStyle w:val="35"/>
                    <w:rPr>
                      <w:color w:val="auto"/>
                    </w:rPr>
                  </w:pPr>
                  <w:r>
                    <w:rPr>
                      <w:color w:val="auto"/>
                    </w:rPr>
                    <w:t>COD</w:t>
                  </w:r>
                </w:p>
              </w:tc>
              <w:tc>
                <w:tcPr>
                  <w:tcW w:w="618" w:type="pct"/>
                  <w:vAlign w:val="center"/>
                </w:tcPr>
                <w:p>
                  <w:pPr>
                    <w:pStyle w:val="35"/>
                    <w:rPr>
                      <w:rFonts w:hint="default" w:eastAsia="宋体"/>
                      <w:color w:val="auto"/>
                      <w:lang w:val="en-US" w:eastAsia="zh-CN"/>
                    </w:rPr>
                  </w:pPr>
                  <w:r>
                    <w:rPr>
                      <w:rFonts w:hint="eastAsia"/>
                      <w:color w:val="auto"/>
                      <w:lang w:val="en-US" w:eastAsia="zh-CN"/>
                    </w:rPr>
                    <w:t>0.289</w:t>
                  </w:r>
                </w:p>
              </w:tc>
              <w:tc>
                <w:tcPr>
                  <w:tcW w:w="494" w:type="pct"/>
                  <w:vAlign w:val="center"/>
                </w:tcPr>
                <w:p>
                  <w:pPr>
                    <w:pStyle w:val="35"/>
                    <w:rPr>
                      <w:rFonts w:ascii="Times New Roman" w:hAnsi="Times New Roman" w:eastAsia="宋体" w:cs="Times New Roman"/>
                      <w:color w:val="auto"/>
                      <w:kern w:val="2"/>
                      <w:sz w:val="21"/>
                      <w:szCs w:val="24"/>
                      <w:lang w:val="en-US" w:eastAsia="zh-CN" w:bidi="ar-SA"/>
                    </w:rPr>
                  </w:pPr>
                  <w:r>
                    <w:rPr>
                      <w:rFonts w:hint="eastAsia" w:eastAsia="等线"/>
                      <w:color w:val="auto"/>
                      <w:szCs w:val="21"/>
                      <w:lang w:val="en-US" w:eastAsia="zh-CN"/>
                    </w:rPr>
                    <w:t>0.36</w:t>
                  </w:r>
                </w:p>
              </w:tc>
              <w:tc>
                <w:tcPr>
                  <w:tcW w:w="428" w:type="pct"/>
                  <w:vAlign w:val="center"/>
                </w:tcPr>
                <w:p>
                  <w:pPr>
                    <w:pStyle w:val="35"/>
                    <w:rPr>
                      <w:color w:val="auto"/>
                    </w:rPr>
                  </w:pPr>
                  <w:r>
                    <w:rPr>
                      <w:rFonts w:hint="eastAsia"/>
                      <w:color w:val="auto"/>
                    </w:rPr>
                    <w:t>0</w:t>
                  </w:r>
                </w:p>
              </w:tc>
              <w:tc>
                <w:tcPr>
                  <w:tcW w:w="993" w:type="dxa"/>
                  <w:vAlign w:val="center"/>
                </w:tcPr>
                <w:p>
                  <w:pPr>
                    <w:pStyle w:val="35"/>
                    <w:rPr>
                      <w:color w:val="auto"/>
                    </w:rPr>
                  </w:pPr>
                  <w:r>
                    <w:rPr>
                      <w:rFonts w:hint="eastAsia" w:eastAsia="等线"/>
                      <w:color w:val="auto"/>
                      <w:szCs w:val="21"/>
                      <w:lang w:val="en-US" w:eastAsia="zh-CN"/>
                    </w:rPr>
                    <w:t>0.36</w:t>
                  </w:r>
                </w:p>
              </w:tc>
              <w:tc>
                <w:tcPr>
                  <w:tcW w:w="514" w:type="pct"/>
                  <w:vAlign w:val="center"/>
                </w:tcPr>
                <w:p>
                  <w:pPr>
                    <w:pStyle w:val="35"/>
                    <w:rPr>
                      <w:color w:val="auto"/>
                    </w:rPr>
                  </w:pPr>
                  <w:r>
                    <w:rPr>
                      <w:rFonts w:hint="eastAsia"/>
                      <w:color w:val="auto"/>
                    </w:rPr>
                    <w:t>0</w:t>
                  </w:r>
                </w:p>
              </w:tc>
              <w:tc>
                <w:tcPr>
                  <w:tcW w:w="514" w:type="pct"/>
                  <w:shd w:val="clear" w:color="auto" w:fill="auto"/>
                  <w:vAlign w:val="center"/>
                </w:tcPr>
                <w:p>
                  <w:pPr>
                    <w:pStyle w:val="35"/>
                    <w:rPr>
                      <w:rFonts w:hint="default" w:eastAsia="宋体"/>
                      <w:color w:val="auto"/>
                      <w:lang w:val="en-US" w:eastAsia="zh-CN"/>
                    </w:rPr>
                  </w:pPr>
                  <w:r>
                    <w:rPr>
                      <w:rFonts w:hint="eastAsia"/>
                      <w:color w:val="auto"/>
                      <w:lang w:val="en-US" w:eastAsia="zh-CN"/>
                    </w:rPr>
                    <w:t>0.325</w:t>
                  </w:r>
                </w:p>
              </w:tc>
              <w:tc>
                <w:tcPr>
                  <w:tcW w:w="998" w:type="dxa"/>
                  <w:vAlign w:val="center"/>
                </w:tcPr>
                <w:p>
                  <w:pPr>
                    <w:pStyle w:val="35"/>
                    <w:rPr>
                      <w:color w:val="FF0000"/>
                    </w:rPr>
                  </w:pPr>
                  <w:r>
                    <w:rPr>
                      <w:rFonts w:hint="eastAsia"/>
                      <w:color w:val="auto"/>
                      <w:lang w:val="en-US" w:eastAsia="zh-CN"/>
                    </w:rPr>
                    <w:t>+</w:t>
                  </w:r>
                  <w:r>
                    <w:rPr>
                      <w:rFonts w:hint="eastAsia" w:eastAsia="等线"/>
                      <w:color w:val="auto"/>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noWrap/>
                  <w:vAlign w:val="center"/>
                </w:tcPr>
                <w:p>
                  <w:pPr>
                    <w:pStyle w:val="35"/>
                    <w:rPr>
                      <w:color w:val="auto"/>
                    </w:rPr>
                  </w:pPr>
                  <w:r>
                    <w:rPr>
                      <w:color w:val="auto"/>
                    </w:rPr>
                    <w:t>SS</w:t>
                  </w:r>
                </w:p>
              </w:tc>
              <w:tc>
                <w:tcPr>
                  <w:tcW w:w="618" w:type="pct"/>
                  <w:vAlign w:val="center"/>
                </w:tcPr>
                <w:p>
                  <w:pPr>
                    <w:pStyle w:val="35"/>
                    <w:rPr>
                      <w:rFonts w:hint="default" w:eastAsia="宋体"/>
                      <w:color w:val="auto"/>
                      <w:lang w:val="en-US" w:eastAsia="zh-CN"/>
                    </w:rPr>
                  </w:pPr>
                  <w:r>
                    <w:rPr>
                      <w:rFonts w:hint="eastAsia"/>
                      <w:color w:val="auto"/>
                      <w:lang w:val="en-US" w:eastAsia="zh-CN"/>
                    </w:rPr>
                    <w:t>0.2156</w:t>
                  </w:r>
                </w:p>
              </w:tc>
              <w:tc>
                <w:tcPr>
                  <w:tcW w:w="494" w:type="pct"/>
                  <w:vAlign w:val="center"/>
                </w:tcPr>
                <w:p>
                  <w:pPr>
                    <w:pStyle w:val="35"/>
                    <w:rPr>
                      <w:rFonts w:ascii="Times New Roman" w:hAnsi="Times New Roman" w:eastAsia="宋体" w:cs="Times New Roman"/>
                      <w:color w:val="auto"/>
                      <w:kern w:val="2"/>
                      <w:sz w:val="21"/>
                      <w:szCs w:val="24"/>
                      <w:lang w:val="en-US" w:eastAsia="zh-CN" w:bidi="ar-SA"/>
                    </w:rPr>
                  </w:pPr>
                  <w:r>
                    <w:rPr>
                      <w:rFonts w:eastAsia="等线"/>
                      <w:color w:val="auto"/>
                      <w:szCs w:val="21"/>
                    </w:rPr>
                    <w:t>0.1</w:t>
                  </w:r>
                  <w:r>
                    <w:rPr>
                      <w:rFonts w:hint="eastAsia" w:eastAsia="等线"/>
                      <w:color w:val="auto"/>
                      <w:szCs w:val="21"/>
                      <w:lang w:val="en-US" w:eastAsia="zh-CN"/>
                    </w:rPr>
                    <w:t>8</w:t>
                  </w:r>
                </w:p>
              </w:tc>
              <w:tc>
                <w:tcPr>
                  <w:tcW w:w="428" w:type="pct"/>
                  <w:vAlign w:val="center"/>
                </w:tcPr>
                <w:p>
                  <w:pPr>
                    <w:pStyle w:val="35"/>
                    <w:rPr>
                      <w:color w:val="auto"/>
                    </w:rPr>
                  </w:pPr>
                  <w:r>
                    <w:rPr>
                      <w:rFonts w:hint="eastAsia"/>
                      <w:color w:val="auto"/>
                    </w:rPr>
                    <w:t>0</w:t>
                  </w:r>
                </w:p>
              </w:tc>
              <w:tc>
                <w:tcPr>
                  <w:tcW w:w="993" w:type="dxa"/>
                  <w:vAlign w:val="center"/>
                </w:tcPr>
                <w:p>
                  <w:pPr>
                    <w:pStyle w:val="35"/>
                    <w:rPr>
                      <w:color w:val="auto"/>
                    </w:rPr>
                  </w:pPr>
                  <w:r>
                    <w:rPr>
                      <w:rFonts w:eastAsia="等线"/>
                      <w:color w:val="auto"/>
                      <w:szCs w:val="21"/>
                    </w:rPr>
                    <w:t>0.1</w:t>
                  </w:r>
                  <w:r>
                    <w:rPr>
                      <w:rFonts w:hint="eastAsia" w:eastAsia="等线"/>
                      <w:color w:val="auto"/>
                      <w:szCs w:val="21"/>
                      <w:lang w:val="en-US" w:eastAsia="zh-CN"/>
                    </w:rPr>
                    <w:t>8</w:t>
                  </w:r>
                </w:p>
              </w:tc>
              <w:tc>
                <w:tcPr>
                  <w:tcW w:w="514" w:type="pct"/>
                  <w:vAlign w:val="center"/>
                </w:tcPr>
                <w:p>
                  <w:pPr>
                    <w:pStyle w:val="35"/>
                    <w:rPr>
                      <w:color w:val="auto"/>
                    </w:rPr>
                  </w:pPr>
                  <w:r>
                    <w:rPr>
                      <w:rFonts w:hint="eastAsia"/>
                      <w:color w:val="auto"/>
                    </w:rPr>
                    <w:t>0</w:t>
                  </w:r>
                </w:p>
              </w:tc>
              <w:tc>
                <w:tcPr>
                  <w:tcW w:w="514" w:type="pct"/>
                  <w:shd w:val="clear" w:color="auto" w:fill="auto"/>
                  <w:vAlign w:val="center"/>
                </w:tcPr>
                <w:p>
                  <w:pPr>
                    <w:pStyle w:val="35"/>
                    <w:rPr>
                      <w:rFonts w:hint="default" w:eastAsia="宋体"/>
                      <w:color w:val="auto"/>
                      <w:lang w:val="en-US" w:eastAsia="zh-CN"/>
                    </w:rPr>
                  </w:pPr>
                  <w:r>
                    <w:rPr>
                      <w:rFonts w:hint="eastAsia"/>
                      <w:color w:val="auto"/>
                      <w:lang w:val="en-US" w:eastAsia="zh-CN"/>
                    </w:rPr>
                    <w:t>0.3956</w:t>
                  </w:r>
                </w:p>
              </w:tc>
              <w:tc>
                <w:tcPr>
                  <w:tcW w:w="998" w:type="dxa"/>
                  <w:vAlign w:val="center"/>
                </w:tcPr>
                <w:p>
                  <w:pPr>
                    <w:pStyle w:val="35"/>
                    <w:rPr>
                      <w:color w:val="FF0000"/>
                    </w:rPr>
                  </w:pPr>
                  <w:r>
                    <w:rPr>
                      <w:rFonts w:hint="eastAsia"/>
                      <w:color w:val="auto"/>
                      <w:lang w:val="en-US" w:eastAsia="zh-CN"/>
                    </w:rPr>
                    <w:t>+</w:t>
                  </w:r>
                  <w:r>
                    <w:rPr>
                      <w:rFonts w:eastAsia="等线"/>
                      <w:color w:val="auto"/>
                      <w:szCs w:val="21"/>
                    </w:rPr>
                    <w:t>0.1</w:t>
                  </w:r>
                  <w:r>
                    <w:rPr>
                      <w:rFonts w:hint="eastAsia" w:eastAsia="等线"/>
                      <w:color w:val="auto"/>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noWrap/>
                  <w:vAlign w:val="center"/>
                </w:tcPr>
                <w:p>
                  <w:pPr>
                    <w:pStyle w:val="35"/>
                    <w:rPr>
                      <w:color w:val="auto"/>
                    </w:rPr>
                  </w:pPr>
                  <w:r>
                    <w:rPr>
                      <w:color w:val="auto"/>
                    </w:rPr>
                    <w:t>NH</w:t>
                  </w:r>
                  <w:r>
                    <w:rPr>
                      <w:color w:val="auto"/>
                      <w:vertAlign w:val="subscript"/>
                    </w:rPr>
                    <w:t>3</w:t>
                  </w:r>
                  <w:r>
                    <w:rPr>
                      <w:color w:val="auto"/>
                    </w:rPr>
                    <w:t>-N</w:t>
                  </w:r>
                </w:p>
              </w:tc>
              <w:tc>
                <w:tcPr>
                  <w:tcW w:w="618" w:type="pct"/>
                  <w:vAlign w:val="center"/>
                </w:tcPr>
                <w:p>
                  <w:pPr>
                    <w:pStyle w:val="35"/>
                    <w:rPr>
                      <w:rFonts w:hint="default" w:eastAsia="宋体"/>
                      <w:color w:val="auto"/>
                      <w:lang w:val="en-US" w:eastAsia="zh-CN"/>
                    </w:rPr>
                  </w:pPr>
                  <w:r>
                    <w:rPr>
                      <w:rFonts w:hint="eastAsia"/>
                      <w:color w:val="auto"/>
                      <w:lang w:val="en-US" w:eastAsia="zh-CN"/>
                    </w:rPr>
                    <w:t>0.0216</w:t>
                  </w:r>
                </w:p>
              </w:tc>
              <w:tc>
                <w:tcPr>
                  <w:tcW w:w="494" w:type="pct"/>
                  <w:vAlign w:val="center"/>
                </w:tcPr>
                <w:p>
                  <w:pPr>
                    <w:pStyle w:val="35"/>
                    <w:rPr>
                      <w:rFonts w:ascii="Times New Roman" w:hAnsi="Times New Roman" w:eastAsia="宋体" w:cs="Times New Roman"/>
                      <w:color w:val="auto"/>
                      <w:kern w:val="2"/>
                      <w:sz w:val="21"/>
                      <w:szCs w:val="24"/>
                      <w:lang w:val="en-US" w:eastAsia="zh-CN" w:bidi="ar-SA"/>
                    </w:rPr>
                  </w:pPr>
                  <w:r>
                    <w:rPr>
                      <w:rFonts w:eastAsia="等线"/>
                      <w:color w:val="auto"/>
                      <w:szCs w:val="21"/>
                    </w:rPr>
                    <w:t>0.0</w:t>
                  </w:r>
                  <w:r>
                    <w:rPr>
                      <w:rFonts w:hint="eastAsia" w:eastAsia="等线"/>
                      <w:color w:val="auto"/>
                      <w:szCs w:val="21"/>
                      <w:lang w:val="en-US" w:eastAsia="zh-CN"/>
                    </w:rPr>
                    <w:t>27</w:t>
                  </w:r>
                </w:p>
              </w:tc>
              <w:tc>
                <w:tcPr>
                  <w:tcW w:w="428" w:type="pct"/>
                  <w:vAlign w:val="center"/>
                </w:tcPr>
                <w:p>
                  <w:pPr>
                    <w:pStyle w:val="35"/>
                    <w:rPr>
                      <w:color w:val="auto"/>
                    </w:rPr>
                  </w:pPr>
                  <w:r>
                    <w:rPr>
                      <w:rFonts w:hint="eastAsia"/>
                      <w:color w:val="auto"/>
                    </w:rPr>
                    <w:t>0</w:t>
                  </w:r>
                </w:p>
              </w:tc>
              <w:tc>
                <w:tcPr>
                  <w:tcW w:w="993" w:type="dxa"/>
                  <w:vAlign w:val="center"/>
                </w:tcPr>
                <w:p>
                  <w:pPr>
                    <w:pStyle w:val="35"/>
                    <w:rPr>
                      <w:color w:val="auto"/>
                    </w:rPr>
                  </w:pPr>
                  <w:r>
                    <w:rPr>
                      <w:rFonts w:eastAsia="等线"/>
                      <w:color w:val="auto"/>
                      <w:szCs w:val="21"/>
                    </w:rPr>
                    <w:t>0.0</w:t>
                  </w:r>
                  <w:r>
                    <w:rPr>
                      <w:rFonts w:hint="eastAsia" w:eastAsia="等线"/>
                      <w:color w:val="auto"/>
                      <w:szCs w:val="21"/>
                      <w:lang w:val="en-US" w:eastAsia="zh-CN"/>
                    </w:rPr>
                    <w:t>27</w:t>
                  </w:r>
                </w:p>
              </w:tc>
              <w:tc>
                <w:tcPr>
                  <w:tcW w:w="514" w:type="pct"/>
                  <w:vAlign w:val="center"/>
                </w:tcPr>
                <w:p>
                  <w:pPr>
                    <w:pStyle w:val="35"/>
                    <w:rPr>
                      <w:color w:val="auto"/>
                    </w:rPr>
                  </w:pPr>
                  <w:r>
                    <w:rPr>
                      <w:rFonts w:hint="eastAsia"/>
                      <w:color w:val="auto"/>
                    </w:rPr>
                    <w:t>0</w:t>
                  </w:r>
                </w:p>
              </w:tc>
              <w:tc>
                <w:tcPr>
                  <w:tcW w:w="514" w:type="pct"/>
                  <w:shd w:val="clear" w:color="auto" w:fill="auto"/>
                  <w:vAlign w:val="center"/>
                </w:tcPr>
                <w:p>
                  <w:pPr>
                    <w:pStyle w:val="35"/>
                    <w:rPr>
                      <w:rFonts w:hint="default" w:eastAsia="宋体"/>
                      <w:color w:val="auto"/>
                      <w:lang w:val="en-US" w:eastAsia="zh-CN"/>
                    </w:rPr>
                  </w:pPr>
                  <w:r>
                    <w:rPr>
                      <w:rFonts w:hint="eastAsia"/>
                      <w:color w:val="auto"/>
                      <w:lang w:val="en-US" w:eastAsia="zh-CN"/>
                    </w:rPr>
                    <w:t>0.0486</w:t>
                  </w:r>
                </w:p>
              </w:tc>
              <w:tc>
                <w:tcPr>
                  <w:tcW w:w="998" w:type="dxa"/>
                  <w:vAlign w:val="center"/>
                </w:tcPr>
                <w:p>
                  <w:pPr>
                    <w:pStyle w:val="35"/>
                    <w:rPr>
                      <w:color w:val="FF0000"/>
                    </w:rPr>
                  </w:pPr>
                  <w:r>
                    <w:rPr>
                      <w:rFonts w:hint="eastAsia"/>
                      <w:color w:val="auto"/>
                      <w:lang w:val="en-US" w:eastAsia="zh-CN"/>
                    </w:rPr>
                    <w:t>+</w:t>
                  </w:r>
                  <w:r>
                    <w:rPr>
                      <w:rFonts w:eastAsia="等线"/>
                      <w:color w:val="auto"/>
                      <w:szCs w:val="21"/>
                    </w:rPr>
                    <w:t>0.0</w:t>
                  </w:r>
                  <w:r>
                    <w:rPr>
                      <w:rFonts w:hint="eastAsia" w:eastAsia="等线"/>
                      <w:color w:val="auto"/>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noWrap/>
                  <w:vAlign w:val="center"/>
                </w:tcPr>
                <w:p>
                  <w:pPr>
                    <w:pStyle w:val="35"/>
                    <w:rPr>
                      <w:color w:val="auto"/>
                    </w:rPr>
                  </w:pPr>
                  <w:r>
                    <w:rPr>
                      <w:color w:val="auto"/>
                    </w:rPr>
                    <w:t>TP</w:t>
                  </w:r>
                </w:p>
              </w:tc>
              <w:tc>
                <w:tcPr>
                  <w:tcW w:w="618" w:type="pct"/>
                  <w:vAlign w:val="center"/>
                </w:tcPr>
                <w:p>
                  <w:pPr>
                    <w:pStyle w:val="35"/>
                    <w:rPr>
                      <w:rFonts w:hint="default" w:eastAsia="宋体"/>
                      <w:color w:val="auto"/>
                      <w:lang w:val="en-US" w:eastAsia="zh-CN"/>
                    </w:rPr>
                  </w:pPr>
                  <w:r>
                    <w:rPr>
                      <w:rFonts w:hint="eastAsia"/>
                      <w:color w:val="auto"/>
                      <w:lang w:val="en-US" w:eastAsia="zh-CN"/>
                    </w:rPr>
                    <w:t>0.0036</w:t>
                  </w:r>
                </w:p>
              </w:tc>
              <w:tc>
                <w:tcPr>
                  <w:tcW w:w="494" w:type="pct"/>
                  <w:vAlign w:val="center"/>
                </w:tcPr>
                <w:p>
                  <w:pPr>
                    <w:pStyle w:val="35"/>
                    <w:rPr>
                      <w:rFonts w:ascii="Times New Roman" w:hAnsi="Times New Roman" w:eastAsia="宋体" w:cs="Times New Roman"/>
                      <w:color w:val="auto"/>
                      <w:kern w:val="2"/>
                      <w:sz w:val="21"/>
                      <w:szCs w:val="24"/>
                      <w:lang w:val="en-US" w:eastAsia="zh-CN" w:bidi="ar-SA"/>
                    </w:rPr>
                  </w:pPr>
                  <w:r>
                    <w:rPr>
                      <w:rFonts w:hint="eastAsia"/>
                      <w:color w:val="auto"/>
                      <w:lang w:val="en-US" w:eastAsia="zh-CN"/>
                    </w:rPr>
                    <w:t>0.0045</w:t>
                  </w:r>
                </w:p>
              </w:tc>
              <w:tc>
                <w:tcPr>
                  <w:tcW w:w="428" w:type="pct"/>
                  <w:vAlign w:val="center"/>
                </w:tcPr>
                <w:p>
                  <w:pPr>
                    <w:pStyle w:val="35"/>
                    <w:rPr>
                      <w:color w:val="auto"/>
                    </w:rPr>
                  </w:pPr>
                  <w:r>
                    <w:rPr>
                      <w:rFonts w:hint="eastAsia"/>
                      <w:color w:val="auto"/>
                    </w:rPr>
                    <w:t>0</w:t>
                  </w:r>
                </w:p>
              </w:tc>
              <w:tc>
                <w:tcPr>
                  <w:tcW w:w="993" w:type="dxa"/>
                  <w:vAlign w:val="center"/>
                </w:tcPr>
                <w:p>
                  <w:pPr>
                    <w:pStyle w:val="35"/>
                    <w:rPr>
                      <w:color w:val="auto"/>
                    </w:rPr>
                  </w:pPr>
                  <w:r>
                    <w:rPr>
                      <w:rFonts w:hint="eastAsia"/>
                      <w:color w:val="auto"/>
                      <w:lang w:val="en-US" w:eastAsia="zh-CN"/>
                    </w:rPr>
                    <w:t>0.0045</w:t>
                  </w:r>
                </w:p>
              </w:tc>
              <w:tc>
                <w:tcPr>
                  <w:tcW w:w="514" w:type="pct"/>
                  <w:vAlign w:val="center"/>
                </w:tcPr>
                <w:p>
                  <w:pPr>
                    <w:pStyle w:val="35"/>
                    <w:rPr>
                      <w:color w:val="auto"/>
                    </w:rPr>
                  </w:pPr>
                  <w:r>
                    <w:rPr>
                      <w:rFonts w:hint="eastAsia"/>
                      <w:color w:val="auto"/>
                    </w:rPr>
                    <w:t>0</w:t>
                  </w:r>
                </w:p>
              </w:tc>
              <w:tc>
                <w:tcPr>
                  <w:tcW w:w="514" w:type="pct"/>
                  <w:shd w:val="clear" w:color="auto" w:fill="auto"/>
                  <w:vAlign w:val="center"/>
                </w:tcPr>
                <w:p>
                  <w:pPr>
                    <w:pStyle w:val="35"/>
                    <w:rPr>
                      <w:rFonts w:hint="default" w:eastAsia="宋体"/>
                      <w:color w:val="auto"/>
                      <w:lang w:val="en-US" w:eastAsia="zh-CN"/>
                    </w:rPr>
                  </w:pPr>
                  <w:r>
                    <w:rPr>
                      <w:rFonts w:hint="eastAsia"/>
                      <w:color w:val="auto"/>
                      <w:lang w:val="en-US" w:eastAsia="zh-CN"/>
                    </w:rPr>
                    <w:t>0.0081</w:t>
                  </w:r>
                </w:p>
              </w:tc>
              <w:tc>
                <w:tcPr>
                  <w:tcW w:w="998" w:type="dxa"/>
                  <w:vAlign w:val="center"/>
                </w:tcPr>
                <w:p>
                  <w:pPr>
                    <w:pStyle w:val="35"/>
                    <w:rPr>
                      <w:color w:val="FF0000"/>
                    </w:rPr>
                  </w:pPr>
                  <w:r>
                    <w:rPr>
                      <w:rFonts w:hint="eastAsia"/>
                      <w:color w:val="auto"/>
                      <w:lang w:val="en-US" w:eastAsia="zh-CN"/>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restart"/>
                  <w:vAlign w:val="center"/>
                </w:tcPr>
                <w:p>
                  <w:pPr>
                    <w:pStyle w:val="35"/>
                    <w:rPr>
                      <w:color w:val="auto"/>
                    </w:rPr>
                  </w:pPr>
                  <w:r>
                    <w:rPr>
                      <w:rFonts w:hint="eastAsia"/>
                      <w:color w:val="auto"/>
                    </w:rPr>
                    <w:t>固废</w:t>
                  </w:r>
                </w:p>
              </w:tc>
              <w:tc>
                <w:tcPr>
                  <w:tcW w:w="502" w:type="pct"/>
                  <w:vAlign w:val="center"/>
                </w:tcPr>
                <w:p>
                  <w:pPr>
                    <w:pStyle w:val="35"/>
                    <w:rPr>
                      <w:color w:val="auto"/>
                    </w:rPr>
                  </w:pPr>
                  <w:r>
                    <w:rPr>
                      <w:rFonts w:hint="eastAsia"/>
                      <w:color w:val="auto"/>
                    </w:rPr>
                    <w:t>危险废物</w:t>
                  </w:r>
                </w:p>
              </w:tc>
              <w:tc>
                <w:tcPr>
                  <w:tcW w:w="618" w:type="pct"/>
                  <w:noWrap/>
                  <w:vAlign w:val="center"/>
                </w:tcPr>
                <w:p>
                  <w:pPr>
                    <w:pStyle w:val="35"/>
                    <w:rPr>
                      <w:rFonts w:hint="default" w:eastAsia="宋体"/>
                      <w:color w:val="auto"/>
                      <w:lang w:val="en-US" w:eastAsia="zh-CN"/>
                    </w:rPr>
                  </w:pPr>
                  <w:r>
                    <w:rPr>
                      <w:rFonts w:hint="eastAsia"/>
                      <w:color w:val="auto"/>
                      <w:lang w:val="en-US" w:eastAsia="zh-CN"/>
                    </w:rPr>
                    <w:t>0.7</w:t>
                  </w:r>
                </w:p>
              </w:tc>
              <w:tc>
                <w:tcPr>
                  <w:tcW w:w="494" w:type="pct"/>
                  <w:vAlign w:val="center"/>
                </w:tcPr>
                <w:p>
                  <w:pPr>
                    <w:pStyle w:val="35"/>
                    <w:rPr>
                      <w:rFonts w:hint="default"/>
                      <w:color w:val="auto"/>
                      <w:lang w:val="en-US" w:eastAsia="zh-CN"/>
                    </w:rPr>
                  </w:pPr>
                  <w:r>
                    <w:rPr>
                      <w:rFonts w:hint="eastAsia"/>
                      <w:color w:val="auto"/>
                      <w:lang w:val="en-US" w:eastAsia="zh-CN"/>
                    </w:rPr>
                    <w:t>3.73</w:t>
                  </w:r>
                </w:p>
              </w:tc>
              <w:tc>
                <w:tcPr>
                  <w:tcW w:w="709" w:type="dxa"/>
                  <w:vAlign w:val="center"/>
                </w:tcPr>
                <w:p>
                  <w:pPr>
                    <w:pStyle w:val="35"/>
                    <w:rPr>
                      <w:rFonts w:hint="eastAsia"/>
                      <w:color w:val="auto"/>
                      <w:lang w:val="en-US" w:eastAsia="zh-CN"/>
                    </w:rPr>
                  </w:pPr>
                  <w:r>
                    <w:rPr>
                      <w:rFonts w:hint="eastAsia"/>
                      <w:color w:val="auto"/>
                      <w:lang w:val="en-US" w:eastAsia="zh-CN"/>
                    </w:rPr>
                    <w:t>3.73</w:t>
                  </w:r>
                </w:p>
              </w:tc>
              <w:tc>
                <w:tcPr>
                  <w:tcW w:w="600"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color w:val="auto"/>
                    </w:rPr>
                  </w:pPr>
                  <w:r>
                    <w:rPr>
                      <w:rFonts w:hint="eastAsia"/>
                      <w:color w:val="auto"/>
                    </w:rPr>
                    <w:t>0</w:t>
                  </w:r>
                </w:p>
              </w:tc>
              <w:tc>
                <w:tcPr>
                  <w:tcW w:w="603" w:type="pct"/>
                  <w:noWrap/>
                  <w:vAlign w:val="center"/>
                </w:tcPr>
                <w:p>
                  <w:pPr>
                    <w:pStyle w:val="35"/>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vAlign w:val="center"/>
                </w:tcPr>
                <w:p>
                  <w:pPr>
                    <w:pStyle w:val="35"/>
                    <w:rPr>
                      <w:color w:val="auto"/>
                    </w:rPr>
                  </w:pPr>
                  <w:r>
                    <w:rPr>
                      <w:rFonts w:hint="eastAsia"/>
                      <w:color w:val="auto"/>
                    </w:rPr>
                    <w:t>一般固废</w:t>
                  </w:r>
                </w:p>
              </w:tc>
              <w:tc>
                <w:tcPr>
                  <w:tcW w:w="618" w:type="pct"/>
                  <w:noWrap/>
                  <w:vAlign w:val="center"/>
                </w:tcPr>
                <w:p>
                  <w:pPr>
                    <w:pStyle w:val="35"/>
                    <w:rPr>
                      <w:rFonts w:hint="default" w:eastAsia="宋体"/>
                      <w:color w:val="auto"/>
                      <w:lang w:val="en-US" w:eastAsia="zh-CN"/>
                    </w:rPr>
                  </w:pPr>
                  <w:r>
                    <w:rPr>
                      <w:rFonts w:hint="eastAsia"/>
                      <w:color w:val="auto"/>
                      <w:lang w:val="en-US" w:eastAsia="zh-CN"/>
                    </w:rPr>
                    <w:t>3.902</w:t>
                  </w:r>
                </w:p>
              </w:tc>
              <w:tc>
                <w:tcPr>
                  <w:tcW w:w="494" w:type="pct"/>
                  <w:vAlign w:val="center"/>
                </w:tcPr>
                <w:p>
                  <w:pPr>
                    <w:pStyle w:val="35"/>
                    <w:rPr>
                      <w:rFonts w:hint="default"/>
                      <w:color w:val="auto"/>
                      <w:lang w:val="en-US" w:eastAsia="zh-CN"/>
                    </w:rPr>
                  </w:pPr>
                  <w:r>
                    <w:rPr>
                      <w:rFonts w:hint="eastAsia"/>
                      <w:color w:val="auto"/>
                      <w:lang w:val="en-US" w:eastAsia="zh-CN"/>
                    </w:rPr>
                    <w:t>1.51</w:t>
                  </w:r>
                </w:p>
              </w:tc>
              <w:tc>
                <w:tcPr>
                  <w:tcW w:w="709" w:type="dxa"/>
                  <w:vAlign w:val="center"/>
                </w:tcPr>
                <w:p>
                  <w:pPr>
                    <w:pStyle w:val="35"/>
                    <w:rPr>
                      <w:rFonts w:hint="eastAsia"/>
                      <w:color w:val="auto"/>
                      <w:lang w:val="en-US" w:eastAsia="zh-CN"/>
                    </w:rPr>
                  </w:pPr>
                  <w:r>
                    <w:rPr>
                      <w:rFonts w:hint="eastAsia"/>
                      <w:color w:val="auto"/>
                      <w:lang w:val="en-US" w:eastAsia="zh-CN"/>
                    </w:rPr>
                    <w:t>1.51</w:t>
                  </w:r>
                </w:p>
              </w:tc>
              <w:tc>
                <w:tcPr>
                  <w:tcW w:w="600"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color w:val="auto"/>
                    </w:rPr>
                  </w:pPr>
                  <w:r>
                    <w:rPr>
                      <w:rFonts w:hint="eastAsia"/>
                      <w:color w:val="auto"/>
                    </w:rPr>
                    <w:t>0</w:t>
                  </w:r>
                </w:p>
              </w:tc>
              <w:tc>
                <w:tcPr>
                  <w:tcW w:w="603" w:type="pct"/>
                  <w:noWrap/>
                  <w:vAlign w:val="center"/>
                </w:tcPr>
                <w:p>
                  <w:pPr>
                    <w:pStyle w:val="35"/>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722" w:type="pct"/>
                  <w:vMerge w:val="continue"/>
                  <w:vAlign w:val="center"/>
                </w:tcPr>
                <w:p>
                  <w:pPr>
                    <w:pStyle w:val="35"/>
                    <w:rPr>
                      <w:color w:val="auto"/>
                    </w:rPr>
                  </w:pPr>
                </w:p>
              </w:tc>
              <w:tc>
                <w:tcPr>
                  <w:tcW w:w="502" w:type="pct"/>
                  <w:vAlign w:val="center"/>
                </w:tcPr>
                <w:p>
                  <w:pPr>
                    <w:pStyle w:val="35"/>
                    <w:rPr>
                      <w:color w:val="auto"/>
                    </w:rPr>
                  </w:pPr>
                  <w:r>
                    <w:rPr>
                      <w:rFonts w:hint="eastAsia"/>
                      <w:color w:val="auto"/>
                    </w:rPr>
                    <w:t>生活垃圾</w:t>
                  </w:r>
                </w:p>
              </w:tc>
              <w:tc>
                <w:tcPr>
                  <w:tcW w:w="618" w:type="pct"/>
                  <w:noWrap/>
                  <w:vAlign w:val="center"/>
                </w:tcPr>
                <w:p>
                  <w:pPr>
                    <w:pStyle w:val="35"/>
                    <w:rPr>
                      <w:rFonts w:hint="default" w:eastAsia="宋体"/>
                      <w:color w:val="auto"/>
                      <w:lang w:val="en-US" w:eastAsia="zh-CN"/>
                    </w:rPr>
                  </w:pPr>
                  <w:r>
                    <w:rPr>
                      <w:rFonts w:hint="eastAsia"/>
                      <w:color w:val="auto"/>
                      <w:lang w:val="en-US" w:eastAsia="zh-CN"/>
                    </w:rPr>
                    <w:t>7.5</w:t>
                  </w:r>
                </w:p>
              </w:tc>
              <w:tc>
                <w:tcPr>
                  <w:tcW w:w="494" w:type="pct"/>
                  <w:vAlign w:val="center"/>
                </w:tcPr>
                <w:p>
                  <w:pPr>
                    <w:pStyle w:val="35"/>
                    <w:rPr>
                      <w:rFonts w:hint="default"/>
                      <w:color w:val="auto"/>
                      <w:lang w:val="en-US" w:eastAsia="zh-CN"/>
                    </w:rPr>
                  </w:pPr>
                  <w:r>
                    <w:rPr>
                      <w:rFonts w:hint="eastAsia"/>
                      <w:color w:val="auto"/>
                      <w:lang w:val="en-US" w:eastAsia="zh-CN"/>
                    </w:rPr>
                    <w:t>5.625</w:t>
                  </w:r>
                </w:p>
              </w:tc>
              <w:tc>
                <w:tcPr>
                  <w:tcW w:w="709" w:type="dxa"/>
                  <w:vAlign w:val="center"/>
                </w:tcPr>
                <w:p>
                  <w:pPr>
                    <w:pStyle w:val="35"/>
                    <w:rPr>
                      <w:rFonts w:hint="eastAsia"/>
                      <w:color w:val="auto"/>
                      <w:lang w:val="en-US" w:eastAsia="zh-CN"/>
                    </w:rPr>
                  </w:pPr>
                  <w:r>
                    <w:rPr>
                      <w:rFonts w:hint="eastAsia"/>
                      <w:color w:val="auto"/>
                      <w:lang w:val="en-US" w:eastAsia="zh-CN"/>
                    </w:rPr>
                    <w:t>5.625</w:t>
                  </w:r>
                </w:p>
              </w:tc>
              <w:tc>
                <w:tcPr>
                  <w:tcW w:w="600"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rFonts w:hint="eastAsia"/>
                      <w:color w:val="auto"/>
                      <w:lang w:val="en-US" w:eastAsia="zh-CN"/>
                    </w:rPr>
                  </w:pPr>
                  <w:r>
                    <w:rPr>
                      <w:rFonts w:hint="eastAsia"/>
                      <w:color w:val="auto"/>
                      <w:lang w:val="en-US" w:eastAsia="zh-CN"/>
                    </w:rPr>
                    <w:t>0</w:t>
                  </w:r>
                </w:p>
              </w:tc>
              <w:tc>
                <w:tcPr>
                  <w:tcW w:w="514" w:type="pct"/>
                  <w:vAlign w:val="center"/>
                </w:tcPr>
                <w:p>
                  <w:pPr>
                    <w:pStyle w:val="35"/>
                    <w:rPr>
                      <w:color w:val="auto"/>
                    </w:rPr>
                  </w:pPr>
                  <w:r>
                    <w:rPr>
                      <w:rFonts w:hint="eastAsia"/>
                      <w:color w:val="auto"/>
                    </w:rPr>
                    <w:t>0</w:t>
                  </w:r>
                </w:p>
              </w:tc>
              <w:tc>
                <w:tcPr>
                  <w:tcW w:w="603" w:type="pct"/>
                  <w:noWrap/>
                  <w:vAlign w:val="center"/>
                </w:tcPr>
                <w:p>
                  <w:pPr>
                    <w:pStyle w:val="35"/>
                    <w:rPr>
                      <w:color w:val="auto"/>
                    </w:rPr>
                  </w:pPr>
                  <w:r>
                    <w:rPr>
                      <w:color w:val="auto"/>
                    </w:rPr>
                    <w:t>0</w:t>
                  </w:r>
                </w:p>
              </w:tc>
            </w:tr>
            <w:bookmarkEnd w:id="6"/>
          </w:tbl>
          <w:p>
            <w:pPr>
              <w:adjustRightInd w:val="0"/>
              <w:snapToGrid w:val="0"/>
              <w:spacing w:line="240" w:lineRule="auto"/>
              <w:rPr>
                <w:sz w:val="21"/>
                <w:szCs w:val="21"/>
              </w:rPr>
            </w:pPr>
            <w:r>
              <w:rPr>
                <w:rFonts w:hint="eastAsia"/>
                <w:sz w:val="21"/>
                <w:szCs w:val="21"/>
              </w:rPr>
              <w:t>备注：</w:t>
            </w:r>
            <w:r>
              <w:rPr>
                <w:sz w:val="21"/>
                <w:szCs w:val="21"/>
              </w:rPr>
              <w:t>*</w:t>
            </w:r>
            <w:r>
              <w:rPr>
                <w:rFonts w:hint="eastAsia"/>
                <w:sz w:val="21"/>
                <w:szCs w:val="21"/>
              </w:rPr>
              <w:t>废水排放量为接管污水处理厂的接管量，废气和固废量为排放外环境的量。</w:t>
            </w:r>
          </w:p>
          <w:p>
            <w:pPr>
              <w:pStyle w:val="14"/>
            </w:pPr>
            <w:r>
              <w:rPr>
                <w:rFonts w:hint="eastAsia"/>
              </w:rPr>
              <w:t>总量控制因子：</w:t>
            </w:r>
          </w:p>
          <w:p>
            <w:pPr>
              <w:pStyle w:val="29"/>
              <w:ind w:firstLine="480"/>
            </w:pPr>
            <w:r>
              <w:rPr>
                <w:rFonts w:hint="eastAsia"/>
              </w:rPr>
              <w:t>按照国家和省总量控制的规定，结合本项目排污特征，确定本项目的总量控制因子如下。</w:t>
            </w:r>
          </w:p>
          <w:p>
            <w:pPr>
              <w:pStyle w:val="29"/>
              <w:ind w:firstLine="480"/>
            </w:pPr>
            <w:r>
              <w:rPr>
                <w:rFonts w:hint="eastAsia"/>
              </w:rPr>
              <w:t>生活污水污染物总量控制因子：</w:t>
            </w:r>
            <w:r>
              <w:t>COD</w:t>
            </w:r>
            <w:r>
              <w:rPr>
                <w:rFonts w:hint="eastAsia"/>
              </w:rPr>
              <w:t>、</w:t>
            </w:r>
            <w:r>
              <w:t>NH</w:t>
            </w:r>
            <w:r>
              <w:rPr>
                <w:vertAlign w:val="subscript"/>
              </w:rPr>
              <w:t>3</w:t>
            </w:r>
            <w:r>
              <w:t>-N</w:t>
            </w:r>
            <w:r>
              <w:rPr>
                <w:rFonts w:hint="eastAsia"/>
              </w:rPr>
              <w:t>、</w:t>
            </w:r>
            <w:r>
              <w:t>TP</w:t>
            </w:r>
            <w:r>
              <w:rPr>
                <w:rFonts w:hint="eastAsia"/>
              </w:rPr>
              <w:t>；本项目水污染物排放总量在科技城水质净化厂内平衡。</w:t>
            </w:r>
          </w:p>
          <w:p>
            <w:pPr>
              <w:pStyle w:val="29"/>
              <w:ind w:firstLine="480"/>
            </w:pPr>
            <w:r>
              <w:rPr>
                <w:rFonts w:hint="eastAsia"/>
              </w:rPr>
              <w:t>大气污染物总量控制因子：</w:t>
            </w:r>
            <w:r>
              <w:t>VOCs</w:t>
            </w:r>
            <w:r>
              <w:rPr>
                <w:rFonts w:hint="eastAsia"/>
              </w:rPr>
              <w:t>（以非甲烷总烃计）；本项目大气污染物排放指标在苏州高新区内平衡。</w:t>
            </w:r>
          </w:p>
          <w:p>
            <w:pPr>
              <w:pStyle w:val="29"/>
              <w:ind w:firstLine="480"/>
            </w:pPr>
            <w:r>
              <w:rPr>
                <w:rFonts w:hint="eastAsia"/>
              </w:rPr>
              <w:t>本项目实施后固体废物全部得到处置，固废外排量为零，因此，本项目不需要申请固体废物排放总量指标。</w:t>
            </w: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tc>
      </w:tr>
    </w:tbl>
    <w:p>
      <w:pPr>
        <w:pStyle w:val="13"/>
        <w:spacing w:line="240" w:lineRule="auto"/>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6"/>
          <w:szCs w:val="36"/>
        </w:rPr>
        <w:br w:type="page"/>
      </w:r>
      <w:bookmarkStart w:id="7" w:name="_Toc101518924"/>
      <w:r>
        <w:rPr>
          <w:rFonts w:ascii="Times New Roman" w:hAnsi="Times New Roman" w:cs="Times New Roman"/>
          <w:b/>
          <w:bCs/>
          <w:snapToGrid w:val="0"/>
          <w:sz w:val="30"/>
          <w:szCs w:val="30"/>
        </w:rPr>
        <w:t>四、主要环境影响和保护措施</w:t>
      </w:r>
      <w:bookmarkEnd w:id="7"/>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458" w:type="dxa"/>
            <w:tcMar>
              <w:left w:w="28" w:type="dxa"/>
              <w:right w:w="28" w:type="dxa"/>
            </w:tcMar>
            <w:vAlign w:val="center"/>
          </w:tcPr>
          <w:p>
            <w:pPr>
              <w:spacing w:line="240" w:lineRule="auto"/>
              <w:jc w:val="center"/>
              <w:rPr>
                <w:bCs/>
              </w:rPr>
            </w:pPr>
            <w:r>
              <w:t>施工期环境保护措施</w:t>
            </w:r>
          </w:p>
        </w:tc>
        <w:tc>
          <w:tcPr>
            <w:tcW w:w="8450" w:type="dxa"/>
          </w:tcPr>
          <w:p>
            <w:pPr>
              <w:pStyle w:val="29"/>
              <w:ind w:firstLine="480"/>
            </w:pPr>
            <w:r>
              <w:rPr>
                <w:rFonts w:hint="eastAsia"/>
              </w:rPr>
              <w:t>本项目依托现有已建厂房，施工期仅进行安装和调试设备及管道，主要的施工期污染物有工人生活污水、安装调试产生的废料和噪声等。施工期较短，施工人员生活污水经市政网管排入科技城水质净化厂集中处理；施工建筑垃圾运至指定消纳场；同时采取一定隔声、消声、减震等防治措施，待项目施工期结束，施工对外界的影响也随之结束，对周围环境造成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58" w:type="dxa"/>
            <w:tcMar>
              <w:left w:w="28" w:type="dxa"/>
              <w:right w:w="28" w:type="dxa"/>
            </w:tcMar>
            <w:vAlign w:val="center"/>
          </w:tcPr>
          <w:p>
            <w:pPr>
              <w:spacing w:line="240" w:lineRule="auto"/>
              <w:jc w:val="center"/>
              <w:rPr>
                <w:bCs/>
              </w:rPr>
            </w:pPr>
            <w:r>
              <w:rPr>
                <w:bCs/>
              </w:rPr>
              <w:t>运营期环境影响和保护措施</w:t>
            </w:r>
          </w:p>
        </w:tc>
        <w:tc>
          <w:tcPr>
            <w:tcW w:w="8450" w:type="dxa"/>
          </w:tcPr>
          <w:p>
            <w:pPr>
              <w:pStyle w:val="14"/>
            </w:pPr>
            <w:r>
              <w:rPr>
                <w:rFonts w:hint="eastAsia"/>
              </w:rPr>
              <w:t>（一）废气污染物</w:t>
            </w:r>
          </w:p>
          <w:p>
            <w:pPr>
              <w:pStyle w:val="14"/>
            </w:pPr>
            <w:r>
              <w:rPr>
                <w:rFonts w:hint="eastAsia"/>
              </w:rPr>
              <w:t>1、废气源强</w:t>
            </w:r>
          </w:p>
          <w:p>
            <w:pPr>
              <w:pStyle w:val="29"/>
              <w:ind w:firstLine="480"/>
            </w:pPr>
            <w:r>
              <w:rPr>
                <w:rFonts w:hint="eastAsia"/>
              </w:rPr>
              <w:t>项目废气主要为</w:t>
            </w:r>
            <w:r>
              <w:rPr>
                <w:rFonts w:hint="eastAsia"/>
                <w:lang w:eastAsia="zh-CN"/>
              </w:rPr>
              <w:t>焊接工序中产生的焊接废气</w:t>
            </w:r>
            <w:r>
              <w:rPr>
                <w:rFonts w:hint="eastAsia"/>
                <w:lang w:val="en-US" w:eastAsia="zh-CN"/>
              </w:rPr>
              <w:t>G1</w:t>
            </w:r>
            <w:r>
              <w:rPr>
                <w:rFonts w:hint="eastAsia"/>
                <w:lang w:eastAsia="zh-CN"/>
              </w:rPr>
              <w:t>和清洗工序中产生的废气</w:t>
            </w:r>
            <w:r>
              <w:rPr>
                <w:rFonts w:hint="eastAsia"/>
                <w:lang w:val="en-US" w:eastAsia="zh-CN"/>
              </w:rPr>
              <w:t>G2</w:t>
            </w:r>
            <w:r>
              <w:rPr>
                <w:rFonts w:hint="eastAsia"/>
              </w:rPr>
              <w:t>。</w:t>
            </w:r>
          </w:p>
          <w:p>
            <w:pPr>
              <w:pStyle w:val="29"/>
              <w:ind w:firstLine="480"/>
              <w:rPr>
                <w:rFonts w:hint="eastAsia"/>
              </w:rPr>
            </w:pPr>
            <w:r>
              <w:rPr>
                <w:rFonts w:hint="eastAsia"/>
              </w:rPr>
              <w:t>（1）</w:t>
            </w:r>
            <w:r>
              <w:rPr>
                <w:rFonts w:hint="eastAsia"/>
                <w:lang w:eastAsia="zh-CN"/>
              </w:rPr>
              <w:t>焊接</w:t>
            </w:r>
            <w:r>
              <w:rPr>
                <w:rFonts w:hint="eastAsia"/>
              </w:rPr>
              <w:t>废气G1</w:t>
            </w:r>
          </w:p>
          <w:p>
            <w:pPr>
              <w:pStyle w:val="29"/>
              <w:ind w:firstLine="480"/>
              <w:rPr>
                <w:rFonts w:hint="eastAsia"/>
              </w:rPr>
            </w:pPr>
            <w:r>
              <w:rPr>
                <w:rFonts w:hint="eastAsia"/>
              </w:rPr>
              <w:t>本项目焊接过程产生焊接烟尘，以颗粒物计，焊接烟尘是金属及非金属物质在加热条件下产生的蒸汽经氧化和冷凝而形成的。本项目焊接主要为采用激光发出高能的光束准确的将需要焊接的部位进行高能熔化接线，根据建设方提供资料，本项目焊接部位以0.5ta计，类比同类项目，焊接烟尘(以颗粒物计)产生量以焊接部分物料量的1%计，则焊接烟尘量产生量为0.005t/a。</w:t>
            </w:r>
          </w:p>
          <w:p>
            <w:pPr>
              <w:pStyle w:val="29"/>
              <w:ind w:firstLine="480"/>
              <w:rPr>
                <w:rFonts w:hint="default"/>
                <w:lang w:val="en-US" w:eastAsia="zh-CN"/>
              </w:rPr>
            </w:pPr>
            <w:r>
              <w:rPr>
                <w:rFonts w:hint="eastAsia"/>
              </w:rPr>
              <w:t>（2）</w:t>
            </w:r>
            <w:r>
              <w:rPr>
                <w:rFonts w:hint="eastAsia"/>
                <w:lang w:eastAsia="zh-CN"/>
              </w:rPr>
              <w:t>清洗废气</w:t>
            </w:r>
            <w:r>
              <w:rPr>
                <w:rFonts w:hint="eastAsia"/>
                <w:lang w:val="en-US" w:eastAsia="zh-CN"/>
              </w:rPr>
              <w:t>G2</w:t>
            </w:r>
          </w:p>
          <w:p>
            <w:pPr>
              <w:pStyle w:val="29"/>
              <w:ind w:firstLine="480"/>
              <w:rPr>
                <w:rFonts w:hint="eastAsia"/>
                <w:lang w:val="en-US" w:eastAsia="zh-CN"/>
              </w:rPr>
            </w:pPr>
            <w:r>
              <w:rPr>
                <w:rFonts w:hint="eastAsia"/>
                <w:lang w:val="en-US" w:eastAsia="zh-CN"/>
              </w:rPr>
              <w:t>本项目清洗过程产生清洗废气，以非甲烷总烃计，本项目采用的清洗液为酒精，不加入水进行配置。项目建成后全厂清洗液使用量为0.5t/a，清洗过程在密闭的清洗机中进行，清洗液使用过程挥发产生有机废气,清洗过程有机废气产生量约为清洗液使用量的10%计，则非甲烷总烃产生量为0.05t/a.</w:t>
            </w: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pPr>
            <w:r>
              <w:rPr>
                <w:rFonts w:hint="eastAsia"/>
              </w:rPr>
              <w:t>表</w:t>
            </w:r>
            <w:r>
              <w:t xml:space="preserve">4-3   </w:t>
            </w:r>
            <w:r>
              <w:rPr>
                <w:rFonts w:hint="eastAsia"/>
              </w:rPr>
              <w:t>废气产生情况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709"/>
              <w:gridCol w:w="709"/>
              <w:gridCol w:w="711"/>
              <w:gridCol w:w="747"/>
              <w:gridCol w:w="951"/>
              <w:gridCol w:w="1003"/>
              <w:gridCol w:w="847"/>
              <w:gridCol w:w="1151"/>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53" w:type="pct"/>
                  <w:vMerge w:val="restart"/>
                  <w:vAlign w:val="center"/>
                </w:tcPr>
                <w:p>
                  <w:pPr>
                    <w:pStyle w:val="35"/>
                  </w:pPr>
                  <w:r>
                    <w:rPr>
                      <w:rFonts w:hint="eastAsia"/>
                    </w:rPr>
                    <w:t>产生环节</w:t>
                  </w:r>
                </w:p>
              </w:tc>
              <w:tc>
                <w:tcPr>
                  <w:tcW w:w="431" w:type="pct"/>
                  <w:vMerge w:val="restart"/>
                  <w:vAlign w:val="center"/>
                </w:tcPr>
                <w:p>
                  <w:pPr>
                    <w:pStyle w:val="35"/>
                  </w:pPr>
                  <w:r>
                    <w:rPr>
                      <w:rFonts w:hint="eastAsia"/>
                    </w:rPr>
                    <w:t>污染物名称</w:t>
                  </w:r>
                </w:p>
              </w:tc>
              <w:tc>
                <w:tcPr>
                  <w:tcW w:w="431" w:type="pct"/>
                  <w:vMerge w:val="restart"/>
                  <w:vAlign w:val="center"/>
                </w:tcPr>
                <w:p>
                  <w:pPr>
                    <w:pStyle w:val="35"/>
                  </w:pPr>
                  <w:r>
                    <w:rPr>
                      <w:rFonts w:hint="eastAsia"/>
                    </w:rPr>
                    <w:t>总产生量</w:t>
                  </w:r>
                  <w:r>
                    <w:t>t/a</w:t>
                  </w:r>
                </w:p>
              </w:tc>
              <w:tc>
                <w:tcPr>
                  <w:tcW w:w="432" w:type="pct"/>
                  <w:vMerge w:val="restart"/>
                  <w:vAlign w:val="center"/>
                </w:tcPr>
                <w:p>
                  <w:pPr>
                    <w:pStyle w:val="35"/>
                  </w:pPr>
                  <w:r>
                    <w:rPr>
                      <w:rFonts w:hint="eastAsia"/>
                    </w:rPr>
                    <w:t>捕集效率</w:t>
                  </w:r>
                  <w:r>
                    <w:t>/%</w:t>
                  </w:r>
                </w:p>
              </w:tc>
              <w:tc>
                <w:tcPr>
                  <w:tcW w:w="454" w:type="pct"/>
                  <w:vMerge w:val="restart"/>
                  <w:noWrap/>
                  <w:vAlign w:val="center"/>
                </w:tcPr>
                <w:p>
                  <w:pPr>
                    <w:pStyle w:val="35"/>
                  </w:pPr>
                  <w:r>
                    <w:rPr>
                      <w:rFonts w:hint="eastAsia"/>
                    </w:rPr>
                    <w:t>排放形式</w:t>
                  </w:r>
                </w:p>
              </w:tc>
              <w:tc>
                <w:tcPr>
                  <w:tcW w:w="578" w:type="pct"/>
                  <w:vMerge w:val="restart"/>
                  <w:noWrap/>
                  <w:vAlign w:val="center"/>
                </w:tcPr>
                <w:p>
                  <w:pPr>
                    <w:pStyle w:val="35"/>
                  </w:pPr>
                  <w:r>
                    <w:rPr>
                      <w:rFonts w:hint="eastAsia"/>
                    </w:rPr>
                    <w:t>有组织废气产生量</w:t>
                  </w:r>
                  <w:r>
                    <w:t>t/a</w:t>
                  </w:r>
                </w:p>
              </w:tc>
              <w:tc>
                <w:tcPr>
                  <w:tcW w:w="1824" w:type="pct"/>
                  <w:gridSpan w:val="3"/>
                  <w:vAlign w:val="center"/>
                </w:tcPr>
                <w:p>
                  <w:pPr>
                    <w:pStyle w:val="35"/>
                  </w:pPr>
                  <w:r>
                    <w:rPr>
                      <w:rFonts w:hint="eastAsia"/>
                    </w:rPr>
                    <w:t>污染治理设施</w:t>
                  </w:r>
                </w:p>
              </w:tc>
              <w:tc>
                <w:tcPr>
                  <w:tcW w:w="395" w:type="pct"/>
                  <w:vMerge w:val="restart"/>
                  <w:vAlign w:val="center"/>
                </w:tcPr>
                <w:p>
                  <w:pPr>
                    <w:pStyle w:val="35"/>
                  </w:pPr>
                  <w:r>
                    <w:rPr>
                      <w:rFonts w:hint="eastAsia"/>
                    </w:rPr>
                    <w:t>排放源名称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53" w:type="pct"/>
                  <w:vMerge w:val="continue"/>
                  <w:vAlign w:val="center"/>
                </w:tcPr>
                <w:p>
                  <w:pPr>
                    <w:pStyle w:val="35"/>
                  </w:pPr>
                </w:p>
              </w:tc>
              <w:tc>
                <w:tcPr>
                  <w:tcW w:w="431" w:type="pct"/>
                  <w:vMerge w:val="continue"/>
                  <w:vAlign w:val="center"/>
                </w:tcPr>
                <w:p>
                  <w:pPr>
                    <w:pStyle w:val="35"/>
                  </w:pPr>
                </w:p>
              </w:tc>
              <w:tc>
                <w:tcPr>
                  <w:tcW w:w="431" w:type="pct"/>
                  <w:vMerge w:val="continue"/>
                  <w:vAlign w:val="center"/>
                </w:tcPr>
                <w:p>
                  <w:pPr>
                    <w:pStyle w:val="35"/>
                  </w:pPr>
                </w:p>
              </w:tc>
              <w:tc>
                <w:tcPr>
                  <w:tcW w:w="432" w:type="pct"/>
                  <w:vMerge w:val="continue"/>
                  <w:vAlign w:val="center"/>
                </w:tcPr>
                <w:p>
                  <w:pPr>
                    <w:pStyle w:val="35"/>
                  </w:pPr>
                </w:p>
              </w:tc>
              <w:tc>
                <w:tcPr>
                  <w:tcW w:w="454" w:type="pct"/>
                  <w:vMerge w:val="continue"/>
                  <w:vAlign w:val="center"/>
                </w:tcPr>
                <w:p>
                  <w:pPr>
                    <w:pStyle w:val="35"/>
                  </w:pPr>
                </w:p>
              </w:tc>
              <w:tc>
                <w:tcPr>
                  <w:tcW w:w="578" w:type="pct"/>
                  <w:vMerge w:val="continue"/>
                  <w:vAlign w:val="center"/>
                </w:tcPr>
                <w:p>
                  <w:pPr>
                    <w:pStyle w:val="35"/>
                  </w:pPr>
                </w:p>
              </w:tc>
              <w:tc>
                <w:tcPr>
                  <w:tcW w:w="609" w:type="pct"/>
                  <w:vAlign w:val="center"/>
                </w:tcPr>
                <w:p>
                  <w:pPr>
                    <w:pStyle w:val="35"/>
                  </w:pPr>
                  <w:r>
                    <w:rPr>
                      <w:rFonts w:hint="eastAsia"/>
                    </w:rPr>
                    <w:t>污染防治设施名称</w:t>
                  </w:r>
                </w:p>
              </w:tc>
              <w:tc>
                <w:tcPr>
                  <w:tcW w:w="514" w:type="pct"/>
                  <w:vAlign w:val="center"/>
                </w:tcPr>
                <w:p>
                  <w:pPr>
                    <w:pStyle w:val="35"/>
                  </w:pPr>
                  <w:r>
                    <w:rPr>
                      <w:rFonts w:hint="eastAsia"/>
                    </w:rPr>
                    <w:t>工艺</w:t>
                  </w:r>
                </w:p>
              </w:tc>
              <w:tc>
                <w:tcPr>
                  <w:tcW w:w="699" w:type="pct"/>
                  <w:noWrap/>
                  <w:vAlign w:val="center"/>
                </w:tcPr>
                <w:p>
                  <w:pPr>
                    <w:pStyle w:val="35"/>
                  </w:pPr>
                  <w:r>
                    <w:rPr>
                      <w:rFonts w:hint="eastAsia"/>
                    </w:rPr>
                    <w:t>是否为可行性技术</w:t>
                  </w:r>
                </w:p>
              </w:tc>
              <w:tc>
                <w:tcPr>
                  <w:tcW w:w="395"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453" w:type="pct"/>
                  <w:vAlign w:val="center"/>
                </w:tcPr>
                <w:p>
                  <w:pPr>
                    <w:pStyle w:val="35"/>
                    <w:rPr>
                      <w:rFonts w:hint="eastAsia" w:eastAsia="宋体"/>
                      <w:lang w:eastAsia="zh-CN"/>
                    </w:rPr>
                  </w:pPr>
                  <w:r>
                    <w:rPr>
                      <w:rFonts w:hint="eastAsia"/>
                      <w:lang w:eastAsia="zh-CN"/>
                    </w:rPr>
                    <w:t>点焊</w:t>
                  </w:r>
                </w:p>
              </w:tc>
              <w:tc>
                <w:tcPr>
                  <w:tcW w:w="431" w:type="pct"/>
                  <w:vAlign w:val="center"/>
                </w:tcPr>
                <w:p>
                  <w:pPr>
                    <w:pStyle w:val="35"/>
                    <w:rPr>
                      <w:rFonts w:hint="eastAsia" w:eastAsia="宋体"/>
                      <w:lang w:eastAsia="zh-CN"/>
                    </w:rPr>
                  </w:pPr>
                  <w:r>
                    <w:rPr>
                      <w:rFonts w:hint="eastAsia"/>
                      <w:lang w:eastAsia="zh-CN"/>
                    </w:rPr>
                    <w:t>颗粒物</w:t>
                  </w:r>
                </w:p>
              </w:tc>
              <w:tc>
                <w:tcPr>
                  <w:tcW w:w="431" w:type="pct"/>
                  <w:vAlign w:val="center"/>
                </w:tcPr>
                <w:p>
                  <w:pPr>
                    <w:pStyle w:val="35"/>
                    <w:rPr>
                      <w:rFonts w:hint="default" w:eastAsia="宋体"/>
                      <w:lang w:val="en-US" w:eastAsia="zh-CN"/>
                    </w:rPr>
                  </w:pPr>
                  <w:r>
                    <w:t>0</w:t>
                  </w:r>
                  <w:r>
                    <w:rPr>
                      <w:rFonts w:hint="eastAsia"/>
                      <w:lang w:val="en-US" w:eastAsia="zh-CN"/>
                    </w:rPr>
                    <w:t>.005</w:t>
                  </w:r>
                </w:p>
              </w:tc>
              <w:tc>
                <w:tcPr>
                  <w:tcW w:w="432" w:type="pct"/>
                  <w:vAlign w:val="center"/>
                </w:tcPr>
                <w:p>
                  <w:pPr>
                    <w:pStyle w:val="35"/>
                  </w:pPr>
                  <w:r>
                    <w:t>/</w:t>
                  </w:r>
                </w:p>
              </w:tc>
              <w:tc>
                <w:tcPr>
                  <w:tcW w:w="454" w:type="pct"/>
                  <w:vAlign w:val="center"/>
                </w:tcPr>
                <w:p>
                  <w:pPr>
                    <w:pStyle w:val="35"/>
                  </w:pPr>
                  <w:r>
                    <w:rPr>
                      <w:rFonts w:hint="eastAsia"/>
                    </w:rPr>
                    <w:t>无组织</w:t>
                  </w:r>
                </w:p>
              </w:tc>
              <w:tc>
                <w:tcPr>
                  <w:tcW w:w="578" w:type="pct"/>
                  <w:vAlign w:val="center"/>
                </w:tcPr>
                <w:p>
                  <w:pPr>
                    <w:pStyle w:val="35"/>
                  </w:pPr>
                  <w:r>
                    <w:t>0</w:t>
                  </w:r>
                  <w:r>
                    <w:rPr>
                      <w:rFonts w:hint="eastAsia"/>
                      <w:lang w:val="en-US" w:eastAsia="zh-CN"/>
                    </w:rPr>
                    <w:t>.005</w:t>
                  </w:r>
                </w:p>
              </w:tc>
              <w:tc>
                <w:tcPr>
                  <w:tcW w:w="609" w:type="pct"/>
                  <w:vAlign w:val="center"/>
                </w:tcPr>
                <w:p>
                  <w:pPr>
                    <w:pStyle w:val="35"/>
                  </w:pPr>
                  <w:r>
                    <w:t>/</w:t>
                  </w:r>
                </w:p>
              </w:tc>
              <w:tc>
                <w:tcPr>
                  <w:tcW w:w="514" w:type="pct"/>
                  <w:vAlign w:val="center"/>
                </w:tcPr>
                <w:p>
                  <w:pPr>
                    <w:pStyle w:val="35"/>
                  </w:pPr>
                  <w:r>
                    <w:t>/</w:t>
                  </w:r>
                </w:p>
              </w:tc>
              <w:tc>
                <w:tcPr>
                  <w:tcW w:w="699" w:type="pct"/>
                  <w:vAlign w:val="center"/>
                </w:tcPr>
                <w:p>
                  <w:pPr>
                    <w:pStyle w:val="35"/>
                  </w:pPr>
                  <w:r>
                    <w:t>/</w:t>
                  </w:r>
                </w:p>
              </w:tc>
              <w:tc>
                <w:tcPr>
                  <w:tcW w:w="395" w:type="pct"/>
                  <w:noWrap/>
                  <w:vAlign w:val="center"/>
                </w:tcPr>
                <w:p>
                  <w:pPr>
                    <w:pStyle w:val="35"/>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53" w:type="pct"/>
                  <w:vMerge w:val="restart"/>
                  <w:vAlign w:val="center"/>
                </w:tcPr>
                <w:p>
                  <w:pPr>
                    <w:pStyle w:val="35"/>
                    <w:rPr>
                      <w:rFonts w:hint="eastAsia" w:eastAsia="宋体"/>
                      <w:lang w:eastAsia="zh-CN"/>
                    </w:rPr>
                  </w:pPr>
                  <w:r>
                    <w:rPr>
                      <w:rFonts w:hint="eastAsia"/>
                      <w:lang w:eastAsia="zh-CN"/>
                    </w:rPr>
                    <w:t>清洗</w:t>
                  </w:r>
                </w:p>
              </w:tc>
              <w:tc>
                <w:tcPr>
                  <w:tcW w:w="431" w:type="pct"/>
                  <w:vMerge w:val="restart"/>
                  <w:noWrap/>
                  <w:vAlign w:val="center"/>
                </w:tcPr>
                <w:p>
                  <w:pPr>
                    <w:pStyle w:val="35"/>
                    <w:rPr>
                      <w:rFonts w:hint="eastAsia" w:eastAsia="宋体"/>
                      <w:lang w:eastAsia="zh-CN"/>
                    </w:rPr>
                  </w:pPr>
                  <w:r>
                    <w:rPr>
                      <w:rFonts w:hint="eastAsia"/>
                      <w:lang w:eastAsia="zh-CN"/>
                    </w:rPr>
                    <w:t>非甲烷总烃</w:t>
                  </w:r>
                </w:p>
              </w:tc>
              <w:tc>
                <w:tcPr>
                  <w:tcW w:w="431" w:type="pct"/>
                  <w:vMerge w:val="restart"/>
                  <w:noWrap/>
                  <w:vAlign w:val="center"/>
                </w:tcPr>
                <w:p>
                  <w:pPr>
                    <w:pStyle w:val="35"/>
                    <w:rPr>
                      <w:rFonts w:hint="eastAsia" w:eastAsia="宋体"/>
                      <w:lang w:val="en-US" w:eastAsia="zh-CN"/>
                    </w:rPr>
                  </w:pPr>
                  <w:r>
                    <w:t>0.0</w:t>
                  </w:r>
                  <w:r>
                    <w:rPr>
                      <w:rFonts w:hint="eastAsia"/>
                      <w:lang w:val="en-US" w:eastAsia="zh-CN"/>
                    </w:rPr>
                    <w:t>5</w:t>
                  </w:r>
                </w:p>
              </w:tc>
              <w:tc>
                <w:tcPr>
                  <w:tcW w:w="432" w:type="pct"/>
                  <w:noWrap/>
                  <w:vAlign w:val="center"/>
                </w:tcPr>
                <w:p>
                  <w:pPr>
                    <w:pStyle w:val="35"/>
                  </w:pPr>
                  <w:r>
                    <w:t>95</w:t>
                  </w:r>
                </w:p>
              </w:tc>
              <w:tc>
                <w:tcPr>
                  <w:tcW w:w="454" w:type="pct"/>
                  <w:noWrap/>
                  <w:vAlign w:val="center"/>
                </w:tcPr>
                <w:p>
                  <w:pPr>
                    <w:pStyle w:val="35"/>
                  </w:pPr>
                  <w:r>
                    <w:rPr>
                      <w:rFonts w:hint="eastAsia"/>
                    </w:rPr>
                    <w:t>有组织</w:t>
                  </w:r>
                </w:p>
              </w:tc>
              <w:tc>
                <w:tcPr>
                  <w:tcW w:w="578" w:type="pct"/>
                  <w:noWrap/>
                  <w:vAlign w:val="center"/>
                </w:tcPr>
                <w:p>
                  <w:pPr>
                    <w:pStyle w:val="35"/>
                    <w:rPr>
                      <w:rFonts w:hint="default" w:eastAsia="宋体"/>
                      <w:lang w:val="en-US" w:eastAsia="zh-CN"/>
                    </w:rPr>
                  </w:pPr>
                  <w:r>
                    <w:t>0.0</w:t>
                  </w:r>
                  <w:r>
                    <w:rPr>
                      <w:rFonts w:hint="eastAsia"/>
                      <w:lang w:val="en-US" w:eastAsia="zh-CN"/>
                    </w:rPr>
                    <w:t>475</w:t>
                  </w:r>
                </w:p>
              </w:tc>
              <w:tc>
                <w:tcPr>
                  <w:tcW w:w="609" w:type="pct"/>
                  <w:noWrap/>
                  <w:vAlign w:val="center"/>
                </w:tcPr>
                <w:p>
                  <w:pPr>
                    <w:pStyle w:val="35"/>
                  </w:pPr>
                  <w:r>
                    <w:rPr>
                      <w:rFonts w:hint="eastAsia"/>
                    </w:rPr>
                    <w:t>废气处理装置</w:t>
                  </w:r>
                </w:p>
              </w:tc>
              <w:tc>
                <w:tcPr>
                  <w:tcW w:w="514" w:type="pct"/>
                  <w:noWrap/>
                  <w:vAlign w:val="center"/>
                </w:tcPr>
                <w:p>
                  <w:pPr>
                    <w:pStyle w:val="35"/>
                  </w:pPr>
                  <w:r>
                    <w:rPr>
                      <w:rFonts w:hint="eastAsia"/>
                    </w:rPr>
                    <w:t>二级活性炭吸附</w:t>
                  </w:r>
                </w:p>
              </w:tc>
              <w:tc>
                <w:tcPr>
                  <w:tcW w:w="699" w:type="pct"/>
                  <w:noWrap/>
                  <w:vAlign w:val="center"/>
                </w:tcPr>
                <w:p>
                  <w:pPr>
                    <w:pStyle w:val="35"/>
                  </w:pPr>
                  <w:r>
                    <w:rPr>
                      <w:rFonts w:hint="eastAsia"/>
                    </w:rPr>
                    <w:t>是</w:t>
                  </w:r>
                </w:p>
              </w:tc>
              <w:tc>
                <w:tcPr>
                  <w:tcW w:w="395" w:type="pct"/>
                  <w:vAlign w:val="center"/>
                </w:tcPr>
                <w:p>
                  <w:pPr>
                    <w:pStyle w:val="35"/>
                  </w:pPr>
                  <w:r>
                    <w:t>DA001</w:t>
                  </w:r>
                  <w:r>
                    <w:rPr>
                      <w:rFonts w:hint="eastAsia"/>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453" w:type="pct"/>
                  <w:vMerge w:val="continue"/>
                  <w:vAlign w:val="center"/>
                </w:tcPr>
                <w:p>
                  <w:pPr>
                    <w:pStyle w:val="35"/>
                  </w:pPr>
                </w:p>
              </w:tc>
              <w:tc>
                <w:tcPr>
                  <w:tcW w:w="431" w:type="pct"/>
                  <w:vMerge w:val="continue"/>
                  <w:vAlign w:val="center"/>
                </w:tcPr>
                <w:p>
                  <w:pPr>
                    <w:pStyle w:val="35"/>
                  </w:pPr>
                </w:p>
              </w:tc>
              <w:tc>
                <w:tcPr>
                  <w:tcW w:w="431" w:type="pct"/>
                  <w:vMerge w:val="continue"/>
                  <w:vAlign w:val="center"/>
                </w:tcPr>
                <w:p>
                  <w:pPr>
                    <w:pStyle w:val="35"/>
                  </w:pPr>
                </w:p>
              </w:tc>
              <w:tc>
                <w:tcPr>
                  <w:tcW w:w="432" w:type="pct"/>
                  <w:noWrap/>
                  <w:vAlign w:val="center"/>
                </w:tcPr>
                <w:p>
                  <w:pPr>
                    <w:pStyle w:val="35"/>
                  </w:pPr>
                  <w:r>
                    <w:t>5</w:t>
                  </w:r>
                </w:p>
              </w:tc>
              <w:tc>
                <w:tcPr>
                  <w:tcW w:w="454" w:type="pct"/>
                  <w:vAlign w:val="center"/>
                </w:tcPr>
                <w:p>
                  <w:pPr>
                    <w:pStyle w:val="35"/>
                  </w:pPr>
                  <w:r>
                    <w:rPr>
                      <w:rFonts w:hint="eastAsia"/>
                    </w:rPr>
                    <w:t>无组织</w:t>
                  </w:r>
                </w:p>
              </w:tc>
              <w:tc>
                <w:tcPr>
                  <w:tcW w:w="578" w:type="pct"/>
                  <w:vAlign w:val="center"/>
                </w:tcPr>
                <w:p>
                  <w:pPr>
                    <w:pStyle w:val="35"/>
                    <w:rPr>
                      <w:rFonts w:hint="eastAsia" w:eastAsia="宋体"/>
                      <w:lang w:eastAsia="zh-CN"/>
                    </w:rPr>
                  </w:pPr>
                  <w:r>
                    <w:t>0.00</w:t>
                  </w:r>
                  <w:r>
                    <w:rPr>
                      <w:rFonts w:hint="eastAsia"/>
                      <w:lang w:val="en-US" w:eastAsia="zh-CN"/>
                    </w:rPr>
                    <w:t>25</w:t>
                  </w:r>
                </w:p>
              </w:tc>
              <w:tc>
                <w:tcPr>
                  <w:tcW w:w="609" w:type="pct"/>
                  <w:noWrap/>
                  <w:vAlign w:val="center"/>
                </w:tcPr>
                <w:p>
                  <w:pPr>
                    <w:pStyle w:val="35"/>
                  </w:pPr>
                  <w:r>
                    <w:t>/</w:t>
                  </w:r>
                </w:p>
              </w:tc>
              <w:tc>
                <w:tcPr>
                  <w:tcW w:w="514" w:type="pct"/>
                  <w:noWrap/>
                  <w:vAlign w:val="center"/>
                </w:tcPr>
                <w:p>
                  <w:pPr>
                    <w:pStyle w:val="35"/>
                  </w:pPr>
                  <w:r>
                    <w:t>/</w:t>
                  </w:r>
                </w:p>
              </w:tc>
              <w:tc>
                <w:tcPr>
                  <w:tcW w:w="699" w:type="pct"/>
                  <w:noWrap/>
                  <w:vAlign w:val="center"/>
                </w:tcPr>
                <w:p>
                  <w:pPr>
                    <w:pStyle w:val="35"/>
                  </w:pPr>
                  <w:r>
                    <w:t>/</w:t>
                  </w:r>
                </w:p>
              </w:tc>
              <w:tc>
                <w:tcPr>
                  <w:tcW w:w="395" w:type="pct"/>
                  <w:vAlign w:val="center"/>
                </w:tcPr>
                <w:p>
                  <w:pPr>
                    <w:pStyle w:val="35"/>
                  </w:pPr>
                </w:p>
              </w:tc>
            </w:tr>
          </w:tbl>
          <w:p>
            <w:pPr>
              <w:pStyle w:val="12"/>
            </w:pPr>
            <w:r>
              <w:rPr>
                <w:rFonts w:hint="eastAsia"/>
              </w:rPr>
              <w:t>表</w:t>
            </w:r>
            <w:r>
              <w:t xml:space="preserve">4-4  </w:t>
            </w:r>
            <w:r>
              <w:rPr>
                <w:rFonts w:hint="eastAsia"/>
              </w:rPr>
              <w:t>有组织废气产生及排放情况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902"/>
              <w:gridCol w:w="615"/>
              <w:gridCol w:w="615"/>
              <w:gridCol w:w="615"/>
              <w:gridCol w:w="615"/>
              <w:gridCol w:w="849"/>
              <w:gridCol w:w="492"/>
              <w:gridCol w:w="531"/>
              <w:gridCol w:w="539"/>
              <w:gridCol w:w="615"/>
              <w:gridCol w:w="615"/>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76" w:type="pct"/>
                  <w:vMerge w:val="restart"/>
                  <w:vAlign w:val="center"/>
                </w:tcPr>
                <w:p>
                  <w:pPr>
                    <w:pStyle w:val="35"/>
                  </w:pPr>
                  <w:r>
                    <w:rPr>
                      <w:rFonts w:hint="eastAsia"/>
                    </w:rPr>
                    <w:t>排放源</w:t>
                  </w:r>
                </w:p>
                <w:p>
                  <w:pPr>
                    <w:pStyle w:val="35"/>
                  </w:pPr>
                  <w:r>
                    <w:rPr>
                      <w:rFonts w:hint="eastAsia"/>
                    </w:rPr>
                    <w:t>名称</w:t>
                  </w:r>
                </w:p>
              </w:tc>
              <w:tc>
                <w:tcPr>
                  <w:tcW w:w="548" w:type="pct"/>
                  <w:vMerge w:val="restart"/>
                  <w:vAlign w:val="center"/>
                </w:tcPr>
                <w:p>
                  <w:pPr>
                    <w:pStyle w:val="35"/>
                  </w:pPr>
                  <w:r>
                    <w:rPr>
                      <w:rFonts w:hint="eastAsia"/>
                    </w:rPr>
                    <w:t>污染物名称</w:t>
                  </w:r>
                </w:p>
              </w:tc>
              <w:tc>
                <w:tcPr>
                  <w:tcW w:w="373" w:type="pct"/>
                  <w:vMerge w:val="restart"/>
                  <w:vAlign w:val="center"/>
                </w:tcPr>
                <w:p>
                  <w:pPr>
                    <w:pStyle w:val="35"/>
                  </w:pPr>
                  <w:r>
                    <w:rPr>
                      <w:rFonts w:hint="eastAsia"/>
                    </w:rPr>
                    <w:t>风量</w:t>
                  </w:r>
                </w:p>
              </w:tc>
              <w:tc>
                <w:tcPr>
                  <w:tcW w:w="1121" w:type="pct"/>
                  <w:gridSpan w:val="3"/>
                  <w:vAlign w:val="center"/>
                </w:tcPr>
                <w:p>
                  <w:pPr>
                    <w:pStyle w:val="35"/>
                  </w:pPr>
                  <w:r>
                    <w:rPr>
                      <w:rFonts w:hint="eastAsia"/>
                    </w:rPr>
                    <w:t>产生情况</w:t>
                  </w:r>
                </w:p>
              </w:tc>
              <w:tc>
                <w:tcPr>
                  <w:tcW w:w="516" w:type="pct"/>
                  <w:vMerge w:val="restart"/>
                  <w:vAlign w:val="center"/>
                </w:tcPr>
                <w:p>
                  <w:pPr>
                    <w:pStyle w:val="35"/>
                  </w:pPr>
                  <w:r>
                    <w:rPr>
                      <w:rFonts w:hint="eastAsia"/>
                    </w:rPr>
                    <w:t>污染防治设施工艺</w:t>
                  </w:r>
                </w:p>
              </w:tc>
              <w:tc>
                <w:tcPr>
                  <w:tcW w:w="299" w:type="pct"/>
                  <w:vMerge w:val="restart"/>
                  <w:vAlign w:val="center"/>
                </w:tcPr>
                <w:p>
                  <w:pPr>
                    <w:pStyle w:val="35"/>
                  </w:pPr>
                  <w:r>
                    <w:rPr>
                      <w:rFonts w:hint="eastAsia"/>
                    </w:rPr>
                    <w:t>去除效率</w:t>
                  </w:r>
                </w:p>
              </w:tc>
              <w:tc>
                <w:tcPr>
                  <w:tcW w:w="1024" w:type="pct"/>
                  <w:gridSpan w:val="3"/>
                  <w:vAlign w:val="center"/>
                </w:tcPr>
                <w:p>
                  <w:pPr>
                    <w:pStyle w:val="35"/>
                  </w:pPr>
                  <w:r>
                    <w:rPr>
                      <w:rFonts w:hint="eastAsia"/>
                    </w:rPr>
                    <w:t>排放情况</w:t>
                  </w:r>
                </w:p>
              </w:tc>
              <w:tc>
                <w:tcPr>
                  <w:tcW w:w="739" w:type="pct"/>
                  <w:gridSpan w:val="2"/>
                  <w:vAlign w:val="center"/>
                </w:tcPr>
                <w:p>
                  <w:pPr>
                    <w:pStyle w:val="35"/>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76" w:type="pct"/>
                  <w:vMerge w:val="continue"/>
                  <w:vAlign w:val="center"/>
                </w:tcPr>
                <w:p>
                  <w:pPr>
                    <w:pStyle w:val="35"/>
                  </w:pPr>
                </w:p>
              </w:tc>
              <w:tc>
                <w:tcPr>
                  <w:tcW w:w="548" w:type="pct"/>
                  <w:vMerge w:val="continue"/>
                  <w:vAlign w:val="center"/>
                </w:tcPr>
                <w:p>
                  <w:pPr>
                    <w:pStyle w:val="35"/>
                  </w:pPr>
                </w:p>
              </w:tc>
              <w:tc>
                <w:tcPr>
                  <w:tcW w:w="373" w:type="pct"/>
                  <w:vMerge w:val="continue"/>
                  <w:vAlign w:val="center"/>
                </w:tcPr>
                <w:p>
                  <w:pPr>
                    <w:pStyle w:val="35"/>
                  </w:pPr>
                </w:p>
              </w:tc>
              <w:tc>
                <w:tcPr>
                  <w:tcW w:w="373" w:type="pct"/>
                  <w:vAlign w:val="center"/>
                </w:tcPr>
                <w:p>
                  <w:pPr>
                    <w:pStyle w:val="35"/>
                  </w:pPr>
                  <w:r>
                    <w:rPr>
                      <w:rFonts w:hint="eastAsia"/>
                    </w:rPr>
                    <w:t>浓度</w:t>
                  </w:r>
                </w:p>
                <w:p>
                  <w:pPr>
                    <w:pStyle w:val="35"/>
                  </w:pPr>
                  <w:r>
                    <w:t>mg/m</w:t>
                  </w:r>
                  <w:r>
                    <w:rPr>
                      <w:vertAlign w:val="superscript"/>
                    </w:rPr>
                    <w:t>3</w:t>
                  </w:r>
                </w:p>
              </w:tc>
              <w:tc>
                <w:tcPr>
                  <w:tcW w:w="373" w:type="pct"/>
                  <w:vAlign w:val="center"/>
                </w:tcPr>
                <w:p>
                  <w:pPr>
                    <w:pStyle w:val="35"/>
                  </w:pPr>
                  <w:r>
                    <w:rPr>
                      <w:rFonts w:hint="eastAsia"/>
                    </w:rPr>
                    <w:t>速率</w:t>
                  </w:r>
                </w:p>
                <w:p>
                  <w:pPr>
                    <w:pStyle w:val="35"/>
                  </w:pPr>
                  <w:r>
                    <w:t>kg/h</w:t>
                  </w:r>
                </w:p>
              </w:tc>
              <w:tc>
                <w:tcPr>
                  <w:tcW w:w="373" w:type="pct"/>
                  <w:vAlign w:val="center"/>
                </w:tcPr>
                <w:p>
                  <w:pPr>
                    <w:pStyle w:val="35"/>
                  </w:pPr>
                  <w:r>
                    <w:rPr>
                      <w:rFonts w:hint="eastAsia"/>
                    </w:rPr>
                    <w:t>产生量</w:t>
                  </w:r>
                </w:p>
                <w:p>
                  <w:pPr>
                    <w:pStyle w:val="35"/>
                  </w:pPr>
                  <w:r>
                    <w:t>t/a</w:t>
                  </w:r>
                </w:p>
              </w:tc>
              <w:tc>
                <w:tcPr>
                  <w:tcW w:w="516" w:type="pct"/>
                  <w:vMerge w:val="continue"/>
                  <w:vAlign w:val="center"/>
                </w:tcPr>
                <w:p>
                  <w:pPr>
                    <w:pStyle w:val="35"/>
                  </w:pPr>
                </w:p>
              </w:tc>
              <w:tc>
                <w:tcPr>
                  <w:tcW w:w="299" w:type="pct"/>
                  <w:vMerge w:val="continue"/>
                  <w:vAlign w:val="center"/>
                </w:tcPr>
                <w:p>
                  <w:pPr>
                    <w:pStyle w:val="35"/>
                  </w:pPr>
                </w:p>
              </w:tc>
              <w:tc>
                <w:tcPr>
                  <w:tcW w:w="322" w:type="pct"/>
                  <w:vAlign w:val="center"/>
                </w:tcPr>
                <w:p>
                  <w:pPr>
                    <w:pStyle w:val="35"/>
                  </w:pPr>
                  <w:r>
                    <w:rPr>
                      <w:rFonts w:hint="eastAsia"/>
                    </w:rPr>
                    <w:t>浓度</w:t>
                  </w:r>
                </w:p>
                <w:p>
                  <w:pPr>
                    <w:pStyle w:val="35"/>
                  </w:pPr>
                  <w:r>
                    <w:t>mg/m</w:t>
                  </w:r>
                  <w:r>
                    <w:rPr>
                      <w:vertAlign w:val="superscript"/>
                    </w:rPr>
                    <w:t>3</w:t>
                  </w:r>
                </w:p>
              </w:tc>
              <w:tc>
                <w:tcPr>
                  <w:tcW w:w="327" w:type="pct"/>
                  <w:vAlign w:val="center"/>
                </w:tcPr>
                <w:p>
                  <w:pPr>
                    <w:pStyle w:val="35"/>
                  </w:pPr>
                  <w:r>
                    <w:rPr>
                      <w:rFonts w:hint="eastAsia"/>
                    </w:rPr>
                    <w:t>速率</w:t>
                  </w:r>
                </w:p>
                <w:p>
                  <w:pPr>
                    <w:pStyle w:val="35"/>
                  </w:pPr>
                  <w:r>
                    <w:t>kg/h</w:t>
                  </w:r>
                </w:p>
              </w:tc>
              <w:tc>
                <w:tcPr>
                  <w:tcW w:w="373" w:type="pct"/>
                  <w:vAlign w:val="center"/>
                </w:tcPr>
                <w:p>
                  <w:pPr>
                    <w:pStyle w:val="35"/>
                  </w:pPr>
                  <w:r>
                    <w:rPr>
                      <w:rFonts w:hint="eastAsia"/>
                    </w:rPr>
                    <w:t>排放量</w:t>
                  </w:r>
                </w:p>
                <w:p>
                  <w:pPr>
                    <w:pStyle w:val="35"/>
                  </w:pPr>
                  <w:r>
                    <w:t>t/a</w:t>
                  </w:r>
                </w:p>
              </w:tc>
              <w:tc>
                <w:tcPr>
                  <w:tcW w:w="373" w:type="pct"/>
                  <w:vAlign w:val="center"/>
                </w:tcPr>
                <w:p>
                  <w:pPr>
                    <w:pStyle w:val="35"/>
                  </w:pPr>
                  <w:r>
                    <w:rPr>
                      <w:rFonts w:hint="eastAsia"/>
                    </w:rPr>
                    <w:t>浓度</w:t>
                  </w:r>
                </w:p>
                <w:p>
                  <w:pPr>
                    <w:pStyle w:val="35"/>
                  </w:pPr>
                  <w:r>
                    <w:t>mg/m</w:t>
                  </w:r>
                  <w:r>
                    <w:rPr>
                      <w:vertAlign w:val="superscript"/>
                    </w:rPr>
                    <w:t>3</w:t>
                  </w:r>
                </w:p>
              </w:tc>
              <w:tc>
                <w:tcPr>
                  <w:tcW w:w="366" w:type="pct"/>
                  <w:vAlign w:val="center"/>
                </w:tcPr>
                <w:p>
                  <w:pPr>
                    <w:pStyle w:val="35"/>
                  </w:pPr>
                  <w:r>
                    <w:rPr>
                      <w:rFonts w:hint="eastAsia"/>
                    </w:rPr>
                    <w:t>速率</w:t>
                  </w:r>
                </w:p>
                <w:p>
                  <w:pPr>
                    <w:pStyle w:val="35"/>
                  </w:pPr>
                  <w: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76" w:type="pct"/>
                  <w:vAlign w:val="center"/>
                </w:tcPr>
                <w:p>
                  <w:pPr>
                    <w:pStyle w:val="35"/>
                  </w:pPr>
                  <w:r>
                    <w:t>DA001</w:t>
                  </w:r>
                </w:p>
              </w:tc>
              <w:tc>
                <w:tcPr>
                  <w:tcW w:w="548" w:type="pct"/>
                  <w:noWrap/>
                  <w:vAlign w:val="center"/>
                </w:tcPr>
                <w:p>
                  <w:pPr>
                    <w:pStyle w:val="35"/>
                  </w:pPr>
                  <w:r>
                    <w:rPr>
                      <w:rFonts w:hint="eastAsia"/>
                    </w:rPr>
                    <w:t>非甲烷总烃</w:t>
                  </w:r>
                </w:p>
              </w:tc>
              <w:tc>
                <w:tcPr>
                  <w:tcW w:w="373" w:type="pct"/>
                  <w:noWrap/>
                  <w:vAlign w:val="center"/>
                </w:tcPr>
                <w:p>
                  <w:pPr>
                    <w:pStyle w:val="35"/>
                  </w:pPr>
                  <w:r>
                    <w:t>10000</w:t>
                  </w:r>
                </w:p>
              </w:tc>
              <w:tc>
                <w:tcPr>
                  <w:tcW w:w="373"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45.04</w:t>
                  </w:r>
                </w:p>
              </w:tc>
              <w:tc>
                <w:tcPr>
                  <w:tcW w:w="373"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0.45</w:t>
                  </w:r>
                </w:p>
              </w:tc>
              <w:tc>
                <w:tcPr>
                  <w:tcW w:w="373" w:type="pct"/>
                  <w:vAlign w:val="center"/>
                </w:tcPr>
                <w:p>
                  <w:pPr>
                    <w:pStyle w:val="35"/>
                  </w:pPr>
                  <w:r>
                    <w:t>0.9007</w:t>
                  </w:r>
                </w:p>
              </w:tc>
              <w:tc>
                <w:tcPr>
                  <w:tcW w:w="516" w:type="pct"/>
                  <w:vAlign w:val="center"/>
                </w:tcPr>
                <w:p>
                  <w:pPr>
                    <w:pStyle w:val="35"/>
                    <w:rPr>
                      <w:bCs/>
                    </w:rPr>
                  </w:pPr>
                  <w:r>
                    <w:rPr>
                      <w:rFonts w:hint="eastAsia"/>
                    </w:rPr>
                    <w:t>二级活性炭吸附</w:t>
                  </w:r>
                </w:p>
              </w:tc>
              <w:tc>
                <w:tcPr>
                  <w:tcW w:w="299" w:type="pct"/>
                  <w:vAlign w:val="center"/>
                </w:tcPr>
                <w:p>
                  <w:pPr>
                    <w:pStyle w:val="35"/>
                    <w:rPr>
                      <w:bCs/>
                    </w:rPr>
                  </w:pPr>
                  <w:r>
                    <w:rPr>
                      <w:bCs/>
                    </w:rPr>
                    <w:t>90%</w:t>
                  </w:r>
                </w:p>
              </w:tc>
              <w:tc>
                <w:tcPr>
                  <w:tcW w:w="322"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4.504</w:t>
                  </w:r>
                </w:p>
              </w:tc>
              <w:tc>
                <w:tcPr>
                  <w:tcW w:w="327"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0.045</w:t>
                  </w:r>
                </w:p>
              </w:tc>
              <w:tc>
                <w:tcPr>
                  <w:tcW w:w="373" w:type="pct"/>
                  <w:vAlign w:val="center"/>
                </w:tcPr>
                <w:p>
                  <w:pPr>
                    <w:pStyle w:val="35"/>
                  </w:pPr>
                  <w:r>
                    <w:t>0.0901</w:t>
                  </w:r>
                </w:p>
              </w:tc>
              <w:tc>
                <w:tcPr>
                  <w:tcW w:w="373" w:type="pct"/>
                  <w:vAlign w:val="center"/>
                </w:tcPr>
                <w:p>
                  <w:pPr>
                    <w:pStyle w:val="35"/>
                  </w:pPr>
                  <w:r>
                    <w:t>60</w:t>
                  </w:r>
                </w:p>
              </w:tc>
              <w:tc>
                <w:tcPr>
                  <w:tcW w:w="366" w:type="pct"/>
                  <w:vAlign w:val="center"/>
                </w:tcPr>
                <w:p>
                  <w:pPr>
                    <w:pStyle w:val="35"/>
                  </w:pPr>
                  <w:r>
                    <w:t>3</w:t>
                  </w:r>
                </w:p>
              </w:tc>
            </w:tr>
          </w:tbl>
          <w:p>
            <w:pPr>
              <w:pStyle w:val="12"/>
            </w:pPr>
            <w:r>
              <w:rPr>
                <w:rFonts w:hint="eastAsia"/>
              </w:rPr>
              <w:t>表</w:t>
            </w:r>
            <w:r>
              <w:t xml:space="preserve">4-5  </w:t>
            </w:r>
            <w:r>
              <w:rPr>
                <w:rFonts w:hint="eastAsia"/>
              </w:rPr>
              <w:t>有组织废气排放口情况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790"/>
              <w:gridCol w:w="822"/>
              <w:gridCol w:w="694"/>
              <w:gridCol w:w="1079"/>
              <w:gridCol w:w="788"/>
              <w:gridCol w:w="985"/>
              <w:gridCol w:w="118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77" w:type="pct"/>
                  <w:vMerge w:val="restart"/>
                  <w:vAlign w:val="center"/>
                </w:tcPr>
                <w:p>
                  <w:pPr>
                    <w:pStyle w:val="35"/>
                  </w:pPr>
                  <w:r>
                    <w:rPr>
                      <w:rFonts w:hint="eastAsia"/>
                    </w:rPr>
                    <w:t>排放源</w:t>
                  </w:r>
                </w:p>
                <w:p>
                  <w:pPr>
                    <w:pStyle w:val="35"/>
                  </w:pPr>
                  <w:r>
                    <w:rPr>
                      <w:rFonts w:hint="eastAsia"/>
                    </w:rPr>
                    <w:t>名称</w:t>
                  </w:r>
                </w:p>
              </w:tc>
              <w:tc>
                <w:tcPr>
                  <w:tcW w:w="980" w:type="pct"/>
                  <w:gridSpan w:val="2"/>
                  <w:vAlign w:val="center"/>
                </w:tcPr>
                <w:p>
                  <w:pPr>
                    <w:pStyle w:val="35"/>
                  </w:pPr>
                  <w:r>
                    <w:rPr>
                      <w:rFonts w:hint="eastAsia"/>
                    </w:rPr>
                    <w:t>排气筒底部中心地理坐标</w:t>
                  </w:r>
                </w:p>
              </w:tc>
              <w:tc>
                <w:tcPr>
                  <w:tcW w:w="422" w:type="pct"/>
                  <w:vMerge w:val="restart"/>
                  <w:vAlign w:val="center"/>
                </w:tcPr>
                <w:p>
                  <w:pPr>
                    <w:pStyle w:val="35"/>
                  </w:pPr>
                  <w:r>
                    <w:rPr>
                      <w:rFonts w:hint="eastAsia"/>
                    </w:rPr>
                    <w:t>排气筒高度</w:t>
                  </w:r>
                  <w:r>
                    <w:t>m</w:t>
                  </w:r>
                </w:p>
              </w:tc>
              <w:tc>
                <w:tcPr>
                  <w:tcW w:w="656" w:type="pct"/>
                  <w:vMerge w:val="restart"/>
                  <w:vAlign w:val="center"/>
                </w:tcPr>
                <w:p>
                  <w:pPr>
                    <w:pStyle w:val="35"/>
                  </w:pPr>
                  <w:r>
                    <w:rPr>
                      <w:rFonts w:hint="eastAsia"/>
                    </w:rPr>
                    <w:t>排气筒出口内径</w:t>
                  </w:r>
                  <w:r>
                    <w:t>m</w:t>
                  </w:r>
                </w:p>
              </w:tc>
              <w:tc>
                <w:tcPr>
                  <w:tcW w:w="479" w:type="pct"/>
                  <w:vMerge w:val="restart"/>
                  <w:vAlign w:val="center"/>
                </w:tcPr>
                <w:p>
                  <w:pPr>
                    <w:pStyle w:val="35"/>
                  </w:pPr>
                  <w:r>
                    <w:rPr>
                      <w:rFonts w:hint="eastAsia"/>
                    </w:rPr>
                    <w:t>烟气流速</w:t>
                  </w:r>
                  <w:r>
                    <w:t>m/s</w:t>
                  </w:r>
                </w:p>
              </w:tc>
              <w:tc>
                <w:tcPr>
                  <w:tcW w:w="599" w:type="pct"/>
                  <w:vMerge w:val="restart"/>
                  <w:vAlign w:val="center"/>
                </w:tcPr>
                <w:p>
                  <w:pPr>
                    <w:pStyle w:val="35"/>
                  </w:pPr>
                  <w:r>
                    <w:rPr>
                      <w:rFonts w:hint="eastAsia"/>
                    </w:rPr>
                    <w:t>烟气温度</w:t>
                  </w:r>
                  <w:r>
                    <w:rPr>
                      <w:rFonts w:ascii="宋体" w:hAnsi="宋体" w:cs="宋体"/>
                    </w:rPr>
                    <w:t>℃</w:t>
                  </w:r>
                </w:p>
              </w:tc>
              <w:tc>
                <w:tcPr>
                  <w:tcW w:w="719" w:type="pct"/>
                  <w:vMerge w:val="restart"/>
                  <w:vAlign w:val="center"/>
                </w:tcPr>
                <w:p>
                  <w:pPr>
                    <w:pStyle w:val="35"/>
                  </w:pPr>
                  <w:r>
                    <w:rPr>
                      <w:rFonts w:hint="eastAsia"/>
                    </w:rPr>
                    <w:t>排放时间（</w:t>
                  </w:r>
                  <w:r>
                    <w:t>h</w:t>
                  </w:r>
                  <w:r>
                    <w:rPr>
                      <w:rFonts w:hint="eastAsia"/>
                    </w:rPr>
                    <w:t>）</w:t>
                  </w:r>
                </w:p>
              </w:tc>
              <w:tc>
                <w:tcPr>
                  <w:tcW w:w="568" w:type="pct"/>
                  <w:vMerge w:val="restart"/>
                  <w:vAlign w:val="center"/>
                </w:tcPr>
                <w:p>
                  <w:pPr>
                    <w:pStyle w:val="35"/>
                  </w:pPr>
                  <w:r>
                    <w:rPr>
                      <w:rFonts w:hint="eastAsia"/>
                    </w:rPr>
                    <w:t>排放类型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7" w:type="pct"/>
                  <w:vMerge w:val="continue"/>
                  <w:vAlign w:val="center"/>
                </w:tcPr>
                <w:p>
                  <w:pPr>
                    <w:pStyle w:val="35"/>
                  </w:pPr>
                </w:p>
              </w:tc>
              <w:tc>
                <w:tcPr>
                  <w:tcW w:w="480" w:type="pct"/>
                  <w:vAlign w:val="center"/>
                </w:tcPr>
                <w:p>
                  <w:pPr>
                    <w:pStyle w:val="35"/>
                  </w:pPr>
                  <w:r>
                    <w:rPr>
                      <w:rFonts w:hint="eastAsia"/>
                    </w:rPr>
                    <w:t>经度</w:t>
                  </w:r>
                </w:p>
              </w:tc>
              <w:tc>
                <w:tcPr>
                  <w:tcW w:w="500" w:type="pct"/>
                  <w:vAlign w:val="center"/>
                </w:tcPr>
                <w:p>
                  <w:pPr>
                    <w:pStyle w:val="35"/>
                  </w:pPr>
                  <w:r>
                    <w:rPr>
                      <w:rFonts w:hint="eastAsia"/>
                    </w:rPr>
                    <w:t>纬度</w:t>
                  </w:r>
                </w:p>
              </w:tc>
              <w:tc>
                <w:tcPr>
                  <w:tcW w:w="422" w:type="pct"/>
                  <w:vMerge w:val="continue"/>
                  <w:vAlign w:val="center"/>
                </w:tcPr>
                <w:p>
                  <w:pPr>
                    <w:pStyle w:val="35"/>
                  </w:pPr>
                </w:p>
              </w:tc>
              <w:tc>
                <w:tcPr>
                  <w:tcW w:w="656" w:type="pct"/>
                  <w:vMerge w:val="continue"/>
                  <w:vAlign w:val="center"/>
                </w:tcPr>
                <w:p>
                  <w:pPr>
                    <w:pStyle w:val="35"/>
                  </w:pPr>
                </w:p>
              </w:tc>
              <w:tc>
                <w:tcPr>
                  <w:tcW w:w="479" w:type="pct"/>
                  <w:vMerge w:val="continue"/>
                  <w:vAlign w:val="center"/>
                </w:tcPr>
                <w:p>
                  <w:pPr>
                    <w:pStyle w:val="35"/>
                  </w:pPr>
                </w:p>
              </w:tc>
              <w:tc>
                <w:tcPr>
                  <w:tcW w:w="599" w:type="pct"/>
                  <w:vMerge w:val="continue"/>
                  <w:vAlign w:val="center"/>
                </w:tcPr>
                <w:p>
                  <w:pPr>
                    <w:pStyle w:val="35"/>
                  </w:pPr>
                </w:p>
              </w:tc>
              <w:tc>
                <w:tcPr>
                  <w:tcW w:w="719" w:type="pct"/>
                  <w:vMerge w:val="continue"/>
                  <w:vAlign w:val="center"/>
                </w:tcPr>
                <w:p>
                  <w:pPr>
                    <w:pStyle w:val="35"/>
                  </w:pPr>
                </w:p>
              </w:tc>
              <w:tc>
                <w:tcPr>
                  <w:tcW w:w="568"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77" w:type="pct"/>
                  <w:vAlign w:val="center"/>
                </w:tcPr>
                <w:p>
                  <w:pPr>
                    <w:pStyle w:val="35"/>
                  </w:pPr>
                  <w:r>
                    <w:t>DA001</w:t>
                  </w:r>
                </w:p>
              </w:tc>
              <w:tc>
                <w:tcPr>
                  <w:tcW w:w="480" w:type="pct"/>
                  <w:vAlign w:val="center"/>
                </w:tcPr>
                <w:p>
                  <w:pPr>
                    <w:pStyle w:val="35"/>
                  </w:pPr>
                  <w:r>
                    <w:t>120.4397</w:t>
                  </w:r>
                </w:p>
              </w:tc>
              <w:tc>
                <w:tcPr>
                  <w:tcW w:w="500" w:type="pct"/>
                  <w:vAlign w:val="center"/>
                </w:tcPr>
                <w:p>
                  <w:pPr>
                    <w:pStyle w:val="35"/>
                  </w:pPr>
                  <w:r>
                    <w:t>31.3686</w:t>
                  </w:r>
                </w:p>
              </w:tc>
              <w:tc>
                <w:tcPr>
                  <w:tcW w:w="422" w:type="pct"/>
                  <w:vAlign w:val="center"/>
                </w:tcPr>
                <w:p>
                  <w:pPr>
                    <w:pStyle w:val="35"/>
                  </w:pPr>
                  <w:r>
                    <w:t>15</w:t>
                  </w:r>
                </w:p>
              </w:tc>
              <w:tc>
                <w:tcPr>
                  <w:tcW w:w="656" w:type="pct"/>
                  <w:vAlign w:val="center"/>
                </w:tcPr>
                <w:p>
                  <w:pPr>
                    <w:pStyle w:val="35"/>
                  </w:pPr>
                  <w:r>
                    <w:t>0.6</w:t>
                  </w:r>
                </w:p>
              </w:tc>
              <w:tc>
                <w:tcPr>
                  <w:tcW w:w="479" w:type="pct"/>
                  <w:vAlign w:val="center"/>
                </w:tcPr>
                <w:p>
                  <w:pPr>
                    <w:pStyle w:val="35"/>
                  </w:pPr>
                  <w:r>
                    <w:t>9.82</w:t>
                  </w:r>
                </w:p>
              </w:tc>
              <w:tc>
                <w:tcPr>
                  <w:tcW w:w="599" w:type="pct"/>
                  <w:vAlign w:val="center"/>
                </w:tcPr>
                <w:p>
                  <w:pPr>
                    <w:pStyle w:val="35"/>
                  </w:pPr>
                  <w:r>
                    <w:t>25</w:t>
                  </w:r>
                </w:p>
              </w:tc>
              <w:tc>
                <w:tcPr>
                  <w:tcW w:w="719" w:type="pct"/>
                  <w:vAlign w:val="center"/>
                </w:tcPr>
                <w:p>
                  <w:pPr>
                    <w:pStyle w:val="35"/>
                  </w:pPr>
                  <w:r>
                    <w:t>2000</w:t>
                  </w:r>
                </w:p>
              </w:tc>
              <w:tc>
                <w:tcPr>
                  <w:tcW w:w="568" w:type="pct"/>
                  <w:vAlign w:val="center"/>
                </w:tcPr>
                <w:p>
                  <w:pPr>
                    <w:pStyle w:val="35"/>
                  </w:pPr>
                  <w:r>
                    <w:rPr>
                      <w:rFonts w:hint="eastAsia"/>
                    </w:rPr>
                    <w:t>一般排放口</w:t>
                  </w:r>
                </w:p>
              </w:tc>
            </w:tr>
          </w:tbl>
          <w:p>
            <w:pPr>
              <w:pStyle w:val="12"/>
              <w:jc w:val="both"/>
            </w:pPr>
          </w:p>
          <w:p>
            <w:pPr>
              <w:pStyle w:val="12"/>
            </w:pPr>
            <w:r>
              <w:rPr>
                <w:rFonts w:hint="eastAsia"/>
              </w:rPr>
              <w:t>表</w:t>
            </w:r>
            <w:r>
              <w:t xml:space="preserve">4-6  </w:t>
            </w:r>
            <w:r>
              <w:rPr>
                <w:rFonts w:hint="eastAsia"/>
              </w:rPr>
              <w:t>无组织废气排放情况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452"/>
              <w:gridCol w:w="689"/>
              <w:gridCol w:w="798"/>
              <w:gridCol w:w="628"/>
              <w:gridCol w:w="630"/>
              <w:gridCol w:w="747"/>
              <w:gridCol w:w="745"/>
              <w:gridCol w:w="689"/>
              <w:gridCol w:w="493"/>
              <w:gridCol w:w="788"/>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2" w:type="pct"/>
                  <w:vMerge w:val="restart"/>
                  <w:vAlign w:val="center"/>
                </w:tcPr>
                <w:p>
                  <w:pPr>
                    <w:pStyle w:val="35"/>
                  </w:pPr>
                  <w:r>
                    <w:rPr>
                      <w:rFonts w:hint="eastAsia"/>
                    </w:rPr>
                    <w:t>编号</w:t>
                  </w:r>
                </w:p>
              </w:tc>
              <w:tc>
                <w:tcPr>
                  <w:tcW w:w="275" w:type="pct"/>
                  <w:vMerge w:val="restart"/>
                  <w:vAlign w:val="center"/>
                </w:tcPr>
                <w:p>
                  <w:pPr>
                    <w:pStyle w:val="35"/>
                  </w:pPr>
                  <w:r>
                    <w:rPr>
                      <w:rFonts w:hint="eastAsia"/>
                    </w:rPr>
                    <w:t>名称</w:t>
                  </w:r>
                </w:p>
              </w:tc>
              <w:tc>
                <w:tcPr>
                  <w:tcW w:w="904" w:type="pct"/>
                  <w:gridSpan w:val="2"/>
                  <w:vAlign w:val="center"/>
                </w:tcPr>
                <w:p>
                  <w:pPr>
                    <w:pStyle w:val="35"/>
                  </w:pPr>
                  <w:r>
                    <w:rPr>
                      <w:rFonts w:hint="eastAsia"/>
                    </w:rPr>
                    <w:t>面源起点地理坐标</w:t>
                  </w:r>
                </w:p>
              </w:tc>
              <w:tc>
                <w:tcPr>
                  <w:tcW w:w="382" w:type="pct"/>
                  <w:vMerge w:val="restart"/>
                  <w:vAlign w:val="center"/>
                </w:tcPr>
                <w:p>
                  <w:pPr>
                    <w:pStyle w:val="35"/>
                  </w:pPr>
                  <w:r>
                    <w:rPr>
                      <w:rFonts w:hint="eastAsia"/>
                    </w:rPr>
                    <w:t>面源长度</w:t>
                  </w:r>
                  <w:r>
                    <w:t>/m</w:t>
                  </w:r>
                </w:p>
              </w:tc>
              <w:tc>
                <w:tcPr>
                  <w:tcW w:w="383" w:type="pct"/>
                  <w:vMerge w:val="restart"/>
                  <w:vAlign w:val="center"/>
                </w:tcPr>
                <w:p>
                  <w:pPr>
                    <w:pStyle w:val="35"/>
                  </w:pPr>
                  <w:r>
                    <w:rPr>
                      <w:rFonts w:hint="eastAsia"/>
                    </w:rPr>
                    <w:t>面源宽度</w:t>
                  </w:r>
                  <w:r>
                    <w:t>/m</w:t>
                  </w:r>
                </w:p>
              </w:tc>
              <w:tc>
                <w:tcPr>
                  <w:tcW w:w="454" w:type="pct"/>
                  <w:vMerge w:val="restart"/>
                  <w:vAlign w:val="center"/>
                </w:tcPr>
                <w:p>
                  <w:pPr>
                    <w:pStyle w:val="35"/>
                  </w:pPr>
                  <w:r>
                    <w:rPr>
                      <w:rFonts w:hint="eastAsia"/>
                    </w:rPr>
                    <w:t>与正北向夹角</w:t>
                  </w:r>
                  <w:r>
                    <w:t>/°</w:t>
                  </w:r>
                </w:p>
              </w:tc>
              <w:tc>
                <w:tcPr>
                  <w:tcW w:w="453" w:type="pct"/>
                  <w:vMerge w:val="restart"/>
                  <w:vAlign w:val="center"/>
                </w:tcPr>
                <w:p>
                  <w:pPr>
                    <w:pStyle w:val="35"/>
                  </w:pPr>
                  <w:r>
                    <w:rPr>
                      <w:rFonts w:hint="eastAsia"/>
                    </w:rPr>
                    <w:t>面源有效排放高度</w:t>
                  </w:r>
                  <w:r>
                    <w:t>/m</w:t>
                  </w:r>
                </w:p>
              </w:tc>
              <w:tc>
                <w:tcPr>
                  <w:tcW w:w="419" w:type="pct"/>
                  <w:vMerge w:val="restart"/>
                  <w:vAlign w:val="center"/>
                </w:tcPr>
                <w:p>
                  <w:pPr>
                    <w:pStyle w:val="35"/>
                  </w:pPr>
                  <w:r>
                    <w:rPr>
                      <w:rFonts w:hint="eastAsia"/>
                    </w:rPr>
                    <w:t>年排放小时数</w:t>
                  </w:r>
                  <w:r>
                    <w:t>/h</w:t>
                  </w:r>
                </w:p>
              </w:tc>
              <w:tc>
                <w:tcPr>
                  <w:tcW w:w="300" w:type="pct"/>
                  <w:vMerge w:val="restart"/>
                  <w:vAlign w:val="center"/>
                </w:tcPr>
                <w:p>
                  <w:pPr>
                    <w:pStyle w:val="35"/>
                  </w:pPr>
                  <w:r>
                    <w:rPr>
                      <w:rFonts w:hint="eastAsia"/>
                    </w:rPr>
                    <w:t>排放工况</w:t>
                  </w:r>
                </w:p>
              </w:tc>
              <w:tc>
                <w:tcPr>
                  <w:tcW w:w="1048" w:type="pct"/>
                  <w:gridSpan w:val="2"/>
                  <w:vAlign w:val="center"/>
                </w:tcPr>
                <w:p>
                  <w:pPr>
                    <w:pStyle w:val="35"/>
                  </w:pPr>
                  <w:r>
                    <w:rPr>
                      <w:rFonts w:hint="eastAsia"/>
                    </w:rPr>
                    <w:t>污染物排放速率</w:t>
                  </w:r>
                  <w:r>
                    <w:t>/</w:t>
                  </w:r>
                  <w:r>
                    <w:rPr>
                      <w:rFonts w:hint="eastAsia"/>
                    </w:rPr>
                    <w:t>（</w:t>
                  </w:r>
                  <w:r>
                    <w:t>kg/h</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2" w:type="pct"/>
                  <w:vMerge w:val="continue"/>
                  <w:vAlign w:val="center"/>
                </w:tcPr>
                <w:p>
                  <w:pPr>
                    <w:pStyle w:val="35"/>
                  </w:pPr>
                </w:p>
              </w:tc>
              <w:tc>
                <w:tcPr>
                  <w:tcW w:w="275" w:type="pct"/>
                  <w:vMerge w:val="continue"/>
                  <w:vAlign w:val="center"/>
                </w:tcPr>
                <w:p>
                  <w:pPr>
                    <w:pStyle w:val="35"/>
                  </w:pPr>
                </w:p>
              </w:tc>
              <w:tc>
                <w:tcPr>
                  <w:tcW w:w="419" w:type="pct"/>
                  <w:vAlign w:val="center"/>
                </w:tcPr>
                <w:p>
                  <w:pPr>
                    <w:pStyle w:val="35"/>
                  </w:pPr>
                  <w:r>
                    <w:rPr>
                      <w:rFonts w:hint="eastAsia"/>
                    </w:rPr>
                    <w:t>经度</w:t>
                  </w:r>
                </w:p>
              </w:tc>
              <w:tc>
                <w:tcPr>
                  <w:tcW w:w="485" w:type="pct"/>
                  <w:vAlign w:val="center"/>
                </w:tcPr>
                <w:p>
                  <w:pPr>
                    <w:pStyle w:val="35"/>
                  </w:pPr>
                  <w:r>
                    <w:rPr>
                      <w:rFonts w:hint="eastAsia"/>
                    </w:rPr>
                    <w:t>纬度</w:t>
                  </w:r>
                </w:p>
              </w:tc>
              <w:tc>
                <w:tcPr>
                  <w:tcW w:w="382" w:type="pct"/>
                  <w:vMerge w:val="continue"/>
                  <w:vAlign w:val="center"/>
                </w:tcPr>
                <w:p>
                  <w:pPr>
                    <w:pStyle w:val="35"/>
                  </w:pPr>
                </w:p>
              </w:tc>
              <w:tc>
                <w:tcPr>
                  <w:tcW w:w="383" w:type="pct"/>
                  <w:vMerge w:val="continue"/>
                  <w:vAlign w:val="center"/>
                </w:tcPr>
                <w:p>
                  <w:pPr>
                    <w:pStyle w:val="35"/>
                  </w:pPr>
                </w:p>
              </w:tc>
              <w:tc>
                <w:tcPr>
                  <w:tcW w:w="454" w:type="pct"/>
                  <w:vMerge w:val="continue"/>
                  <w:vAlign w:val="center"/>
                </w:tcPr>
                <w:p>
                  <w:pPr>
                    <w:pStyle w:val="35"/>
                  </w:pPr>
                </w:p>
              </w:tc>
              <w:tc>
                <w:tcPr>
                  <w:tcW w:w="453" w:type="pct"/>
                  <w:vMerge w:val="continue"/>
                  <w:vAlign w:val="center"/>
                </w:tcPr>
                <w:p>
                  <w:pPr>
                    <w:pStyle w:val="35"/>
                  </w:pPr>
                </w:p>
              </w:tc>
              <w:tc>
                <w:tcPr>
                  <w:tcW w:w="419" w:type="pct"/>
                  <w:vMerge w:val="continue"/>
                  <w:vAlign w:val="center"/>
                </w:tcPr>
                <w:p>
                  <w:pPr>
                    <w:pStyle w:val="35"/>
                  </w:pPr>
                </w:p>
              </w:tc>
              <w:tc>
                <w:tcPr>
                  <w:tcW w:w="300" w:type="pct"/>
                  <w:vMerge w:val="continue"/>
                  <w:vAlign w:val="center"/>
                </w:tcPr>
                <w:p>
                  <w:pPr>
                    <w:pStyle w:val="35"/>
                  </w:pPr>
                </w:p>
              </w:tc>
              <w:tc>
                <w:tcPr>
                  <w:tcW w:w="479" w:type="pct"/>
                  <w:vAlign w:val="center"/>
                </w:tcPr>
                <w:p>
                  <w:pPr>
                    <w:pStyle w:val="35"/>
                  </w:pPr>
                  <w:r>
                    <w:rPr>
                      <w:rFonts w:hint="eastAsia"/>
                    </w:rPr>
                    <w:t>非甲烷总烃</w:t>
                  </w:r>
                </w:p>
              </w:tc>
              <w:tc>
                <w:tcPr>
                  <w:tcW w:w="569" w:type="pct"/>
                  <w:vAlign w:val="center"/>
                </w:tcPr>
                <w:p>
                  <w:pPr>
                    <w:pStyle w:val="35"/>
                  </w:pPr>
                  <w:r>
                    <w:rPr>
                      <w:rFonts w:hint="eastAsia"/>
                    </w:rPr>
                    <w:t>锡及其化合物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82" w:type="pct"/>
                  <w:vAlign w:val="center"/>
                </w:tcPr>
                <w:p>
                  <w:pPr>
                    <w:pStyle w:val="35"/>
                  </w:pPr>
                  <w:r>
                    <w:t>1</w:t>
                  </w:r>
                </w:p>
              </w:tc>
              <w:tc>
                <w:tcPr>
                  <w:tcW w:w="275" w:type="pct"/>
                  <w:vAlign w:val="center"/>
                </w:tcPr>
                <w:p>
                  <w:pPr>
                    <w:pStyle w:val="35"/>
                  </w:pPr>
                  <w:r>
                    <w:rPr>
                      <w:rFonts w:hint="eastAsia"/>
                    </w:rPr>
                    <w:t>生产厂房</w:t>
                  </w:r>
                </w:p>
              </w:tc>
              <w:tc>
                <w:tcPr>
                  <w:tcW w:w="419" w:type="pct"/>
                  <w:vAlign w:val="center"/>
                </w:tcPr>
                <w:p>
                  <w:pPr>
                    <w:pStyle w:val="35"/>
                  </w:pPr>
                  <w:r>
                    <w:t>120.4397</w:t>
                  </w:r>
                </w:p>
              </w:tc>
              <w:tc>
                <w:tcPr>
                  <w:tcW w:w="485" w:type="pct"/>
                  <w:vAlign w:val="center"/>
                </w:tcPr>
                <w:p>
                  <w:pPr>
                    <w:pStyle w:val="35"/>
                  </w:pPr>
                  <w:r>
                    <w:t>31.3686</w:t>
                  </w:r>
                </w:p>
              </w:tc>
              <w:tc>
                <w:tcPr>
                  <w:tcW w:w="382" w:type="pct"/>
                  <w:vAlign w:val="center"/>
                </w:tcPr>
                <w:p>
                  <w:pPr>
                    <w:pStyle w:val="35"/>
                  </w:pPr>
                  <w:r>
                    <w:t>50</w:t>
                  </w:r>
                </w:p>
              </w:tc>
              <w:tc>
                <w:tcPr>
                  <w:tcW w:w="383" w:type="pct"/>
                  <w:vAlign w:val="center"/>
                </w:tcPr>
                <w:p>
                  <w:pPr>
                    <w:pStyle w:val="35"/>
                  </w:pPr>
                  <w:r>
                    <w:t>100</w:t>
                  </w:r>
                </w:p>
              </w:tc>
              <w:tc>
                <w:tcPr>
                  <w:tcW w:w="454" w:type="pct"/>
                  <w:vAlign w:val="center"/>
                </w:tcPr>
                <w:p>
                  <w:pPr>
                    <w:pStyle w:val="35"/>
                  </w:pPr>
                  <w:r>
                    <w:t>0</w:t>
                  </w:r>
                </w:p>
              </w:tc>
              <w:tc>
                <w:tcPr>
                  <w:tcW w:w="453" w:type="pct"/>
                  <w:vAlign w:val="center"/>
                </w:tcPr>
                <w:p>
                  <w:pPr>
                    <w:pStyle w:val="35"/>
                  </w:pPr>
                  <w:r>
                    <w:t>8</w:t>
                  </w:r>
                </w:p>
              </w:tc>
              <w:tc>
                <w:tcPr>
                  <w:tcW w:w="419" w:type="pct"/>
                  <w:vAlign w:val="center"/>
                </w:tcPr>
                <w:p>
                  <w:pPr>
                    <w:pStyle w:val="35"/>
                  </w:pPr>
                  <w:r>
                    <w:t>2000</w:t>
                  </w:r>
                </w:p>
              </w:tc>
              <w:tc>
                <w:tcPr>
                  <w:tcW w:w="300" w:type="pct"/>
                  <w:vAlign w:val="center"/>
                </w:tcPr>
                <w:p>
                  <w:pPr>
                    <w:pStyle w:val="35"/>
                  </w:pPr>
                  <w:r>
                    <w:rPr>
                      <w:rFonts w:hint="eastAsia"/>
                    </w:rPr>
                    <w:t>间断</w:t>
                  </w:r>
                </w:p>
              </w:tc>
              <w:tc>
                <w:tcPr>
                  <w:tcW w:w="479" w:type="pct"/>
                  <w:vAlign w:val="center"/>
                </w:tcPr>
                <w:p>
                  <w:pPr>
                    <w:pStyle w:val="35"/>
                  </w:pPr>
                  <w:r>
                    <w:t>0.0259</w:t>
                  </w:r>
                </w:p>
              </w:tc>
              <w:tc>
                <w:tcPr>
                  <w:tcW w:w="569" w:type="pct"/>
                  <w:vAlign w:val="center"/>
                </w:tcPr>
                <w:p>
                  <w:pPr>
                    <w:pStyle w:val="35"/>
                  </w:pPr>
                  <w:r>
                    <w:t>0.00007</w:t>
                  </w:r>
                </w:p>
              </w:tc>
            </w:tr>
          </w:tbl>
          <w:p>
            <w:pPr>
              <w:pStyle w:val="14"/>
            </w:pPr>
          </w:p>
          <w:p>
            <w:pPr>
              <w:pStyle w:val="14"/>
            </w:pPr>
            <w:r>
              <w:t>2</w:t>
            </w:r>
            <w:r>
              <w:rPr>
                <w:rFonts w:hint="eastAsia"/>
              </w:rPr>
              <w:t>、排气口设置情况及监测计划</w:t>
            </w:r>
          </w:p>
          <w:p>
            <w:pPr>
              <w:pStyle w:val="29"/>
              <w:ind w:firstLine="480"/>
            </w:pPr>
            <w:r>
              <w:rPr>
                <w:rFonts w:hint="eastAsia"/>
              </w:rPr>
              <w:t>参考《排污单位自行监测技术指南</w:t>
            </w:r>
            <w:r>
              <w:t xml:space="preserve"> </w:t>
            </w:r>
            <w:r>
              <w:rPr>
                <w:rFonts w:hint="eastAsia"/>
              </w:rPr>
              <w:t>总则》（</w:t>
            </w:r>
            <w:r>
              <w:t>HJ819-2017</w:t>
            </w:r>
            <w:r>
              <w:rPr>
                <w:rFonts w:hint="eastAsia"/>
              </w:rPr>
              <w:t>）、《排污单位自行监测技术指南 电子工业》（</w:t>
            </w:r>
            <w:r>
              <w:t>HJ 1253—2022</w:t>
            </w:r>
            <w:r>
              <w:rPr>
                <w:rFonts w:hint="eastAsia"/>
              </w:rPr>
              <w:t>），本项目大气监测计划见下表。</w:t>
            </w:r>
          </w:p>
          <w:p>
            <w:pPr>
              <w:pStyle w:val="12"/>
            </w:pPr>
            <w:r>
              <w:rPr>
                <w:rFonts w:hint="eastAsia"/>
              </w:rPr>
              <w:t>表</w:t>
            </w:r>
            <w:r>
              <w:t xml:space="preserve">4-7  </w:t>
            </w:r>
            <w:r>
              <w:rPr>
                <w:rFonts w:hint="eastAsia"/>
              </w:rPr>
              <w:t>项目排气口设置及大气污染物监测计划</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541"/>
              <w:gridCol w:w="597"/>
              <w:gridCol w:w="597"/>
              <w:gridCol w:w="630"/>
              <w:gridCol w:w="673"/>
              <w:gridCol w:w="852"/>
              <w:gridCol w:w="1133"/>
              <w:gridCol w:w="1135"/>
              <w:gridCol w:w="719"/>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Merge w:val="restart"/>
                  <w:vAlign w:val="center"/>
                </w:tcPr>
                <w:p>
                  <w:pPr>
                    <w:pStyle w:val="35"/>
                  </w:pPr>
                  <w:r>
                    <w:rPr>
                      <w:rFonts w:hint="eastAsia"/>
                    </w:rPr>
                    <w:t>污染源类别</w:t>
                  </w:r>
                </w:p>
              </w:tc>
              <w:tc>
                <w:tcPr>
                  <w:tcW w:w="328" w:type="pct"/>
                  <w:vMerge w:val="restart"/>
                  <w:vAlign w:val="center"/>
                </w:tcPr>
                <w:p>
                  <w:pPr>
                    <w:pStyle w:val="35"/>
                  </w:pPr>
                  <w:r>
                    <w:rPr>
                      <w:rFonts w:hint="eastAsia"/>
                    </w:rPr>
                    <w:t>排污口编号及名称</w:t>
                  </w:r>
                </w:p>
              </w:tc>
              <w:tc>
                <w:tcPr>
                  <w:tcW w:w="1518" w:type="pct"/>
                  <w:gridSpan w:val="4"/>
                  <w:vAlign w:val="center"/>
                </w:tcPr>
                <w:p>
                  <w:pPr>
                    <w:pStyle w:val="35"/>
                  </w:pPr>
                  <w:r>
                    <w:rPr>
                      <w:rFonts w:hint="eastAsia"/>
                    </w:rPr>
                    <w:t>排放口基本情况</w:t>
                  </w:r>
                </w:p>
              </w:tc>
              <w:tc>
                <w:tcPr>
                  <w:tcW w:w="1896" w:type="pct"/>
                  <w:gridSpan w:val="3"/>
                  <w:vAlign w:val="center"/>
                </w:tcPr>
                <w:p>
                  <w:pPr>
                    <w:pStyle w:val="35"/>
                  </w:pPr>
                  <w:r>
                    <w:rPr>
                      <w:rFonts w:hint="eastAsia"/>
                    </w:rPr>
                    <w:t>监测要求</w:t>
                  </w:r>
                </w:p>
              </w:tc>
              <w:tc>
                <w:tcPr>
                  <w:tcW w:w="925" w:type="pct"/>
                  <w:gridSpan w:val="2"/>
                  <w:vAlign w:val="center"/>
                </w:tcPr>
                <w:p>
                  <w:pPr>
                    <w:pStyle w:val="35"/>
                  </w:pPr>
                  <w:r>
                    <w:rPr>
                      <w:rFonts w:hint="eastAsia"/>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Merge w:val="continue"/>
                  <w:vAlign w:val="center"/>
                </w:tcPr>
                <w:p>
                  <w:pPr>
                    <w:pStyle w:val="35"/>
                  </w:pPr>
                </w:p>
              </w:tc>
              <w:tc>
                <w:tcPr>
                  <w:tcW w:w="328" w:type="pct"/>
                  <w:vMerge w:val="continue"/>
                  <w:vAlign w:val="center"/>
                </w:tcPr>
                <w:p>
                  <w:pPr>
                    <w:pStyle w:val="35"/>
                  </w:pPr>
                </w:p>
              </w:tc>
              <w:tc>
                <w:tcPr>
                  <w:tcW w:w="362" w:type="pct"/>
                  <w:vAlign w:val="center"/>
                </w:tcPr>
                <w:p>
                  <w:pPr>
                    <w:pStyle w:val="35"/>
                  </w:pPr>
                  <w:r>
                    <w:rPr>
                      <w:rFonts w:hint="eastAsia"/>
                    </w:rPr>
                    <w:t>高度（</w:t>
                  </w:r>
                  <w:r>
                    <w:t>m</w:t>
                  </w:r>
                  <w:r>
                    <w:rPr>
                      <w:rFonts w:hint="eastAsia"/>
                    </w:rPr>
                    <w:t>）</w:t>
                  </w:r>
                </w:p>
              </w:tc>
              <w:tc>
                <w:tcPr>
                  <w:tcW w:w="362" w:type="pct"/>
                  <w:vAlign w:val="center"/>
                </w:tcPr>
                <w:p>
                  <w:pPr>
                    <w:pStyle w:val="35"/>
                  </w:pPr>
                  <w:r>
                    <w:rPr>
                      <w:rFonts w:hint="eastAsia"/>
                    </w:rPr>
                    <w:t>内径（</w:t>
                  </w:r>
                  <w:r>
                    <w:t>m</w:t>
                  </w:r>
                  <w:r>
                    <w:rPr>
                      <w:rFonts w:hint="eastAsia"/>
                    </w:rPr>
                    <w:t>）</w:t>
                  </w:r>
                </w:p>
              </w:tc>
              <w:tc>
                <w:tcPr>
                  <w:tcW w:w="383" w:type="pct"/>
                  <w:vAlign w:val="center"/>
                </w:tcPr>
                <w:p>
                  <w:pPr>
                    <w:pStyle w:val="35"/>
                  </w:pPr>
                  <w:r>
                    <w:rPr>
                      <w:rFonts w:hint="eastAsia"/>
                    </w:rPr>
                    <w:t>温度（</w:t>
                  </w:r>
                  <w:r>
                    <w:rPr>
                      <w:rFonts w:ascii="宋体" w:hAnsi="宋体" w:cs="宋体"/>
                    </w:rPr>
                    <w:t>℃</w:t>
                  </w:r>
                  <w:r>
                    <w:rPr>
                      <w:rFonts w:hint="eastAsia"/>
                    </w:rPr>
                    <w:t>）</w:t>
                  </w:r>
                </w:p>
              </w:tc>
              <w:tc>
                <w:tcPr>
                  <w:tcW w:w="409" w:type="pct"/>
                  <w:vAlign w:val="center"/>
                </w:tcPr>
                <w:p>
                  <w:pPr>
                    <w:pStyle w:val="35"/>
                  </w:pPr>
                  <w:r>
                    <w:rPr>
                      <w:rFonts w:hint="eastAsia"/>
                    </w:rPr>
                    <w:t>类型</w:t>
                  </w:r>
                </w:p>
              </w:tc>
              <w:tc>
                <w:tcPr>
                  <w:tcW w:w="517" w:type="pct"/>
                  <w:vAlign w:val="center"/>
                </w:tcPr>
                <w:p>
                  <w:pPr>
                    <w:pStyle w:val="35"/>
                  </w:pPr>
                  <w:r>
                    <w:rPr>
                      <w:rFonts w:hint="eastAsia"/>
                    </w:rPr>
                    <w:t>监测点位</w:t>
                  </w:r>
                </w:p>
              </w:tc>
              <w:tc>
                <w:tcPr>
                  <w:tcW w:w="688" w:type="pct"/>
                  <w:vAlign w:val="center"/>
                </w:tcPr>
                <w:p>
                  <w:pPr>
                    <w:pStyle w:val="35"/>
                  </w:pPr>
                  <w:r>
                    <w:rPr>
                      <w:rFonts w:hint="eastAsia"/>
                    </w:rPr>
                    <w:t>监测因子</w:t>
                  </w:r>
                </w:p>
              </w:tc>
              <w:tc>
                <w:tcPr>
                  <w:tcW w:w="690" w:type="pct"/>
                  <w:vAlign w:val="center"/>
                </w:tcPr>
                <w:p>
                  <w:pPr>
                    <w:pStyle w:val="35"/>
                  </w:pPr>
                  <w:r>
                    <w:rPr>
                      <w:rFonts w:hint="eastAsia"/>
                    </w:rPr>
                    <w:t>监测频次</w:t>
                  </w:r>
                </w:p>
              </w:tc>
              <w:tc>
                <w:tcPr>
                  <w:tcW w:w="437" w:type="pct"/>
                  <w:vAlign w:val="center"/>
                </w:tcPr>
                <w:p>
                  <w:pPr>
                    <w:pStyle w:val="35"/>
                  </w:pPr>
                  <w:r>
                    <w:rPr>
                      <w:rFonts w:hint="eastAsia"/>
                    </w:rPr>
                    <w:t>浓度限值（</w:t>
                  </w:r>
                  <w:r>
                    <w:t>mg/m</w:t>
                  </w:r>
                  <w:r>
                    <w:rPr>
                      <w:vertAlign w:val="superscript"/>
                    </w:rPr>
                    <w:t>3</w:t>
                  </w:r>
                  <w:r>
                    <w:rPr>
                      <w:rFonts w:hint="eastAsia"/>
                    </w:rPr>
                    <w:t>）</w:t>
                  </w:r>
                </w:p>
              </w:tc>
              <w:tc>
                <w:tcPr>
                  <w:tcW w:w="488" w:type="pct"/>
                  <w:vAlign w:val="center"/>
                </w:tcPr>
                <w:p>
                  <w:pPr>
                    <w:pStyle w:val="35"/>
                  </w:pPr>
                  <w:r>
                    <w:rPr>
                      <w:rFonts w:hint="eastAsia"/>
                    </w:rPr>
                    <w:t>速率限值（</w:t>
                  </w:r>
                  <w:r>
                    <w:t>kg/h</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Align w:val="center"/>
                </w:tcPr>
                <w:p>
                  <w:pPr>
                    <w:pStyle w:val="35"/>
                  </w:pPr>
                  <w:r>
                    <w:rPr>
                      <w:rFonts w:hint="eastAsia"/>
                    </w:rPr>
                    <w:t>有组织</w:t>
                  </w:r>
                </w:p>
              </w:tc>
              <w:tc>
                <w:tcPr>
                  <w:tcW w:w="328" w:type="pct"/>
                  <w:vAlign w:val="center"/>
                </w:tcPr>
                <w:p>
                  <w:pPr>
                    <w:pStyle w:val="35"/>
                  </w:pPr>
                  <w:r>
                    <w:t>DA001</w:t>
                  </w:r>
                </w:p>
              </w:tc>
              <w:tc>
                <w:tcPr>
                  <w:tcW w:w="362" w:type="pct"/>
                  <w:vAlign w:val="center"/>
                </w:tcPr>
                <w:p>
                  <w:pPr>
                    <w:pStyle w:val="35"/>
                  </w:pPr>
                  <w:r>
                    <w:t>15</w:t>
                  </w:r>
                </w:p>
              </w:tc>
              <w:tc>
                <w:tcPr>
                  <w:tcW w:w="362" w:type="pct"/>
                  <w:vAlign w:val="center"/>
                </w:tcPr>
                <w:p>
                  <w:pPr>
                    <w:pStyle w:val="35"/>
                  </w:pPr>
                  <w:r>
                    <w:t>0.6</w:t>
                  </w:r>
                </w:p>
              </w:tc>
              <w:tc>
                <w:tcPr>
                  <w:tcW w:w="383" w:type="pct"/>
                  <w:vAlign w:val="center"/>
                </w:tcPr>
                <w:p>
                  <w:pPr>
                    <w:pStyle w:val="35"/>
                  </w:pPr>
                  <w:r>
                    <w:t>25</w:t>
                  </w:r>
                </w:p>
              </w:tc>
              <w:tc>
                <w:tcPr>
                  <w:tcW w:w="409" w:type="pct"/>
                  <w:vAlign w:val="center"/>
                </w:tcPr>
                <w:p>
                  <w:pPr>
                    <w:pStyle w:val="35"/>
                  </w:pPr>
                  <w:r>
                    <w:rPr>
                      <w:rFonts w:hint="eastAsia"/>
                    </w:rPr>
                    <w:t>一般排放口</w:t>
                  </w:r>
                </w:p>
              </w:tc>
              <w:tc>
                <w:tcPr>
                  <w:tcW w:w="517" w:type="pct"/>
                  <w:vAlign w:val="center"/>
                </w:tcPr>
                <w:p>
                  <w:pPr>
                    <w:pStyle w:val="35"/>
                  </w:pPr>
                  <w:r>
                    <w:rPr>
                      <w:rFonts w:hint="eastAsia"/>
                    </w:rPr>
                    <w:t>废气处理前、处理后排放口</w:t>
                  </w:r>
                </w:p>
              </w:tc>
              <w:tc>
                <w:tcPr>
                  <w:tcW w:w="688" w:type="pct"/>
                  <w:vAlign w:val="center"/>
                </w:tcPr>
                <w:p>
                  <w:pPr>
                    <w:pStyle w:val="35"/>
                  </w:pPr>
                  <w:bookmarkStart w:id="8" w:name="_Hlk108015283"/>
                  <w:r>
                    <w:rPr>
                      <w:rFonts w:hint="eastAsia"/>
                    </w:rPr>
                    <w:t>非甲烷总烃</w:t>
                  </w:r>
                  <w:bookmarkEnd w:id="8"/>
                </w:p>
              </w:tc>
              <w:tc>
                <w:tcPr>
                  <w:tcW w:w="690" w:type="pct"/>
                  <w:vAlign w:val="center"/>
                </w:tcPr>
                <w:p>
                  <w:pPr>
                    <w:pStyle w:val="35"/>
                  </w:pPr>
                  <w:r>
                    <w:rPr>
                      <w:rFonts w:hint="eastAsia"/>
                    </w:rPr>
                    <w:t>半年一次</w:t>
                  </w:r>
                </w:p>
              </w:tc>
              <w:tc>
                <w:tcPr>
                  <w:tcW w:w="437" w:type="pct"/>
                  <w:vAlign w:val="center"/>
                </w:tcPr>
                <w:p>
                  <w:pPr>
                    <w:pStyle w:val="35"/>
                  </w:pPr>
                  <w:r>
                    <w:t>60</w:t>
                  </w:r>
                </w:p>
              </w:tc>
              <w:tc>
                <w:tcPr>
                  <w:tcW w:w="488" w:type="pct"/>
                  <w:vAlign w:val="center"/>
                </w:tcPr>
                <w:p>
                  <w:pPr>
                    <w:pStyle w:val="35"/>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Merge w:val="restart"/>
                  <w:vAlign w:val="center"/>
                </w:tcPr>
                <w:p>
                  <w:pPr>
                    <w:pStyle w:val="35"/>
                  </w:pPr>
                  <w:r>
                    <w:rPr>
                      <w:rFonts w:hint="eastAsia"/>
                    </w:rPr>
                    <w:t>无组织</w:t>
                  </w:r>
                </w:p>
              </w:tc>
              <w:tc>
                <w:tcPr>
                  <w:tcW w:w="328" w:type="pct"/>
                  <w:vMerge w:val="restart"/>
                  <w:vAlign w:val="center"/>
                </w:tcPr>
                <w:p>
                  <w:pPr>
                    <w:pStyle w:val="35"/>
                  </w:pPr>
                  <w:r>
                    <w:rPr>
                      <w:rFonts w:hint="eastAsia"/>
                    </w:rPr>
                    <w:t>生产车间</w:t>
                  </w:r>
                </w:p>
              </w:tc>
              <w:tc>
                <w:tcPr>
                  <w:tcW w:w="362" w:type="pct"/>
                  <w:vAlign w:val="center"/>
                </w:tcPr>
                <w:p>
                  <w:pPr>
                    <w:pStyle w:val="35"/>
                  </w:pPr>
                  <w:r>
                    <w:t>/</w:t>
                  </w:r>
                </w:p>
              </w:tc>
              <w:tc>
                <w:tcPr>
                  <w:tcW w:w="362" w:type="pct"/>
                  <w:vAlign w:val="center"/>
                </w:tcPr>
                <w:p>
                  <w:pPr>
                    <w:pStyle w:val="35"/>
                  </w:pPr>
                  <w:r>
                    <w:t>/</w:t>
                  </w:r>
                </w:p>
              </w:tc>
              <w:tc>
                <w:tcPr>
                  <w:tcW w:w="383" w:type="pct"/>
                  <w:vAlign w:val="center"/>
                </w:tcPr>
                <w:p>
                  <w:pPr>
                    <w:pStyle w:val="35"/>
                  </w:pPr>
                  <w:r>
                    <w:t>/</w:t>
                  </w:r>
                </w:p>
              </w:tc>
              <w:tc>
                <w:tcPr>
                  <w:tcW w:w="409" w:type="pct"/>
                  <w:vAlign w:val="center"/>
                </w:tcPr>
                <w:p>
                  <w:pPr>
                    <w:pStyle w:val="35"/>
                  </w:pPr>
                  <w:r>
                    <w:t>/</w:t>
                  </w:r>
                </w:p>
              </w:tc>
              <w:tc>
                <w:tcPr>
                  <w:tcW w:w="517" w:type="pct"/>
                  <w:vMerge w:val="restart"/>
                  <w:vAlign w:val="center"/>
                </w:tcPr>
                <w:p>
                  <w:pPr>
                    <w:pStyle w:val="35"/>
                  </w:pPr>
                  <w:r>
                    <w:rPr>
                      <w:rFonts w:hint="eastAsia"/>
                    </w:rPr>
                    <w:t>上风向</w:t>
                  </w:r>
                  <w:r>
                    <w:t>1</w:t>
                  </w:r>
                  <w:r>
                    <w:rPr>
                      <w:rFonts w:hint="eastAsia"/>
                    </w:rPr>
                    <w:t>个监测点，下风向</w:t>
                  </w:r>
                  <w:r>
                    <w:t>3</w:t>
                  </w:r>
                  <w:r>
                    <w:rPr>
                      <w:rFonts w:hint="eastAsia"/>
                    </w:rPr>
                    <w:t>个监测点</w:t>
                  </w:r>
                </w:p>
              </w:tc>
              <w:tc>
                <w:tcPr>
                  <w:tcW w:w="688" w:type="pct"/>
                  <w:vAlign w:val="center"/>
                </w:tcPr>
                <w:p>
                  <w:pPr>
                    <w:pStyle w:val="35"/>
                  </w:pPr>
                  <w:r>
                    <w:rPr>
                      <w:rFonts w:hint="eastAsia"/>
                    </w:rPr>
                    <w:t>非甲烷总烃</w:t>
                  </w:r>
                </w:p>
              </w:tc>
              <w:tc>
                <w:tcPr>
                  <w:tcW w:w="690" w:type="pct"/>
                  <w:vAlign w:val="center"/>
                </w:tcPr>
                <w:p>
                  <w:pPr>
                    <w:pStyle w:val="35"/>
                  </w:pPr>
                  <w:r>
                    <w:rPr>
                      <w:rFonts w:hint="eastAsia"/>
                    </w:rPr>
                    <w:t>一年一次</w:t>
                  </w:r>
                </w:p>
              </w:tc>
              <w:tc>
                <w:tcPr>
                  <w:tcW w:w="437" w:type="pct"/>
                  <w:vAlign w:val="center"/>
                </w:tcPr>
                <w:p>
                  <w:pPr>
                    <w:pStyle w:val="35"/>
                  </w:pPr>
                  <w:r>
                    <w:t>4</w:t>
                  </w:r>
                </w:p>
              </w:tc>
              <w:tc>
                <w:tcPr>
                  <w:tcW w:w="488" w:type="pct"/>
                  <w:vAlign w:val="center"/>
                </w:tcPr>
                <w:p>
                  <w:pPr>
                    <w:pStyle w:val="35"/>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Merge w:val="continue"/>
                  <w:vAlign w:val="center"/>
                </w:tcPr>
                <w:p>
                  <w:pPr>
                    <w:pStyle w:val="35"/>
                  </w:pPr>
                </w:p>
              </w:tc>
              <w:tc>
                <w:tcPr>
                  <w:tcW w:w="328" w:type="pct"/>
                  <w:vMerge w:val="continue"/>
                  <w:vAlign w:val="center"/>
                </w:tcPr>
                <w:p>
                  <w:pPr>
                    <w:pStyle w:val="35"/>
                  </w:pPr>
                </w:p>
              </w:tc>
              <w:tc>
                <w:tcPr>
                  <w:tcW w:w="362" w:type="pct"/>
                  <w:vAlign w:val="center"/>
                </w:tcPr>
                <w:p>
                  <w:pPr>
                    <w:pStyle w:val="35"/>
                  </w:pPr>
                  <w:r>
                    <w:t>/</w:t>
                  </w:r>
                </w:p>
              </w:tc>
              <w:tc>
                <w:tcPr>
                  <w:tcW w:w="362" w:type="pct"/>
                  <w:vAlign w:val="center"/>
                </w:tcPr>
                <w:p>
                  <w:pPr>
                    <w:pStyle w:val="35"/>
                  </w:pPr>
                  <w:r>
                    <w:t>/</w:t>
                  </w:r>
                </w:p>
              </w:tc>
              <w:tc>
                <w:tcPr>
                  <w:tcW w:w="383" w:type="pct"/>
                  <w:vAlign w:val="center"/>
                </w:tcPr>
                <w:p>
                  <w:pPr>
                    <w:pStyle w:val="35"/>
                  </w:pPr>
                  <w:r>
                    <w:t>/</w:t>
                  </w:r>
                </w:p>
              </w:tc>
              <w:tc>
                <w:tcPr>
                  <w:tcW w:w="409" w:type="pct"/>
                  <w:vAlign w:val="center"/>
                </w:tcPr>
                <w:p>
                  <w:pPr>
                    <w:pStyle w:val="35"/>
                  </w:pPr>
                  <w:r>
                    <w:t>/</w:t>
                  </w:r>
                </w:p>
              </w:tc>
              <w:tc>
                <w:tcPr>
                  <w:tcW w:w="517" w:type="pct"/>
                  <w:vMerge w:val="continue"/>
                  <w:vAlign w:val="center"/>
                </w:tcPr>
                <w:p>
                  <w:pPr>
                    <w:pStyle w:val="35"/>
                  </w:pPr>
                </w:p>
              </w:tc>
              <w:tc>
                <w:tcPr>
                  <w:tcW w:w="688" w:type="pct"/>
                  <w:vAlign w:val="center"/>
                </w:tcPr>
                <w:p>
                  <w:pPr>
                    <w:pStyle w:val="35"/>
                    <w:rPr>
                      <w:rFonts w:hint="eastAsia" w:eastAsia="宋体"/>
                      <w:lang w:eastAsia="zh-CN"/>
                    </w:rPr>
                  </w:pPr>
                  <w:r>
                    <w:rPr>
                      <w:rFonts w:hint="eastAsia"/>
                      <w:lang w:eastAsia="zh-CN"/>
                    </w:rPr>
                    <w:t>颗粒物</w:t>
                  </w:r>
                </w:p>
              </w:tc>
              <w:tc>
                <w:tcPr>
                  <w:tcW w:w="690" w:type="pct"/>
                  <w:vAlign w:val="center"/>
                </w:tcPr>
                <w:p>
                  <w:pPr>
                    <w:pStyle w:val="35"/>
                  </w:pPr>
                  <w:r>
                    <w:rPr>
                      <w:rFonts w:hint="eastAsia"/>
                    </w:rPr>
                    <w:t>一年一次</w:t>
                  </w:r>
                </w:p>
              </w:tc>
              <w:tc>
                <w:tcPr>
                  <w:tcW w:w="437" w:type="pct"/>
                  <w:vAlign w:val="center"/>
                </w:tcPr>
                <w:p>
                  <w:pPr>
                    <w:pStyle w:val="35"/>
                    <w:rPr>
                      <w:rFonts w:hint="default" w:eastAsia="宋体"/>
                      <w:lang w:val="en-US" w:eastAsia="zh-CN"/>
                    </w:rPr>
                  </w:pPr>
                  <w:r>
                    <w:rPr>
                      <w:rFonts w:hint="eastAsia"/>
                      <w:lang w:val="en-US" w:eastAsia="zh-CN"/>
                    </w:rPr>
                    <w:t>0.1</w:t>
                  </w:r>
                </w:p>
              </w:tc>
              <w:tc>
                <w:tcPr>
                  <w:tcW w:w="488" w:type="pct"/>
                  <w:vAlign w:val="center"/>
                </w:tcPr>
                <w:p>
                  <w:pPr>
                    <w:pStyle w:val="35"/>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 w:type="pct"/>
                  <w:vMerge w:val="continue"/>
                  <w:vAlign w:val="center"/>
                </w:tcPr>
                <w:p>
                  <w:pPr>
                    <w:pStyle w:val="35"/>
                  </w:pPr>
                </w:p>
              </w:tc>
              <w:tc>
                <w:tcPr>
                  <w:tcW w:w="328" w:type="pct"/>
                  <w:vAlign w:val="center"/>
                </w:tcPr>
                <w:p>
                  <w:pPr>
                    <w:pStyle w:val="35"/>
                  </w:pPr>
                  <w:r>
                    <w:rPr>
                      <w:rFonts w:hint="eastAsia"/>
                    </w:rPr>
                    <w:t>厂区内</w:t>
                  </w:r>
                </w:p>
              </w:tc>
              <w:tc>
                <w:tcPr>
                  <w:tcW w:w="362" w:type="pct"/>
                  <w:vAlign w:val="center"/>
                </w:tcPr>
                <w:p>
                  <w:pPr>
                    <w:pStyle w:val="35"/>
                  </w:pPr>
                  <w:r>
                    <w:t>/</w:t>
                  </w:r>
                </w:p>
              </w:tc>
              <w:tc>
                <w:tcPr>
                  <w:tcW w:w="362" w:type="pct"/>
                  <w:vAlign w:val="center"/>
                </w:tcPr>
                <w:p>
                  <w:pPr>
                    <w:pStyle w:val="35"/>
                  </w:pPr>
                  <w:r>
                    <w:t>/</w:t>
                  </w:r>
                </w:p>
              </w:tc>
              <w:tc>
                <w:tcPr>
                  <w:tcW w:w="383" w:type="pct"/>
                  <w:vAlign w:val="center"/>
                </w:tcPr>
                <w:p>
                  <w:pPr>
                    <w:pStyle w:val="35"/>
                  </w:pPr>
                  <w:r>
                    <w:t>/</w:t>
                  </w:r>
                </w:p>
              </w:tc>
              <w:tc>
                <w:tcPr>
                  <w:tcW w:w="409" w:type="pct"/>
                  <w:vAlign w:val="center"/>
                </w:tcPr>
                <w:p>
                  <w:pPr>
                    <w:pStyle w:val="35"/>
                  </w:pPr>
                  <w:r>
                    <w:t>/</w:t>
                  </w:r>
                </w:p>
              </w:tc>
              <w:tc>
                <w:tcPr>
                  <w:tcW w:w="517" w:type="pct"/>
                  <w:vAlign w:val="center"/>
                </w:tcPr>
                <w:p>
                  <w:pPr>
                    <w:pStyle w:val="35"/>
                  </w:pPr>
                  <w:r>
                    <w:rPr>
                      <w:rFonts w:hint="eastAsia"/>
                    </w:rPr>
                    <w:t>厂区内</w:t>
                  </w:r>
                </w:p>
              </w:tc>
              <w:tc>
                <w:tcPr>
                  <w:tcW w:w="688" w:type="pct"/>
                  <w:vAlign w:val="center"/>
                </w:tcPr>
                <w:p>
                  <w:pPr>
                    <w:pStyle w:val="35"/>
                  </w:pPr>
                  <w:r>
                    <w:rPr>
                      <w:rFonts w:hint="eastAsia"/>
                    </w:rPr>
                    <w:t>非甲烷总烃</w:t>
                  </w:r>
                </w:p>
              </w:tc>
              <w:tc>
                <w:tcPr>
                  <w:tcW w:w="690" w:type="pct"/>
                  <w:vAlign w:val="center"/>
                </w:tcPr>
                <w:p>
                  <w:pPr>
                    <w:pStyle w:val="35"/>
                  </w:pPr>
                  <w:r>
                    <w:rPr>
                      <w:rFonts w:hint="eastAsia"/>
                    </w:rPr>
                    <w:t>一年一次</w:t>
                  </w:r>
                </w:p>
              </w:tc>
              <w:tc>
                <w:tcPr>
                  <w:tcW w:w="437" w:type="pct"/>
                  <w:vAlign w:val="center"/>
                </w:tcPr>
                <w:p>
                  <w:pPr>
                    <w:pStyle w:val="35"/>
                  </w:pPr>
                  <w:r>
                    <w:rPr>
                      <w:rFonts w:hint="eastAsia"/>
                    </w:rPr>
                    <w:t>6</w:t>
                  </w:r>
                </w:p>
              </w:tc>
              <w:tc>
                <w:tcPr>
                  <w:tcW w:w="488" w:type="pct"/>
                  <w:vAlign w:val="center"/>
                </w:tcPr>
                <w:p>
                  <w:pPr>
                    <w:pStyle w:val="35"/>
                  </w:pPr>
                  <w:r>
                    <w:t>/</w:t>
                  </w:r>
                </w:p>
              </w:tc>
            </w:tr>
          </w:tbl>
          <w:p>
            <w:pPr>
              <w:pStyle w:val="14"/>
            </w:pPr>
            <w:r>
              <w:t>3</w:t>
            </w:r>
            <w:r>
              <w:rPr>
                <w:rFonts w:hint="eastAsia"/>
              </w:rPr>
              <w:t>、非正常工况</w:t>
            </w:r>
          </w:p>
          <w:p>
            <w:pPr>
              <w:pStyle w:val="29"/>
              <w:ind w:firstLine="480"/>
            </w:pPr>
            <w:r>
              <w:rPr>
                <w:rFonts w:hint="eastAsia"/>
              </w:rPr>
              <w:t>非正常排放是指生产过程中开停车、设备检修、工艺设备运转异常等非正常工况下的污染物排放，以及污染物排放控制措施达不到应有效率等情况下的排放。项目废气非正常工况排放主要为二级活性炭吸附废气治理效率下降，处理效率仅为</w:t>
            </w:r>
            <w:r>
              <w:t>0%</w:t>
            </w:r>
            <w:r>
              <w:rPr>
                <w:rFonts w:hint="eastAsia"/>
              </w:rPr>
              <w:t>的状态进行估算，但废气收集系统可以正常运行，废气通过排气筒排放等情况，废气处理设施出现故障不能正常运行时，应立即停产进行维修，避免对周围环境造成污染。废气非正常工况源强情况见表</w:t>
            </w:r>
            <w:r>
              <w:t>4-8</w:t>
            </w:r>
            <w:r>
              <w:rPr>
                <w:rFonts w:hint="eastAsia"/>
              </w:rPr>
              <w:t>。</w:t>
            </w:r>
          </w:p>
          <w:p>
            <w:pPr>
              <w:pStyle w:val="12"/>
            </w:pPr>
            <w:r>
              <w:rPr>
                <w:rFonts w:hint="eastAsia"/>
              </w:rPr>
              <w:t>表</w:t>
            </w:r>
            <w:r>
              <w:t xml:space="preserve">4-8  </w:t>
            </w:r>
            <w:r>
              <w:rPr>
                <w:rFonts w:hint="eastAsia"/>
              </w:rPr>
              <w:t>非正常工况有组织废气排放情况一览表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795"/>
              <w:gridCol w:w="592"/>
              <w:gridCol w:w="689"/>
              <w:gridCol w:w="691"/>
              <w:gridCol w:w="590"/>
              <w:gridCol w:w="592"/>
              <w:gridCol w:w="689"/>
              <w:gridCol w:w="592"/>
              <w:gridCol w:w="590"/>
              <w:gridCol w:w="592"/>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76" w:type="pct"/>
                  <w:vMerge w:val="restart"/>
                  <w:vAlign w:val="center"/>
                </w:tcPr>
                <w:p>
                  <w:pPr>
                    <w:pStyle w:val="35"/>
                  </w:pPr>
                  <w:r>
                    <w:rPr>
                      <w:rFonts w:hint="eastAsia"/>
                    </w:rPr>
                    <w:t>产污工序</w:t>
                  </w:r>
                </w:p>
              </w:tc>
              <w:tc>
                <w:tcPr>
                  <w:tcW w:w="483" w:type="pct"/>
                  <w:vMerge w:val="restart"/>
                  <w:vAlign w:val="center"/>
                </w:tcPr>
                <w:p>
                  <w:pPr>
                    <w:pStyle w:val="35"/>
                  </w:pPr>
                  <w:r>
                    <w:rPr>
                      <w:rFonts w:hint="eastAsia"/>
                    </w:rPr>
                    <w:t>污染物</w:t>
                  </w:r>
                </w:p>
              </w:tc>
              <w:tc>
                <w:tcPr>
                  <w:tcW w:w="359" w:type="pct"/>
                  <w:vMerge w:val="restart"/>
                  <w:vAlign w:val="center"/>
                </w:tcPr>
                <w:p>
                  <w:pPr>
                    <w:pStyle w:val="35"/>
                  </w:pPr>
                  <w:r>
                    <w:rPr>
                      <w:rFonts w:hint="eastAsia"/>
                    </w:rPr>
                    <w:t>排气筒编号</w:t>
                  </w:r>
                </w:p>
              </w:tc>
              <w:tc>
                <w:tcPr>
                  <w:tcW w:w="418" w:type="pct"/>
                  <w:vMerge w:val="restart"/>
                  <w:vAlign w:val="center"/>
                </w:tcPr>
                <w:p>
                  <w:pPr>
                    <w:pStyle w:val="35"/>
                  </w:pPr>
                  <w:r>
                    <w:rPr>
                      <w:rFonts w:hint="eastAsia"/>
                    </w:rPr>
                    <w:t>排气量</w:t>
                  </w:r>
                  <w:r>
                    <w:t>(m</w:t>
                  </w:r>
                  <w:r>
                    <w:rPr>
                      <w:vertAlign w:val="superscript"/>
                    </w:rPr>
                    <w:t>3</w:t>
                  </w:r>
                  <w:r>
                    <w:t>/h)</w:t>
                  </w:r>
                </w:p>
              </w:tc>
              <w:tc>
                <w:tcPr>
                  <w:tcW w:w="1138" w:type="pct"/>
                  <w:gridSpan w:val="3"/>
                  <w:vAlign w:val="center"/>
                </w:tcPr>
                <w:p>
                  <w:pPr>
                    <w:pStyle w:val="35"/>
                  </w:pPr>
                  <w:r>
                    <w:rPr>
                      <w:rFonts w:hint="eastAsia"/>
                    </w:rPr>
                    <w:t>产生状况</w:t>
                  </w:r>
                </w:p>
              </w:tc>
              <w:tc>
                <w:tcPr>
                  <w:tcW w:w="418" w:type="pct"/>
                  <w:vMerge w:val="restart"/>
                  <w:vAlign w:val="center"/>
                </w:tcPr>
                <w:p>
                  <w:pPr>
                    <w:pStyle w:val="35"/>
                  </w:pPr>
                  <w:r>
                    <w:rPr>
                      <w:rFonts w:hint="eastAsia"/>
                    </w:rPr>
                    <w:t>治理措施</w:t>
                  </w:r>
                </w:p>
              </w:tc>
              <w:tc>
                <w:tcPr>
                  <w:tcW w:w="359" w:type="pct"/>
                  <w:vMerge w:val="restart"/>
                  <w:vAlign w:val="center"/>
                </w:tcPr>
                <w:p>
                  <w:pPr>
                    <w:pStyle w:val="35"/>
                  </w:pPr>
                  <w:r>
                    <w:rPr>
                      <w:rFonts w:hint="eastAsia"/>
                    </w:rPr>
                    <w:t>净化效率</w:t>
                  </w:r>
                  <w:r>
                    <w:t>(%)</w:t>
                  </w:r>
                </w:p>
              </w:tc>
              <w:tc>
                <w:tcPr>
                  <w:tcW w:w="1043" w:type="pct"/>
                  <w:gridSpan w:val="3"/>
                  <w:vAlign w:val="center"/>
                </w:tcPr>
                <w:p>
                  <w:pPr>
                    <w:pStyle w:val="35"/>
                  </w:pPr>
                  <w:r>
                    <w:rPr>
                      <w:rFonts w:hint="eastAsia"/>
                    </w:rPr>
                    <w:t>排放状况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76" w:type="pct"/>
                  <w:vMerge w:val="continue"/>
                  <w:vAlign w:val="center"/>
                </w:tcPr>
                <w:p>
                  <w:pPr>
                    <w:pStyle w:val="35"/>
                  </w:pPr>
                </w:p>
              </w:tc>
              <w:tc>
                <w:tcPr>
                  <w:tcW w:w="483" w:type="pct"/>
                  <w:vMerge w:val="continue"/>
                  <w:vAlign w:val="center"/>
                </w:tcPr>
                <w:p>
                  <w:pPr>
                    <w:pStyle w:val="35"/>
                  </w:pPr>
                </w:p>
              </w:tc>
              <w:tc>
                <w:tcPr>
                  <w:tcW w:w="359" w:type="pct"/>
                  <w:vMerge w:val="continue"/>
                  <w:vAlign w:val="center"/>
                </w:tcPr>
                <w:p>
                  <w:pPr>
                    <w:pStyle w:val="35"/>
                  </w:pPr>
                </w:p>
              </w:tc>
              <w:tc>
                <w:tcPr>
                  <w:tcW w:w="418" w:type="pct"/>
                  <w:vMerge w:val="continue"/>
                  <w:vAlign w:val="center"/>
                </w:tcPr>
                <w:p>
                  <w:pPr>
                    <w:pStyle w:val="35"/>
                  </w:pPr>
                </w:p>
              </w:tc>
              <w:tc>
                <w:tcPr>
                  <w:tcW w:w="420" w:type="pct"/>
                  <w:vAlign w:val="center"/>
                </w:tcPr>
                <w:p>
                  <w:pPr>
                    <w:pStyle w:val="35"/>
                  </w:pPr>
                  <w:r>
                    <w:rPr>
                      <w:rFonts w:hint="eastAsia"/>
                    </w:rPr>
                    <w:t>浓度</w:t>
                  </w:r>
                  <w:r>
                    <w:t>(mg/m</w:t>
                  </w:r>
                  <w:r>
                    <w:rPr>
                      <w:vertAlign w:val="superscript"/>
                    </w:rPr>
                    <w:t>3</w:t>
                  </w:r>
                  <w:r>
                    <w:t>)</w:t>
                  </w:r>
                </w:p>
              </w:tc>
              <w:tc>
                <w:tcPr>
                  <w:tcW w:w="358" w:type="pct"/>
                  <w:vAlign w:val="center"/>
                </w:tcPr>
                <w:p>
                  <w:pPr>
                    <w:pStyle w:val="35"/>
                  </w:pPr>
                  <w:r>
                    <w:rPr>
                      <w:rFonts w:hint="eastAsia"/>
                    </w:rPr>
                    <w:t>速率</w:t>
                  </w:r>
                  <w:r>
                    <w:t>(kg/h)</w:t>
                  </w:r>
                </w:p>
              </w:tc>
              <w:tc>
                <w:tcPr>
                  <w:tcW w:w="359" w:type="pct"/>
                  <w:vAlign w:val="center"/>
                </w:tcPr>
                <w:p>
                  <w:pPr>
                    <w:pStyle w:val="35"/>
                  </w:pPr>
                  <w:r>
                    <w:rPr>
                      <w:rFonts w:hint="eastAsia"/>
                    </w:rPr>
                    <w:t>产生量</w:t>
                  </w:r>
                  <w:r>
                    <w:t>(t/a)</w:t>
                  </w:r>
                </w:p>
              </w:tc>
              <w:tc>
                <w:tcPr>
                  <w:tcW w:w="418" w:type="pct"/>
                  <w:vMerge w:val="continue"/>
                  <w:vAlign w:val="center"/>
                </w:tcPr>
                <w:p>
                  <w:pPr>
                    <w:pStyle w:val="35"/>
                  </w:pPr>
                </w:p>
              </w:tc>
              <w:tc>
                <w:tcPr>
                  <w:tcW w:w="359" w:type="pct"/>
                  <w:vMerge w:val="continue"/>
                  <w:vAlign w:val="center"/>
                </w:tcPr>
                <w:p>
                  <w:pPr>
                    <w:pStyle w:val="35"/>
                  </w:pPr>
                </w:p>
              </w:tc>
              <w:tc>
                <w:tcPr>
                  <w:tcW w:w="358" w:type="pct"/>
                  <w:vAlign w:val="center"/>
                </w:tcPr>
                <w:p>
                  <w:pPr>
                    <w:pStyle w:val="35"/>
                  </w:pPr>
                  <w:r>
                    <w:rPr>
                      <w:rFonts w:hint="eastAsia"/>
                    </w:rPr>
                    <w:t>浓度</w:t>
                  </w:r>
                  <w:r>
                    <w:t>(mg/m</w:t>
                  </w:r>
                  <w:r>
                    <w:rPr>
                      <w:vertAlign w:val="superscript"/>
                    </w:rPr>
                    <w:t>3</w:t>
                  </w:r>
                  <w:r>
                    <w:t>)</w:t>
                  </w:r>
                </w:p>
              </w:tc>
              <w:tc>
                <w:tcPr>
                  <w:tcW w:w="359" w:type="pct"/>
                  <w:vAlign w:val="center"/>
                </w:tcPr>
                <w:p>
                  <w:pPr>
                    <w:pStyle w:val="35"/>
                  </w:pPr>
                  <w:r>
                    <w:rPr>
                      <w:rFonts w:hint="eastAsia"/>
                    </w:rPr>
                    <w:t>速率</w:t>
                  </w:r>
                  <w:r>
                    <w:t>(kg/h)</w:t>
                  </w:r>
                </w:p>
              </w:tc>
              <w:tc>
                <w:tcPr>
                  <w:tcW w:w="325" w:type="pct"/>
                  <w:vAlign w:val="center"/>
                </w:tcPr>
                <w:p>
                  <w:pPr>
                    <w:pStyle w:val="35"/>
                  </w:pPr>
                  <w:r>
                    <w:rPr>
                      <w:rFonts w:hint="eastAsia"/>
                    </w:rPr>
                    <w:t>排放量</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76" w:type="pct"/>
                  <w:vAlign w:val="center"/>
                </w:tcPr>
                <w:p>
                  <w:pPr>
                    <w:pStyle w:val="35"/>
                  </w:pPr>
                  <w:r>
                    <w:rPr>
                      <w:rFonts w:hint="eastAsia"/>
                    </w:rPr>
                    <w:t>SMT回流焊接、波峰焊接、后焊接、涂覆、UV固化、清洗</w:t>
                  </w:r>
                </w:p>
              </w:tc>
              <w:tc>
                <w:tcPr>
                  <w:tcW w:w="483" w:type="pct"/>
                  <w:vAlign w:val="center"/>
                </w:tcPr>
                <w:p>
                  <w:pPr>
                    <w:pStyle w:val="35"/>
                  </w:pPr>
                  <w:r>
                    <w:rPr>
                      <w:rFonts w:hint="eastAsia"/>
                      <w:kern w:val="0"/>
                    </w:rPr>
                    <w:t>非甲烷总烃</w:t>
                  </w:r>
                </w:p>
              </w:tc>
              <w:tc>
                <w:tcPr>
                  <w:tcW w:w="359" w:type="pct"/>
                  <w:vAlign w:val="center"/>
                </w:tcPr>
                <w:p>
                  <w:pPr>
                    <w:pStyle w:val="35"/>
                  </w:pPr>
                  <w:r>
                    <w:t>DA001</w:t>
                  </w:r>
                </w:p>
              </w:tc>
              <w:tc>
                <w:tcPr>
                  <w:tcW w:w="418" w:type="pct"/>
                  <w:vAlign w:val="center"/>
                </w:tcPr>
                <w:p>
                  <w:pPr>
                    <w:pStyle w:val="35"/>
                  </w:pPr>
                  <w:r>
                    <w:t>10000</w:t>
                  </w:r>
                </w:p>
              </w:tc>
              <w:tc>
                <w:tcPr>
                  <w:tcW w:w="420"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45.04</w:t>
                  </w:r>
                </w:p>
              </w:tc>
              <w:tc>
                <w:tcPr>
                  <w:tcW w:w="358"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0.45</w:t>
                  </w:r>
                </w:p>
              </w:tc>
              <w:tc>
                <w:tcPr>
                  <w:tcW w:w="359" w:type="pct"/>
                  <w:vAlign w:val="center"/>
                </w:tcPr>
                <w:p>
                  <w:pPr>
                    <w:pStyle w:val="35"/>
                  </w:pPr>
                  <w:r>
                    <w:t>0.9007</w:t>
                  </w:r>
                </w:p>
              </w:tc>
              <w:tc>
                <w:tcPr>
                  <w:tcW w:w="418" w:type="pct"/>
                  <w:vAlign w:val="center"/>
                </w:tcPr>
                <w:p>
                  <w:pPr>
                    <w:pStyle w:val="35"/>
                    <w:rPr>
                      <w:bCs/>
                    </w:rPr>
                  </w:pPr>
                  <w:r>
                    <w:rPr>
                      <w:rFonts w:hint="eastAsia"/>
                      <w:bCs/>
                    </w:rPr>
                    <w:t>二级活性炭吸附</w:t>
                  </w:r>
                </w:p>
              </w:tc>
              <w:tc>
                <w:tcPr>
                  <w:tcW w:w="359" w:type="pct"/>
                  <w:vAlign w:val="center"/>
                </w:tcPr>
                <w:p>
                  <w:pPr>
                    <w:pStyle w:val="35"/>
                    <w:rPr>
                      <w:bCs/>
                    </w:rPr>
                  </w:pPr>
                  <w:r>
                    <w:rPr>
                      <w:bCs/>
                    </w:rPr>
                    <w:t>0</w:t>
                  </w:r>
                </w:p>
              </w:tc>
              <w:tc>
                <w:tcPr>
                  <w:tcW w:w="358"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45.04</w:t>
                  </w:r>
                </w:p>
              </w:tc>
              <w:tc>
                <w:tcPr>
                  <w:tcW w:w="359" w:type="pct"/>
                  <w:tcBorders>
                    <w:top w:val="nil"/>
                    <w:left w:val="nil"/>
                    <w:bottom w:val="single" w:color="auto" w:sz="8" w:space="0"/>
                    <w:right w:val="single" w:color="auto" w:sz="8" w:space="0"/>
                  </w:tcBorders>
                  <w:shd w:val="clear" w:color="auto" w:fill="auto"/>
                  <w:vAlign w:val="center"/>
                </w:tcPr>
                <w:p>
                  <w:pPr>
                    <w:pStyle w:val="35"/>
                  </w:pPr>
                  <w:r>
                    <w:rPr>
                      <w:rFonts w:eastAsia="等线"/>
                      <w:szCs w:val="21"/>
                    </w:rPr>
                    <w:t>0.45</w:t>
                  </w:r>
                </w:p>
              </w:tc>
              <w:tc>
                <w:tcPr>
                  <w:tcW w:w="325" w:type="pct"/>
                  <w:vAlign w:val="center"/>
                </w:tcPr>
                <w:p>
                  <w:pPr>
                    <w:pStyle w:val="35"/>
                  </w:pPr>
                  <w:r>
                    <w:t>0.9007</w:t>
                  </w:r>
                </w:p>
              </w:tc>
            </w:tr>
          </w:tbl>
          <w:p>
            <w:pPr>
              <w:pStyle w:val="14"/>
            </w:pPr>
            <w:r>
              <w:t>4</w:t>
            </w:r>
            <w:r>
              <w:rPr>
                <w:rFonts w:hint="eastAsia"/>
              </w:rPr>
              <w:t>、卫生防护距离</w:t>
            </w:r>
          </w:p>
          <w:p>
            <w:pPr>
              <w:pStyle w:val="29"/>
              <w:ind w:firstLine="480"/>
            </w:pPr>
            <w:r>
              <w:rPr>
                <w:rFonts w:hint="eastAsia"/>
              </w:rPr>
              <w:t>为确定项目产生的非甲烷总烃、锡及其化合物无组织排放对大气环境的影响范围，根据《大气有害物质无组织排放卫生防护距离推导技术导则》（GB/T39499-2020）进行卫生防护距离计算，计算公式如下：</w:t>
            </w:r>
          </w:p>
          <w:p>
            <w:pPr>
              <w:pStyle w:val="29"/>
              <w:ind w:firstLine="480"/>
              <w:jc w:val="center"/>
            </w:pPr>
            <w:r>
              <w:drawing>
                <wp:inline distT="0" distB="0" distL="0" distR="0">
                  <wp:extent cx="1657350" cy="4667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57350" cy="466725"/>
                          </a:xfrm>
                          <a:prstGeom prst="rect">
                            <a:avLst/>
                          </a:prstGeom>
                          <a:noFill/>
                        </pic:spPr>
                      </pic:pic>
                    </a:graphicData>
                  </a:graphic>
                </wp:inline>
              </w:drawing>
            </w:r>
          </w:p>
          <w:p>
            <w:pPr>
              <w:pStyle w:val="29"/>
              <w:ind w:firstLine="480"/>
            </w:pPr>
            <w:r>
              <w:rPr>
                <w:rFonts w:hint="eastAsia"/>
              </w:rPr>
              <w:t>式中：Qc—有害气体无组织排放量可以达到的控制水平（kg/h）；</w:t>
            </w:r>
          </w:p>
          <w:p>
            <w:pPr>
              <w:pStyle w:val="29"/>
              <w:ind w:firstLine="480"/>
            </w:pPr>
            <w:r>
              <w:t>C</w:t>
            </w:r>
            <w:r>
              <w:rPr>
                <w:vertAlign w:val="subscript"/>
              </w:rPr>
              <w:t>m</w:t>
            </w:r>
            <w:r>
              <w:rPr>
                <w:rFonts w:hint="eastAsia"/>
              </w:rPr>
              <w:t>—标准浓度限值(mg/Nm</w:t>
            </w:r>
            <w:r>
              <w:rPr>
                <w:rFonts w:hint="eastAsia"/>
                <w:vertAlign w:val="superscript"/>
              </w:rPr>
              <w:t>3</w:t>
            </w:r>
            <w:r>
              <w:rPr>
                <w:rFonts w:hint="eastAsia"/>
              </w:rPr>
              <w:t>)；</w:t>
            </w:r>
          </w:p>
          <w:p>
            <w:pPr>
              <w:pStyle w:val="29"/>
              <w:ind w:firstLine="480"/>
            </w:pPr>
            <w:r>
              <w:t>L</w:t>
            </w:r>
            <w:r>
              <w:rPr>
                <w:rFonts w:hint="eastAsia"/>
              </w:rPr>
              <w:t>—工业企业所需卫生防护距离(m)；</w:t>
            </w:r>
          </w:p>
          <w:p>
            <w:pPr>
              <w:pStyle w:val="29"/>
              <w:ind w:firstLine="480"/>
            </w:pPr>
            <w:r>
              <w:t>R</w:t>
            </w:r>
            <w:r>
              <w:rPr>
                <w:rFonts w:hint="eastAsia"/>
              </w:rPr>
              <w:t>—有害气体无组织排放源所在生产单元的等效半径(m)；可按生产单元占地面积S换算：r=(</w:t>
            </w:r>
            <w:r>
              <w:t>S/π</w:t>
            </w:r>
            <w:r>
              <w:rPr>
                <w:rFonts w:hint="eastAsia"/>
              </w:rPr>
              <w:t>)</w:t>
            </w:r>
            <w:r>
              <w:rPr>
                <w:rFonts w:hint="eastAsia"/>
                <w:vertAlign w:val="superscript"/>
              </w:rPr>
              <w:t>1/2</w:t>
            </w:r>
          </w:p>
          <w:p>
            <w:pPr>
              <w:pStyle w:val="29"/>
              <w:ind w:firstLine="480"/>
            </w:pPr>
            <w:r>
              <w:rPr>
                <w:rFonts w:hint="eastAsia"/>
              </w:rPr>
              <w:t>A、B、C、D—卫生防护距离计算系数；根据气象和排放源参数进行选择。</w:t>
            </w:r>
          </w:p>
          <w:p>
            <w:pPr>
              <w:pStyle w:val="29"/>
              <w:ind w:firstLine="480"/>
            </w:pPr>
            <w:r>
              <w:rPr>
                <w:rFonts w:hint="eastAsia"/>
              </w:rPr>
              <w:t>本项目卫生防护距离计算情况见下表。</w:t>
            </w:r>
          </w:p>
          <w:p>
            <w:pPr>
              <w:pStyle w:val="12"/>
            </w:pPr>
            <w:r>
              <w:rPr>
                <w:rFonts w:hint="eastAsia"/>
              </w:rPr>
              <w:t>表</w:t>
            </w:r>
            <w:r>
              <w:t xml:space="preserve">4-9   </w:t>
            </w:r>
            <w:r>
              <w:rPr>
                <w:rFonts w:hint="eastAsia"/>
              </w:rPr>
              <w:t>本项目卫生防护距离计算</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17"/>
              <w:gridCol w:w="1132"/>
              <w:gridCol w:w="707"/>
              <w:gridCol w:w="708"/>
              <w:gridCol w:w="708"/>
              <w:gridCol w:w="683"/>
              <w:gridCol w:w="615"/>
              <w:gridCol w:w="852"/>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vMerge w:val="restart"/>
                  <w:vAlign w:val="center"/>
                </w:tcPr>
                <w:p>
                  <w:pPr>
                    <w:pStyle w:val="35"/>
                  </w:pPr>
                  <w:bookmarkStart w:id="9" w:name="_Hlk90281338"/>
                  <w:bookmarkStart w:id="10" w:name="_Hlk103082332"/>
                  <w:r>
                    <w:rPr>
                      <w:rFonts w:hint="eastAsia"/>
                    </w:rPr>
                    <w:t>污染源位置</w:t>
                  </w:r>
                </w:p>
              </w:tc>
              <w:tc>
                <w:tcPr>
                  <w:tcW w:w="1418" w:type="dxa"/>
                  <w:vMerge w:val="restart"/>
                  <w:vAlign w:val="center"/>
                </w:tcPr>
                <w:p>
                  <w:pPr>
                    <w:pStyle w:val="35"/>
                  </w:pPr>
                  <w:r>
                    <w:rPr>
                      <w:rFonts w:hint="eastAsia"/>
                    </w:rPr>
                    <w:t>污染物</w:t>
                  </w:r>
                </w:p>
              </w:tc>
              <w:tc>
                <w:tcPr>
                  <w:tcW w:w="1134" w:type="dxa"/>
                  <w:vMerge w:val="restart"/>
                  <w:vAlign w:val="center"/>
                </w:tcPr>
                <w:p>
                  <w:pPr>
                    <w:pStyle w:val="35"/>
                  </w:pPr>
                  <w:r>
                    <w:rPr>
                      <w:rFonts w:hint="eastAsia"/>
                    </w:rPr>
                    <w:t>污染源强（</w:t>
                  </w:r>
                  <w:r>
                    <w:t>kg/h</w:t>
                  </w:r>
                  <w:r>
                    <w:rPr>
                      <w:rFonts w:hint="eastAsia"/>
                    </w:rPr>
                    <w:t>）</w:t>
                  </w:r>
                </w:p>
              </w:tc>
              <w:tc>
                <w:tcPr>
                  <w:tcW w:w="708" w:type="dxa"/>
                  <w:vMerge w:val="restart"/>
                  <w:vAlign w:val="center"/>
                </w:tcPr>
                <w:p>
                  <w:pPr>
                    <w:pStyle w:val="35"/>
                  </w:pPr>
                  <w:r>
                    <w:rPr>
                      <w:rFonts w:hint="eastAsia"/>
                    </w:rPr>
                    <w:t>面源面积（</w:t>
                  </w:r>
                  <w:r>
                    <w:t>m*m</w:t>
                  </w:r>
                  <w:r>
                    <w:rPr>
                      <w:rFonts w:hint="eastAsia"/>
                    </w:rPr>
                    <w:t>）</w:t>
                  </w:r>
                </w:p>
              </w:tc>
              <w:tc>
                <w:tcPr>
                  <w:tcW w:w="2718" w:type="dxa"/>
                  <w:gridSpan w:val="4"/>
                  <w:vAlign w:val="center"/>
                </w:tcPr>
                <w:p>
                  <w:pPr>
                    <w:pStyle w:val="35"/>
                  </w:pPr>
                  <w:r>
                    <w:rPr>
                      <w:rFonts w:hint="eastAsia"/>
                    </w:rPr>
                    <w:t>计算系数</w:t>
                  </w:r>
                </w:p>
              </w:tc>
              <w:tc>
                <w:tcPr>
                  <w:tcW w:w="1505" w:type="dxa"/>
                  <w:gridSpan w:val="2"/>
                  <w:vAlign w:val="center"/>
                </w:tcPr>
                <w:p>
                  <w:pPr>
                    <w:pStyle w:val="35"/>
                  </w:pPr>
                  <w:r>
                    <w:rPr>
                      <w:rFonts w:hint="eastAsia"/>
                    </w:rPr>
                    <w:t>卫生防护距离（</w:t>
                  </w:r>
                  <w:r>
                    <w:t>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vMerge w:val="continue"/>
                  <w:vAlign w:val="center"/>
                </w:tcPr>
                <w:p>
                  <w:pPr>
                    <w:pStyle w:val="35"/>
                  </w:pPr>
                </w:p>
              </w:tc>
              <w:tc>
                <w:tcPr>
                  <w:tcW w:w="1418" w:type="dxa"/>
                  <w:vMerge w:val="continue"/>
                  <w:vAlign w:val="center"/>
                </w:tcPr>
                <w:p>
                  <w:pPr>
                    <w:pStyle w:val="35"/>
                  </w:pPr>
                </w:p>
              </w:tc>
              <w:tc>
                <w:tcPr>
                  <w:tcW w:w="1134" w:type="dxa"/>
                  <w:vMerge w:val="continue"/>
                  <w:vAlign w:val="center"/>
                </w:tcPr>
                <w:p>
                  <w:pPr>
                    <w:pStyle w:val="35"/>
                  </w:pPr>
                </w:p>
              </w:tc>
              <w:tc>
                <w:tcPr>
                  <w:tcW w:w="708" w:type="dxa"/>
                  <w:vMerge w:val="continue"/>
                  <w:vAlign w:val="center"/>
                </w:tcPr>
                <w:p>
                  <w:pPr>
                    <w:pStyle w:val="35"/>
                  </w:pPr>
                </w:p>
              </w:tc>
              <w:tc>
                <w:tcPr>
                  <w:tcW w:w="709" w:type="dxa"/>
                  <w:vAlign w:val="center"/>
                </w:tcPr>
                <w:p>
                  <w:pPr>
                    <w:pStyle w:val="35"/>
                  </w:pPr>
                  <w:r>
                    <w:t>A</w:t>
                  </w:r>
                </w:p>
              </w:tc>
              <w:tc>
                <w:tcPr>
                  <w:tcW w:w="709" w:type="dxa"/>
                  <w:vAlign w:val="center"/>
                </w:tcPr>
                <w:p>
                  <w:pPr>
                    <w:pStyle w:val="35"/>
                  </w:pPr>
                  <w:r>
                    <w:t>B</w:t>
                  </w:r>
                </w:p>
              </w:tc>
              <w:tc>
                <w:tcPr>
                  <w:tcW w:w="684" w:type="dxa"/>
                  <w:vAlign w:val="center"/>
                </w:tcPr>
                <w:p>
                  <w:pPr>
                    <w:pStyle w:val="35"/>
                  </w:pPr>
                  <w:r>
                    <w:t>C</w:t>
                  </w:r>
                </w:p>
              </w:tc>
              <w:tc>
                <w:tcPr>
                  <w:tcW w:w="616" w:type="dxa"/>
                  <w:vAlign w:val="center"/>
                </w:tcPr>
                <w:p>
                  <w:pPr>
                    <w:pStyle w:val="35"/>
                  </w:pPr>
                  <w:r>
                    <w:t>D</w:t>
                  </w:r>
                </w:p>
              </w:tc>
              <w:tc>
                <w:tcPr>
                  <w:tcW w:w="853" w:type="dxa"/>
                  <w:vAlign w:val="center"/>
                </w:tcPr>
                <w:p>
                  <w:pPr>
                    <w:pStyle w:val="35"/>
                  </w:pPr>
                  <w:r>
                    <w:rPr>
                      <w:rFonts w:hint="eastAsia"/>
                    </w:rPr>
                    <w:t>计算值</w:t>
                  </w:r>
                </w:p>
              </w:tc>
              <w:tc>
                <w:tcPr>
                  <w:tcW w:w="652" w:type="dxa"/>
                  <w:vAlign w:val="center"/>
                </w:tcPr>
                <w:p>
                  <w:pPr>
                    <w:pStyle w:val="35"/>
                  </w:pPr>
                  <w:r>
                    <w:rPr>
                      <w:rFonts w:hint="eastAsia"/>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1" w:type="dxa"/>
                  <w:vMerge w:val="restart"/>
                  <w:vAlign w:val="center"/>
                </w:tcPr>
                <w:p>
                  <w:pPr>
                    <w:pStyle w:val="35"/>
                  </w:pPr>
                  <w:r>
                    <w:rPr>
                      <w:rFonts w:hint="eastAsia"/>
                    </w:rPr>
                    <w:t>生产车间</w:t>
                  </w:r>
                </w:p>
              </w:tc>
              <w:tc>
                <w:tcPr>
                  <w:tcW w:w="1418" w:type="dxa"/>
                  <w:vAlign w:val="center"/>
                </w:tcPr>
                <w:p>
                  <w:pPr>
                    <w:pStyle w:val="35"/>
                  </w:pPr>
                  <w:r>
                    <w:rPr>
                      <w:rFonts w:hint="eastAsia"/>
                    </w:rPr>
                    <w:t>非甲烷总烃</w:t>
                  </w:r>
                </w:p>
              </w:tc>
              <w:tc>
                <w:tcPr>
                  <w:tcW w:w="1134" w:type="dxa"/>
                  <w:vAlign w:val="center"/>
                </w:tcPr>
                <w:p>
                  <w:pPr>
                    <w:pStyle w:val="35"/>
                  </w:pPr>
                  <w:r>
                    <w:t>0.0259</w:t>
                  </w:r>
                </w:p>
              </w:tc>
              <w:tc>
                <w:tcPr>
                  <w:tcW w:w="708" w:type="dxa"/>
                  <w:vMerge w:val="restart"/>
                  <w:vAlign w:val="center"/>
                </w:tcPr>
                <w:p>
                  <w:pPr>
                    <w:pStyle w:val="35"/>
                  </w:pPr>
                  <w:r>
                    <w:t>50*100</w:t>
                  </w:r>
                </w:p>
              </w:tc>
              <w:tc>
                <w:tcPr>
                  <w:tcW w:w="709" w:type="dxa"/>
                  <w:vAlign w:val="center"/>
                </w:tcPr>
                <w:p>
                  <w:pPr>
                    <w:pStyle w:val="35"/>
                  </w:pPr>
                  <w:r>
                    <w:t>470</w:t>
                  </w:r>
                </w:p>
              </w:tc>
              <w:tc>
                <w:tcPr>
                  <w:tcW w:w="709" w:type="dxa"/>
                  <w:vAlign w:val="center"/>
                </w:tcPr>
                <w:p>
                  <w:pPr>
                    <w:pStyle w:val="35"/>
                  </w:pPr>
                  <w:r>
                    <w:t>0.021</w:t>
                  </w:r>
                </w:p>
              </w:tc>
              <w:tc>
                <w:tcPr>
                  <w:tcW w:w="684" w:type="dxa"/>
                  <w:vAlign w:val="center"/>
                </w:tcPr>
                <w:p>
                  <w:pPr>
                    <w:pStyle w:val="35"/>
                  </w:pPr>
                  <w:r>
                    <w:t>1.85</w:t>
                  </w:r>
                </w:p>
              </w:tc>
              <w:tc>
                <w:tcPr>
                  <w:tcW w:w="616" w:type="dxa"/>
                  <w:vAlign w:val="center"/>
                </w:tcPr>
                <w:p>
                  <w:pPr>
                    <w:pStyle w:val="35"/>
                  </w:pPr>
                  <w:r>
                    <w:t>0.84</w:t>
                  </w:r>
                </w:p>
              </w:tc>
              <w:tc>
                <w:tcPr>
                  <w:tcW w:w="853" w:type="dxa"/>
                  <w:vAlign w:val="center"/>
                </w:tcPr>
                <w:p>
                  <w:pPr>
                    <w:pStyle w:val="35"/>
                  </w:pPr>
                  <w:r>
                    <w:t>0.243</w:t>
                  </w:r>
                </w:p>
              </w:tc>
              <w:tc>
                <w:tcPr>
                  <w:tcW w:w="652" w:type="dxa"/>
                  <w:vAlign w:val="center"/>
                </w:tcPr>
                <w:p>
                  <w:pPr>
                    <w:pStyle w:val="35"/>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51" w:type="dxa"/>
                  <w:vMerge w:val="continue"/>
                  <w:vAlign w:val="center"/>
                </w:tcPr>
                <w:p>
                  <w:pPr>
                    <w:pStyle w:val="35"/>
                  </w:pPr>
                </w:p>
              </w:tc>
              <w:tc>
                <w:tcPr>
                  <w:tcW w:w="1418" w:type="dxa"/>
                  <w:vAlign w:val="center"/>
                </w:tcPr>
                <w:p>
                  <w:pPr>
                    <w:pStyle w:val="35"/>
                    <w:rPr>
                      <w:rFonts w:hint="eastAsia" w:eastAsia="宋体"/>
                      <w:lang w:eastAsia="zh-CN"/>
                    </w:rPr>
                  </w:pPr>
                  <w:r>
                    <w:rPr>
                      <w:rFonts w:hint="eastAsia"/>
                      <w:lang w:eastAsia="zh-CN"/>
                    </w:rPr>
                    <w:t>颗粒物</w:t>
                  </w:r>
                </w:p>
              </w:tc>
              <w:tc>
                <w:tcPr>
                  <w:tcW w:w="1134" w:type="dxa"/>
                  <w:vAlign w:val="center"/>
                </w:tcPr>
                <w:p>
                  <w:pPr>
                    <w:pStyle w:val="35"/>
                  </w:pPr>
                  <w:r>
                    <w:t>0.00007</w:t>
                  </w:r>
                </w:p>
              </w:tc>
              <w:tc>
                <w:tcPr>
                  <w:tcW w:w="708" w:type="dxa"/>
                  <w:vMerge w:val="continue"/>
                  <w:vAlign w:val="center"/>
                </w:tcPr>
                <w:p>
                  <w:pPr>
                    <w:pStyle w:val="35"/>
                  </w:pPr>
                </w:p>
              </w:tc>
              <w:tc>
                <w:tcPr>
                  <w:tcW w:w="709" w:type="dxa"/>
                  <w:vAlign w:val="center"/>
                </w:tcPr>
                <w:p>
                  <w:pPr>
                    <w:pStyle w:val="35"/>
                  </w:pPr>
                  <w:r>
                    <w:t>470</w:t>
                  </w:r>
                </w:p>
              </w:tc>
              <w:tc>
                <w:tcPr>
                  <w:tcW w:w="709" w:type="dxa"/>
                  <w:vAlign w:val="center"/>
                </w:tcPr>
                <w:p>
                  <w:pPr>
                    <w:pStyle w:val="35"/>
                  </w:pPr>
                  <w:r>
                    <w:t>0.021</w:t>
                  </w:r>
                </w:p>
              </w:tc>
              <w:tc>
                <w:tcPr>
                  <w:tcW w:w="684" w:type="dxa"/>
                  <w:vAlign w:val="center"/>
                </w:tcPr>
                <w:p>
                  <w:pPr>
                    <w:pStyle w:val="35"/>
                  </w:pPr>
                  <w:r>
                    <w:t>1.85</w:t>
                  </w:r>
                </w:p>
              </w:tc>
              <w:tc>
                <w:tcPr>
                  <w:tcW w:w="616" w:type="dxa"/>
                  <w:vAlign w:val="center"/>
                </w:tcPr>
                <w:p>
                  <w:pPr>
                    <w:pStyle w:val="35"/>
                  </w:pPr>
                  <w:r>
                    <w:t>0.84</w:t>
                  </w:r>
                </w:p>
              </w:tc>
              <w:tc>
                <w:tcPr>
                  <w:tcW w:w="853" w:type="dxa"/>
                  <w:vAlign w:val="center"/>
                </w:tcPr>
                <w:p>
                  <w:pPr>
                    <w:pStyle w:val="35"/>
                  </w:pPr>
                  <w:r>
                    <w:t>0.014</w:t>
                  </w:r>
                </w:p>
              </w:tc>
              <w:tc>
                <w:tcPr>
                  <w:tcW w:w="652" w:type="dxa"/>
                  <w:vAlign w:val="center"/>
                </w:tcPr>
                <w:p>
                  <w:pPr>
                    <w:pStyle w:val="35"/>
                  </w:pPr>
                  <w:r>
                    <w:t>50</w:t>
                  </w:r>
                </w:p>
                <w:bookmarkEnd w:id="9"/>
              </w:tc>
            </w:tr>
            <w:bookmarkEnd w:id="10"/>
          </w:tbl>
          <w:p>
            <w:pPr>
              <w:pStyle w:val="29"/>
              <w:ind w:firstLine="480"/>
            </w:pPr>
            <w:r>
              <w:rPr>
                <w:rFonts w:hint="eastAsia"/>
              </w:rPr>
              <w:t>根据计算，产生有害气体无组织排放单元的卫生防护距离均小于50m，产生有害气体无组织排放单元的防护距离小于100m时，其级差为50m，并且当有两种污染物单独计算并确定的卫生防护距离相同，则提一级。根据上表的计算结果，根据卫生防护距离的确定原则，确定本项目卫生防护距离推荐值为生产车间边界向外100m范围。本项目卫生防护距离内无居民等敏感保护目标，以后卫生防护距离内不适宜建设居民区等对外环境敏感的项目。</w:t>
            </w:r>
          </w:p>
          <w:p>
            <w:pPr>
              <w:pStyle w:val="14"/>
            </w:pPr>
            <w:r>
              <w:t>5</w:t>
            </w:r>
            <w:r>
              <w:rPr>
                <w:rFonts w:hint="eastAsia"/>
              </w:rPr>
              <w:t>、措施可行性分析</w:t>
            </w:r>
          </w:p>
          <w:p>
            <w:pPr>
              <w:pStyle w:val="14"/>
            </w:pPr>
            <w:r>
              <w:rPr>
                <w:rFonts w:hint="eastAsia"/>
              </w:rPr>
              <w:t>废气处理系统</w:t>
            </w:r>
          </w:p>
          <w:p>
            <w:pPr>
              <w:pStyle w:val="29"/>
              <w:ind w:firstLine="480"/>
            </w:pPr>
            <w:r>
              <w:rPr>
                <w:rFonts w:hint="eastAsia"/>
              </w:rPr>
              <w:t>本项目废气收集、处理装置及排气筒设置见表</w:t>
            </w:r>
            <w:r>
              <w:t>4-10</w:t>
            </w:r>
            <w:r>
              <w:rPr>
                <w:rFonts w:hint="eastAsia"/>
              </w:rPr>
              <w:t>。</w:t>
            </w:r>
          </w:p>
          <w:p>
            <w:pPr>
              <w:pStyle w:val="12"/>
            </w:pPr>
            <w:r>
              <w:rPr>
                <w:rFonts w:hint="eastAsia"/>
              </w:rPr>
              <w:t>表</w:t>
            </w:r>
            <w:r>
              <w:t xml:space="preserve">4-10   </w:t>
            </w:r>
            <w:r>
              <w:rPr>
                <w:rFonts w:hint="eastAsia"/>
              </w:rPr>
              <w:t>废气收集排放情况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699"/>
              <w:gridCol w:w="1286"/>
              <w:gridCol w:w="1286"/>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735" w:type="pct"/>
                  <w:gridSpan w:val="2"/>
                  <w:vAlign w:val="center"/>
                </w:tcPr>
                <w:p>
                  <w:pPr>
                    <w:pStyle w:val="35"/>
                  </w:pPr>
                  <w:r>
                    <w:rPr>
                      <w:rFonts w:hint="eastAsia"/>
                    </w:rPr>
                    <w:t>废气污染源</w:t>
                  </w:r>
                </w:p>
              </w:tc>
              <w:tc>
                <w:tcPr>
                  <w:tcW w:w="781" w:type="pct"/>
                  <w:vAlign w:val="center"/>
                </w:tcPr>
                <w:p>
                  <w:pPr>
                    <w:pStyle w:val="35"/>
                  </w:pPr>
                  <w:r>
                    <w:rPr>
                      <w:rFonts w:hint="eastAsia"/>
                    </w:rPr>
                    <w:t>预处理系统</w:t>
                  </w:r>
                </w:p>
              </w:tc>
              <w:tc>
                <w:tcPr>
                  <w:tcW w:w="781" w:type="pct"/>
                  <w:vAlign w:val="center"/>
                </w:tcPr>
                <w:p>
                  <w:pPr>
                    <w:pStyle w:val="35"/>
                  </w:pPr>
                  <w:r>
                    <w:rPr>
                      <w:rFonts w:hint="eastAsia"/>
                    </w:rPr>
                    <w:t>处理系统</w:t>
                  </w:r>
                </w:p>
              </w:tc>
              <w:tc>
                <w:tcPr>
                  <w:tcW w:w="700" w:type="pct"/>
                  <w:vAlign w:val="center"/>
                </w:tcPr>
                <w:p>
                  <w:pPr>
                    <w:pStyle w:val="35"/>
                  </w:pPr>
                  <w:r>
                    <w:rPr>
                      <w:rFonts w:hint="eastAsia"/>
                    </w:rPr>
                    <w:t>排放系统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4" w:type="pct"/>
                  <w:vAlign w:val="center"/>
                </w:tcPr>
                <w:p>
                  <w:pPr>
                    <w:pStyle w:val="35"/>
                  </w:pPr>
                  <w:r>
                    <w:rPr>
                      <w:rFonts w:hint="eastAsia"/>
                    </w:rPr>
                    <w:t>清洗</w:t>
                  </w:r>
                </w:p>
              </w:tc>
              <w:tc>
                <w:tcPr>
                  <w:tcW w:w="1640" w:type="pct"/>
                  <w:vAlign w:val="center"/>
                </w:tcPr>
                <w:p>
                  <w:pPr>
                    <w:pStyle w:val="35"/>
                  </w:pPr>
                  <w:r>
                    <w:rPr>
                      <w:rFonts w:hint="eastAsia"/>
                    </w:rPr>
                    <w:t>非甲烷总烃</w:t>
                  </w:r>
                </w:p>
              </w:tc>
              <w:tc>
                <w:tcPr>
                  <w:tcW w:w="781" w:type="pct"/>
                  <w:vAlign w:val="center"/>
                </w:tcPr>
                <w:p>
                  <w:pPr>
                    <w:pStyle w:val="35"/>
                  </w:pPr>
                  <w:r>
                    <w:t>/</w:t>
                  </w:r>
                </w:p>
              </w:tc>
              <w:tc>
                <w:tcPr>
                  <w:tcW w:w="1286" w:type="dxa"/>
                  <w:vAlign w:val="center"/>
                </w:tcPr>
                <w:p>
                  <w:pPr>
                    <w:pStyle w:val="35"/>
                  </w:pPr>
                  <w:r>
                    <w:rPr>
                      <w:rFonts w:hint="eastAsia"/>
                    </w:rPr>
                    <w:t>二级活性炭吸附装置</w:t>
                  </w:r>
                </w:p>
              </w:tc>
              <w:tc>
                <w:tcPr>
                  <w:tcW w:w="1153" w:type="dxa"/>
                  <w:vAlign w:val="center"/>
                </w:tcPr>
                <w:p>
                  <w:pPr>
                    <w:pStyle w:val="35"/>
                  </w:pPr>
                  <w:r>
                    <w:t>15m</w:t>
                  </w:r>
                  <w:r>
                    <w:rPr>
                      <w:rFonts w:hint="eastAsia"/>
                    </w:rPr>
                    <w:t>排气筒</w:t>
                  </w:r>
                  <w:r>
                    <w:t>DA001</w:t>
                  </w:r>
                </w:p>
              </w:tc>
            </w:tr>
          </w:tbl>
          <w:p>
            <w:pPr>
              <w:pStyle w:val="29"/>
              <w:ind w:firstLine="480"/>
              <w:rPr>
                <w:rFonts w:hint="eastAsia"/>
              </w:rPr>
            </w:pPr>
            <w:r>
              <w:rPr>
                <w:rFonts w:hint="eastAsia"/>
              </w:rPr>
              <w:t>项目废气处理系统见下图</w:t>
            </w:r>
            <w:r>
              <w:t>4-1</w:t>
            </w:r>
            <w:r>
              <w:rPr>
                <w:rFonts w:hint="eastAsia"/>
              </w:rPr>
              <w:t>。</w:t>
            </w:r>
          </w:p>
          <w:p>
            <w:pPr>
              <w:pStyle w:val="29"/>
              <w:ind w:firstLine="480"/>
              <w:rPr>
                <w:rFonts w:hint="eastAsia"/>
              </w:rPr>
            </w:pPr>
          </w:p>
          <w:p>
            <w:pPr>
              <w:tabs>
                <w:tab w:val="left" w:pos="1666"/>
              </w:tabs>
              <w:jc w:val="center"/>
              <w:rPr>
                <w:b/>
              </w:rPr>
            </w:pPr>
            <w:r>
              <w:rPr>
                <w:b/>
              </w:rPr>
              <w:object>
                <v:shape id="_x0000_i1028" o:spt="75" type="#_x0000_t75" style="height:42.45pt;width:411.5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pPr>
              <w:pStyle w:val="12"/>
            </w:pPr>
            <w:r>
              <w:rPr>
                <w:rFonts w:hint="eastAsia"/>
              </w:rPr>
              <w:t>图</w:t>
            </w:r>
            <w:r>
              <w:t xml:space="preserve">4-1  </w:t>
            </w:r>
            <w:r>
              <w:rPr>
                <w:rFonts w:hint="eastAsia"/>
              </w:rPr>
              <w:t>本项目废气处理系统图</w:t>
            </w:r>
          </w:p>
          <w:p>
            <w:pPr>
              <w:pStyle w:val="14"/>
              <w:rPr>
                <w:snapToGrid w:val="0"/>
              </w:rPr>
            </w:pPr>
            <w:r>
              <w:rPr>
                <w:rFonts w:hint="eastAsia"/>
                <w:snapToGrid w:val="0"/>
              </w:rPr>
              <w:t>废气污染防治措施</w:t>
            </w:r>
          </w:p>
          <w:p>
            <w:pPr>
              <w:pStyle w:val="29"/>
              <w:ind w:firstLine="480"/>
            </w:pPr>
            <w:r>
              <w:rPr>
                <w:rFonts w:hint="eastAsia"/>
              </w:rPr>
              <w:t>活性炭吸附装置</w:t>
            </w:r>
          </w:p>
          <w:p>
            <w:pPr>
              <w:pStyle w:val="29"/>
              <w:ind w:firstLine="480"/>
            </w:pPr>
            <w:r>
              <w:rPr>
                <w:rFonts w:hint="eastAsia"/>
              </w:rPr>
              <w:t>本项目二级活性炭的处理效率可达</w:t>
            </w:r>
            <w:r>
              <w:t>90%</w:t>
            </w:r>
            <w:r>
              <w:rPr>
                <w:rFonts w:hint="eastAsia"/>
              </w:rPr>
              <w:t>，为保证有机废气吸附净化效率，活性炭吸附装置配备压差计、温度报警器等，企业在运行过程中将定期更换吸附饱和的活性炭，确保各废气处理装置处于正常稳定的工作状态，本项目活性炭吸附装置具体参数见下表。</w:t>
            </w:r>
          </w:p>
          <w:p>
            <w:pPr>
              <w:pStyle w:val="12"/>
            </w:pPr>
            <w:r>
              <w:rPr>
                <w:rFonts w:hint="eastAsia"/>
              </w:rPr>
              <w:t>表</w:t>
            </w:r>
            <w:r>
              <w:t xml:space="preserve">4-11   </w:t>
            </w:r>
            <w:r>
              <w:rPr>
                <w:rFonts w:hint="eastAsia"/>
              </w:rPr>
              <w:t>活性炭吸附装置技术参数一览表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673"/>
              <w:gridCol w:w="4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rPr>
                      <w:rFonts w:hint="eastAsia"/>
                    </w:rPr>
                    <w:t>序号</w:t>
                  </w:r>
                </w:p>
              </w:tc>
              <w:tc>
                <w:tcPr>
                  <w:tcW w:w="1626" w:type="pct"/>
                  <w:vAlign w:val="center"/>
                </w:tcPr>
                <w:p>
                  <w:pPr>
                    <w:pStyle w:val="35"/>
                  </w:pPr>
                  <w:r>
                    <w:rPr>
                      <w:rFonts w:hint="eastAsia"/>
                    </w:rPr>
                    <w:t>项目</w:t>
                  </w:r>
                </w:p>
              </w:tc>
              <w:tc>
                <w:tcPr>
                  <w:tcW w:w="2968" w:type="pct"/>
                  <w:vAlign w:val="center"/>
                </w:tcPr>
                <w:p>
                  <w:pPr>
                    <w:pStyle w:val="35"/>
                  </w:pPr>
                  <w:r>
                    <w:rPr>
                      <w:rFonts w:hint="eastAsia"/>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06" w:type="pct"/>
                  <w:vAlign w:val="center"/>
                </w:tcPr>
                <w:p>
                  <w:pPr>
                    <w:pStyle w:val="35"/>
                  </w:pPr>
                  <w:r>
                    <w:t>1</w:t>
                  </w:r>
                </w:p>
              </w:tc>
              <w:tc>
                <w:tcPr>
                  <w:tcW w:w="1626" w:type="pct"/>
                  <w:vAlign w:val="center"/>
                </w:tcPr>
                <w:p>
                  <w:pPr>
                    <w:pStyle w:val="35"/>
                  </w:pPr>
                  <w:r>
                    <w:rPr>
                      <w:rFonts w:hint="eastAsia"/>
                    </w:rPr>
                    <w:t>配套风机风量（</w:t>
                  </w:r>
                  <w:r>
                    <w:t>m</w:t>
                  </w:r>
                  <w:r>
                    <w:rPr>
                      <w:vertAlign w:val="superscript"/>
                    </w:rPr>
                    <w:t>3</w:t>
                  </w:r>
                  <w:r>
                    <w:t>/h</w:t>
                  </w:r>
                  <w:r>
                    <w:rPr>
                      <w:rFonts w:hint="eastAsia"/>
                    </w:rPr>
                    <w:t>）</w:t>
                  </w:r>
                </w:p>
              </w:tc>
              <w:tc>
                <w:tcPr>
                  <w:tcW w:w="2968" w:type="pct"/>
                  <w:vAlign w:val="center"/>
                </w:tcPr>
                <w:p>
                  <w:pPr>
                    <w:pStyle w:val="35"/>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2</w:t>
                  </w:r>
                </w:p>
              </w:tc>
              <w:tc>
                <w:tcPr>
                  <w:tcW w:w="1626" w:type="pct"/>
                  <w:vAlign w:val="center"/>
                </w:tcPr>
                <w:p>
                  <w:pPr>
                    <w:pStyle w:val="35"/>
                  </w:pPr>
                  <w:r>
                    <w:rPr>
                      <w:rFonts w:hint="eastAsia"/>
                    </w:rPr>
                    <w:t>粒度（目）</w:t>
                  </w:r>
                  <w:r>
                    <w:t>/</w:t>
                  </w:r>
                  <w:r>
                    <w:rPr>
                      <w:rFonts w:hint="eastAsia"/>
                    </w:rPr>
                    <w:t>规格</w:t>
                  </w:r>
                </w:p>
              </w:tc>
              <w:tc>
                <w:tcPr>
                  <w:tcW w:w="2968" w:type="pct"/>
                  <w:vAlign w:val="center"/>
                </w:tcPr>
                <w:p>
                  <w:pPr>
                    <w:pStyle w:val="35"/>
                  </w:pPr>
                  <w:r>
                    <w:t>4*6</w:t>
                  </w:r>
                  <w:r>
                    <w:rPr>
                      <w:rFonts w:hint="eastAsia"/>
                    </w:rPr>
                    <w:t>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3</w:t>
                  </w:r>
                </w:p>
              </w:tc>
              <w:tc>
                <w:tcPr>
                  <w:tcW w:w="1626" w:type="pct"/>
                  <w:vAlign w:val="center"/>
                </w:tcPr>
                <w:p>
                  <w:pPr>
                    <w:pStyle w:val="35"/>
                  </w:pPr>
                  <w:r>
                    <w:rPr>
                      <w:rFonts w:hint="eastAsia"/>
                    </w:rPr>
                    <w:t>比表面积（</w:t>
                  </w:r>
                  <w:r>
                    <w:t>m</w:t>
                  </w:r>
                  <w:r>
                    <w:rPr>
                      <w:vertAlign w:val="superscript"/>
                    </w:rPr>
                    <w:t>2</w:t>
                  </w:r>
                  <w:r>
                    <w:t>/g</w:t>
                  </w:r>
                  <w:r>
                    <w:rPr>
                      <w:rFonts w:hint="eastAsia"/>
                    </w:rPr>
                    <w:t>）</w:t>
                  </w:r>
                </w:p>
              </w:tc>
              <w:tc>
                <w:tcPr>
                  <w:tcW w:w="2968" w:type="pct"/>
                  <w:vAlign w:val="center"/>
                </w:tcPr>
                <w:p>
                  <w:pPr>
                    <w:pStyle w:val="35"/>
                  </w:pPr>
                  <w: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4</w:t>
                  </w:r>
                </w:p>
              </w:tc>
              <w:tc>
                <w:tcPr>
                  <w:tcW w:w="1626" w:type="pct"/>
                  <w:vAlign w:val="center"/>
                </w:tcPr>
                <w:p>
                  <w:pPr>
                    <w:pStyle w:val="35"/>
                  </w:pPr>
                  <w:r>
                    <w:rPr>
                      <w:rFonts w:hint="eastAsia"/>
                    </w:rPr>
                    <w:t>总孔容积（</w:t>
                  </w:r>
                  <w:r>
                    <w:t>cm</w:t>
                  </w:r>
                  <w:r>
                    <w:rPr>
                      <w:vertAlign w:val="superscript"/>
                    </w:rPr>
                    <w:t>3</w:t>
                  </w:r>
                  <w:r>
                    <w:t>/g</w:t>
                  </w:r>
                  <w:r>
                    <w:rPr>
                      <w:rFonts w:hint="eastAsia"/>
                    </w:rPr>
                    <w:t>）</w:t>
                  </w:r>
                </w:p>
              </w:tc>
              <w:tc>
                <w:tcPr>
                  <w:tcW w:w="2968" w:type="pct"/>
                  <w:vAlign w:val="center"/>
                </w:tcPr>
                <w:p>
                  <w:pPr>
                    <w:pStyle w:val="35"/>
                  </w:pPr>
                  <w: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5</w:t>
                  </w:r>
                </w:p>
              </w:tc>
              <w:tc>
                <w:tcPr>
                  <w:tcW w:w="1626" w:type="pct"/>
                  <w:vAlign w:val="center"/>
                </w:tcPr>
                <w:p>
                  <w:pPr>
                    <w:pStyle w:val="35"/>
                  </w:pPr>
                  <w:r>
                    <w:rPr>
                      <w:rFonts w:hint="eastAsia"/>
                    </w:rPr>
                    <w:t>水分</w:t>
                  </w:r>
                </w:p>
              </w:tc>
              <w:tc>
                <w:tcPr>
                  <w:tcW w:w="2968" w:type="pct"/>
                  <w:vAlign w:val="center"/>
                </w:tcPr>
                <w:p>
                  <w:pPr>
                    <w:pStyle w:val="35"/>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6</w:t>
                  </w:r>
                </w:p>
              </w:tc>
              <w:tc>
                <w:tcPr>
                  <w:tcW w:w="1626" w:type="pct"/>
                  <w:vAlign w:val="center"/>
                </w:tcPr>
                <w:p>
                  <w:pPr>
                    <w:pStyle w:val="35"/>
                  </w:pPr>
                  <w:r>
                    <w:rPr>
                      <w:rFonts w:hint="eastAsia"/>
                    </w:rPr>
                    <w:t>单位体积重（</w:t>
                  </w:r>
                  <w:r>
                    <w:t>kg/m</w:t>
                  </w:r>
                  <w:r>
                    <w:rPr>
                      <w:vertAlign w:val="superscript"/>
                    </w:rPr>
                    <w:t>3</w:t>
                  </w:r>
                  <w:r>
                    <w:rPr>
                      <w:rFonts w:hint="eastAsia"/>
                    </w:rPr>
                    <w:t>）</w:t>
                  </w:r>
                </w:p>
              </w:tc>
              <w:tc>
                <w:tcPr>
                  <w:tcW w:w="2968" w:type="pct"/>
                  <w:vAlign w:val="center"/>
                </w:tcPr>
                <w:p>
                  <w:pPr>
                    <w:pStyle w:val="35"/>
                  </w:pP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7</w:t>
                  </w:r>
                </w:p>
              </w:tc>
              <w:tc>
                <w:tcPr>
                  <w:tcW w:w="1626" w:type="pct"/>
                  <w:vAlign w:val="center"/>
                </w:tcPr>
                <w:p>
                  <w:pPr>
                    <w:pStyle w:val="35"/>
                  </w:pPr>
                  <w:r>
                    <w:rPr>
                      <w:rFonts w:hint="eastAsia"/>
                    </w:rPr>
                    <w:t>碘吸附值（mg/g）</w:t>
                  </w:r>
                </w:p>
              </w:tc>
              <w:tc>
                <w:tcPr>
                  <w:tcW w:w="2968" w:type="pct"/>
                  <w:vAlign w:val="center"/>
                </w:tcPr>
                <w:p>
                  <w:pPr>
                    <w:pStyle w:val="35"/>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Align w:val="center"/>
                </w:tcPr>
                <w:p>
                  <w:pPr>
                    <w:pStyle w:val="35"/>
                  </w:pPr>
                  <w:r>
                    <w:t>8</w:t>
                  </w:r>
                </w:p>
              </w:tc>
              <w:tc>
                <w:tcPr>
                  <w:tcW w:w="1626" w:type="pct"/>
                  <w:vAlign w:val="center"/>
                </w:tcPr>
                <w:p>
                  <w:pPr>
                    <w:pStyle w:val="35"/>
                  </w:pPr>
                  <w:r>
                    <w:rPr>
                      <w:rFonts w:hint="eastAsia"/>
                    </w:rPr>
                    <w:t>活性炭吸附装置尺寸</w:t>
                  </w:r>
                </w:p>
              </w:tc>
              <w:tc>
                <w:tcPr>
                  <w:tcW w:w="2968" w:type="pct"/>
                  <w:vAlign w:val="center"/>
                </w:tcPr>
                <w:p>
                  <w:pPr>
                    <w:pStyle w:val="35"/>
                  </w:pPr>
                  <w:r>
                    <w:rPr>
                      <w:rFonts w:hint="eastAsia"/>
                    </w:rPr>
                    <w:t>2</w:t>
                  </w:r>
                  <w:r>
                    <w:t>m*1.25m*1.25m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06" w:type="pct"/>
                  <w:vAlign w:val="center"/>
                </w:tcPr>
                <w:p>
                  <w:pPr>
                    <w:pStyle w:val="35"/>
                  </w:pPr>
                  <w:r>
                    <w:t>9</w:t>
                  </w:r>
                </w:p>
              </w:tc>
              <w:tc>
                <w:tcPr>
                  <w:tcW w:w="1626" w:type="pct"/>
                  <w:vAlign w:val="center"/>
                </w:tcPr>
                <w:p>
                  <w:pPr>
                    <w:pStyle w:val="35"/>
                  </w:pPr>
                  <w:r>
                    <w:rPr>
                      <w:rFonts w:hint="eastAsia"/>
                    </w:rPr>
                    <w:t>总填充量（</w:t>
                  </w:r>
                  <w:r>
                    <w:t>t/</w:t>
                  </w:r>
                  <w:r>
                    <w:rPr>
                      <w:rFonts w:hint="eastAsia"/>
                    </w:rPr>
                    <w:t>次）</w:t>
                  </w:r>
                </w:p>
              </w:tc>
              <w:tc>
                <w:tcPr>
                  <w:tcW w:w="2968" w:type="pct"/>
                  <w:vAlign w:val="center"/>
                </w:tcPr>
                <w:p>
                  <w:pPr>
                    <w:pStyle w:val="35"/>
                  </w:pPr>
                  <w:r>
                    <w:t>0.7t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406" w:type="pct"/>
                  <w:vAlign w:val="center"/>
                </w:tcPr>
                <w:p>
                  <w:pPr>
                    <w:pStyle w:val="35"/>
                  </w:pPr>
                  <w:r>
                    <w:t>10</w:t>
                  </w:r>
                </w:p>
              </w:tc>
              <w:tc>
                <w:tcPr>
                  <w:tcW w:w="1626" w:type="pct"/>
                  <w:vAlign w:val="center"/>
                </w:tcPr>
                <w:p>
                  <w:pPr>
                    <w:pStyle w:val="35"/>
                  </w:pPr>
                  <w:r>
                    <w:rPr>
                      <w:rFonts w:hint="eastAsia"/>
                    </w:rPr>
                    <w:t>更换周期</w:t>
                  </w:r>
                </w:p>
              </w:tc>
              <w:tc>
                <w:tcPr>
                  <w:tcW w:w="2968" w:type="pct"/>
                  <w:vAlign w:val="center"/>
                </w:tcPr>
                <w:p>
                  <w:pPr>
                    <w:pStyle w:val="35"/>
                  </w:pPr>
                  <w:r>
                    <w:t>1</w:t>
                  </w:r>
                  <w:r>
                    <w:rPr>
                      <w:rFonts w:hint="eastAsia"/>
                    </w:rPr>
                    <w:t>季度</w:t>
                  </w:r>
                </w:p>
              </w:tc>
            </w:tr>
          </w:tbl>
          <w:p>
            <w:pPr>
              <w:pStyle w:val="29"/>
              <w:ind w:firstLine="480"/>
            </w:pPr>
            <w:r>
              <w:rPr>
                <w:rFonts w:hint="eastAsia"/>
              </w:rPr>
              <w:t>根据《吸附法工业有机废气治理工程技术规范》（</w:t>
            </w:r>
            <w:r>
              <w:t>HJ2026-2013</w:t>
            </w:r>
            <w:r>
              <w:rPr>
                <w:rFonts w:hint="eastAsia"/>
              </w:rPr>
              <w:t>）、并结合本项目废气产生实际情况，企业应满足的要求及实施情况如下。</w:t>
            </w:r>
          </w:p>
          <w:p>
            <w:pPr>
              <w:pStyle w:val="12"/>
            </w:pPr>
            <w:r>
              <w:rPr>
                <w:rFonts w:hint="eastAsia"/>
              </w:rPr>
              <w:t>表</w:t>
            </w:r>
            <w:r>
              <w:t xml:space="preserve">4-12  </w:t>
            </w:r>
            <w:r>
              <w:rPr>
                <w:rFonts w:hint="eastAsia"/>
              </w:rPr>
              <w:t>本项目吸附法处理有机废气技术规范相符情况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83"/>
              <w:gridCol w:w="4283"/>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96" w:type="pct"/>
                  <w:vAlign w:val="center"/>
                </w:tcPr>
                <w:p>
                  <w:pPr>
                    <w:pStyle w:val="35"/>
                  </w:pPr>
                  <w:r>
                    <w:rPr>
                      <w:rFonts w:hint="eastAsia"/>
                    </w:rPr>
                    <w:t>序号</w:t>
                  </w:r>
                </w:p>
              </w:tc>
              <w:tc>
                <w:tcPr>
                  <w:tcW w:w="3019" w:type="pct"/>
                  <w:gridSpan w:val="2"/>
                  <w:vAlign w:val="center"/>
                </w:tcPr>
                <w:p>
                  <w:pPr>
                    <w:pStyle w:val="35"/>
                  </w:pPr>
                  <w:r>
                    <w:rPr>
                      <w:rFonts w:hint="eastAsia"/>
                    </w:rPr>
                    <w:t>《吸附法工业有机废气治理工程技术规范》</w:t>
                  </w:r>
                </w:p>
              </w:tc>
              <w:tc>
                <w:tcPr>
                  <w:tcW w:w="1585" w:type="pct"/>
                  <w:vAlign w:val="center"/>
                </w:tcPr>
                <w:p>
                  <w:pPr>
                    <w:pStyle w:val="35"/>
                  </w:pPr>
                  <w:r>
                    <w:rPr>
                      <w:rFonts w:hint="eastAsia"/>
                    </w:rPr>
                    <w:t>本项目实施情况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396" w:type="pct"/>
                  <w:vMerge w:val="restart"/>
                  <w:vAlign w:val="center"/>
                </w:tcPr>
                <w:p>
                  <w:pPr>
                    <w:pStyle w:val="35"/>
                  </w:pPr>
                  <w:r>
                    <w:rPr>
                      <w:rFonts w:hint="eastAsia"/>
                    </w:rPr>
                    <w:t>工艺设计</w:t>
                  </w:r>
                </w:p>
              </w:tc>
              <w:tc>
                <w:tcPr>
                  <w:tcW w:w="415" w:type="pct"/>
                  <w:vMerge w:val="restart"/>
                  <w:vAlign w:val="center"/>
                </w:tcPr>
                <w:p>
                  <w:pPr>
                    <w:pStyle w:val="35"/>
                  </w:pPr>
                  <w:r>
                    <w:rPr>
                      <w:rFonts w:hint="eastAsia"/>
                    </w:rPr>
                    <w:t>废气收集</w:t>
                  </w:r>
                </w:p>
              </w:tc>
              <w:tc>
                <w:tcPr>
                  <w:tcW w:w="2604" w:type="pct"/>
                  <w:vAlign w:val="center"/>
                </w:tcPr>
                <w:p>
                  <w:pPr>
                    <w:pStyle w:val="35"/>
                  </w:pPr>
                  <w:r>
                    <w:rPr>
                      <w:rFonts w:hint="eastAsia"/>
                    </w:rPr>
                    <w:t>吸附装置的效率不得低于</w:t>
                  </w:r>
                  <w:r>
                    <w:t>90%</w:t>
                  </w:r>
                </w:p>
              </w:tc>
              <w:tc>
                <w:tcPr>
                  <w:tcW w:w="1585" w:type="pct"/>
                  <w:vAlign w:val="center"/>
                </w:tcPr>
                <w:p>
                  <w:pPr>
                    <w:pStyle w:val="35"/>
                  </w:pPr>
                  <w:r>
                    <w:rPr>
                      <w:rFonts w:hint="eastAsia"/>
                    </w:rPr>
                    <w:t>本项目废气浓度较低，吸附装置效率</w:t>
                  </w:r>
                  <w:r>
                    <w:t>90%</w:t>
                  </w:r>
                  <w:r>
                    <w:rPr>
                      <w:rFonts w:hint="eastAsia"/>
                    </w:rPr>
                    <w:t>可满足要求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废气收集系统设计应符合</w:t>
                  </w:r>
                  <w:r>
                    <w:t>GB50019</w:t>
                  </w:r>
                  <w:r>
                    <w:rPr>
                      <w:rFonts w:hint="eastAsia"/>
                    </w:rPr>
                    <w:t>的规定</w:t>
                  </w:r>
                </w:p>
              </w:tc>
              <w:tc>
                <w:tcPr>
                  <w:tcW w:w="1585" w:type="pct"/>
                  <w:vAlign w:val="center"/>
                </w:tcPr>
                <w:p>
                  <w:pPr>
                    <w:pStyle w:val="35"/>
                  </w:pPr>
                  <w:r>
                    <w:rPr>
                      <w:rFonts w:hint="eastAsia"/>
                    </w:rPr>
                    <w:t>本项目废气收集系统设计应符合</w:t>
                  </w:r>
                  <w:r>
                    <w:t>GB50019</w:t>
                  </w:r>
                  <w:r>
                    <w:rPr>
                      <w:rFonts w:hint="eastAsia"/>
                    </w:rPr>
                    <w:t>的规定，符合规范要求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应尽可能利用主体生产装置本身的废气收集系统进行收集。集气罩的配置应与生产工艺协调一致，不影响工艺操作。在保证收集能力的前提下，应结构简单，便于安装和维护管理</w:t>
                  </w:r>
                </w:p>
              </w:tc>
              <w:tc>
                <w:tcPr>
                  <w:tcW w:w="1585" w:type="pct"/>
                  <w:vAlign w:val="center"/>
                </w:tcPr>
                <w:p>
                  <w:pPr>
                    <w:pStyle w:val="35"/>
                  </w:pPr>
                  <w:r>
                    <w:rPr>
                      <w:rFonts w:hint="eastAsia"/>
                    </w:rPr>
                    <w:t>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确定集气罩的吸气口装置、结构和风速时，应使罩口呈微负压状态，且罩内负压均匀。</w:t>
                  </w:r>
                </w:p>
              </w:tc>
              <w:tc>
                <w:tcPr>
                  <w:tcW w:w="1585" w:type="pct"/>
                  <w:vAlign w:val="center"/>
                </w:tcPr>
                <w:p>
                  <w:pPr>
                    <w:pStyle w:val="35"/>
                  </w:pPr>
                  <w:r>
                    <w:rPr>
                      <w:rFonts w:hint="eastAsia"/>
                    </w:rPr>
                    <w:t>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集气罩的吸气方向应尽可能与污染气流运动方向一致，防止吸气罩周围气流紊乱，避免或减弱干扰气流和送风气流等对吸气气流的影响。</w:t>
                  </w:r>
                </w:p>
              </w:tc>
              <w:tc>
                <w:tcPr>
                  <w:tcW w:w="1585" w:type="pct"/>
                  <w:vAlign w:val="center"/>
                </w:tcPr>
                <w:p>
                  <w:pPr>
                    <w:pStyle w:val="35"/>
                  </w:pPr>
                  <w:r>
                    <w:rPr>
                      <w:rFonts w:hint="eastAsia"/>
                    </w:rPr>
                    <w:t>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当废气产生点较多、彼此距离较远时，应适当分设多套收集系统</w:t>
                  </w:r>
                </w:p>
              </w:tc>
              <w:tc>
                <w:tcPr>
                  <w:tcW w:w="1585" w:type="pct"/>
                  <w:vAlign w:val="center"/>
                </w:tcPr>
                <w:p>
                  <w:pPr>
                    <w:pStyle w:val="35"/>
                  </w:pPr>
                  <w:r>
                    <w:rPr>
                      <w:rFonts w:hint="eastAsia"/>
                    </w:rPr>
                    <w:t>本项目各产污节点均配有集气系统，符合规范要求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415" w:type="pct"/>
                  <w:vAlign w:val="center"/>
                </w:tcPr>
                <w:p>
                  <w:pPr>
                    <w:pStyle w:val="35"/>
                  </w:pPr>
                  <w:r>
                    <w:rPr>
                      <w:rFonts w:hint="eastAsia"/>
                    </w:rPr>
                    <w:t>预处理</w:t>
                  </w:r>
                </w:p>
              </w:tc>
              <w:tc>
                <w:tcPr>
                  <w:tcW w:w="2604" w:type="pct"/>
                  <w:vAlign w:val="center"/>
                </w:tcPr>
                <w:p>
                  <w:pPr>
                    <w:pStyle w:val="35"/>
                  </w:pPr>
                  <w:r>
                    <w:rPr>
                      <w:rFonts w:hint="eastAsia"/>
                    </w:rPr>
                    <w:t>预处理设备应根据废气的成分、性质和影响吸附过程的物质性质及含量进行选择；当废气中颗粒物含量超过</w:t>
                  </w:r>
                  <w:r>
                    <w:t>1mg/m</w:t>
                  </w:r>
                  <w:r>
                    <w:rPr>
                      <w:vertAlign w:val="superscript"/>
                    </w:rPr>
                    <w:t>3</w:t>
                  </w:r>
                  <w:r>
                    <w:rPr>
                      <w:rFonts w:hint="eastAsia"/>
                    </w:rPr>
                    <w:t>时，应先采用过滤或洗涤等方式进行预处理；当废气中含有吸附后难以脱附或造成吸附剂中毒的成分时，应采用洗涤或预吸附等预处理方式处理；过滤装置两端应装设压差计，当过滤器的阻力超过规定值时应及时清理或更换过滤材料</w:t>
                  </w:r>
                </w:p>
              </w:tc>
              <w:tc>
                <w:tcPr>
                  <w:tcW w:w="1585" w:type="pct"/>
                  <w:vAlign w:val="center"/>
                </w:tcPr>
                <w:p>
                  <w:pPr>
                    <w:pStyle w:val="35"/>
                  </w:pPr>
                  <w:r>
                    <w:rPr>
                      <w:rFonts w:hint="eastAsia"/>
                    </w:rPr>
                    <w:t>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415" w:type="pct"/>
                  <w:vAlign w:val="center"/>
                </w:tcPr>
                <w:p>
                  <w:pPr>
                    <w:pStyle w:val="35"/>
                  </w:pPr>
                  <w:r>
                    <w:rPr>
                      <w:rFonts w:hint="eastAsia"/>
                    </w:rPr>
                    <w:t>吸附剂的选择</w:t>
                  </w:r>
                </w:p>
              </w:tc>
              <w:tc>
                <w:tcPr>
                  <w:tcW w:w="2604" w:type="pct"/>
                  <w:vAlign w:val="center"/>
                </w:tcPr>
                <w:p>
                  <w:pPr>
                    <w:pStyle w:val="35"/>
                  </w:pPr>
                  <w:r>
                    <w:rPr>
                      <w:rFonts w:hint="eastAsia"/>
                    </w:rPr>
                    <w:t>固定床吸附装置吸附层的气体流速应根据吸附剂的形态确定。采用颗粒状吸附剂时，气体流速宜低于</w:t>
                  </w:r>
                  <w:r>
                    <w:t>0.60m/s</w:t>
                  </w:r>
                  <w:r>
                    <w:rPr>
                      <w:rFonts w:hint="eastAsia"/>
                    </w:rPr>
                    <w:t>；</w:t>
                  </w:r>
                </w:p>
              </w:tc>
              <w:tc>
                <w:tcPr>
                  <w:tcW w:w="1585" w:type="pct"/>
                  <w:vAlign w:val="center"/>
                </w:tcPr>
                <w:p>
                  <w:pPr>
                    <w:pStyle w:val="35"/>
                  </w:pPr>
                  <w:r>
                    <w:rPr>
                      <w:rFonts w:hint="eastAsia"/>
                    </w:rPr>
                    <w:t>按规范要求实施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415" w:type="pct"/>
                  <w:vMerge w:val="restart"/>
                  <w:vAlign w:val="center"/>
                </w:tcPr>
                <w:p>
                  <w:pPr>
                    <w:pStyle w:val="35"/>
                  </w:pPr>
                  <w:r>
                    <w:rPr>
                      <w:rFonts w:hint="eastAsia"/>
                    </w:rPr>
                    <w:t>二次污染物控制</w:t>
                  </w:r>
                </w:p>
              </w:tc>
              <w:tc>
                <w:tcPr>
                  <w:tcW w:w="2604" w:type="pct"/>
                  <w:vAlign w:val="center"/>
                </w:tcPr>
                <w:p>
                  <w:pPr>
                    <w:pStyle w:val="35"/>
                  </w:pPr>
                  <w:r>
                    <w:rPr>
                      <w:rFonts w:hint="eastAsia"/>
                    </w:rPr>
                    <w:t>预处理产生的粉尘和废渣以及更换后的过滤材料、吸附剂的处理应符合国家固体废弃物处理与处置的相关规定。</w:t>
                  </w:r>
                </w:p>
              </w:tc>
              <w:tc>
                <w:tcPr>
                  <w:tcW w:w="1585" w:type="pct"/>
                  <w:vAlign w:val="center"/>
                </w:tcPr>
                <w:p>
                  <w:pPr>
                    <w:pStyle w:val="35"/>
                  </w:pPr>
                  <w:r>
                    <w:rPr>
                      <w:rFonts w:hint="eastAsia"/>
                    </w:rPr>
                    <w:t>本项目废活性炭交由资质单位处理，符合规范要求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84" w:type="dxa"/>
                  <w:vMerge w:val="continue"/>
                  <w:vAlign w:val="center"/>
                </w:tcPr>
                <w:p>
                  <w:pPr>
                    <w:pStyle w:val="35"/>
                  </w:pPr>
                </w:p>
              </w:tc>
              <w:tc>
                <w:tcPr>
                  <w:tcW w:w="717" w:type="dxa"/>
                  <w:vMerge w:val="continue"/>
                  <w:vAlign w:val="center"/>
                </w:tcPr>
                <w:p>
                  <w:pPr>
                    <w:pStyle w:val="35"/>
                  </w:pPr>
                </w:p>
              </w:tc>
              <w:tc>
                <w:tcPr>
                  <w:tcW w:w="2604" w:type="pct"/>
                  <w:vAlign w:val="center"/>
                </w:tcPr>
                <w:p>
                  <w:pPr>
                    <w:pStyle w:val="35"/>
                  </w:pPr>
                  <w:r>
                    <w:rPr>
                      <w:rFonts w:hint="eastAsia"/>
                    </w:rPr>
                    <w:t>噪声控制应符合</w:t>
                  </w:r>
                  <w:r>
                    <w:t>GBJ87</w:t>
                  </w:r>
                  <w:r>
                    <w:rPr>
                      <w:rFonts w:hint="eastAsia"/>
                    </w:rPr>
                    <w:t>和</w:t>
                  </w:r>
                  <w:r>
                    <w:t>GB12348</w:t>
                  </w:r>
                  <w:r>
                    <w:rPr>
                      <w:rFonts w:hint="eastAsia"/>
                    </w:rPr>
                    <w:t>的规定</w:t>
                  </w:r>
                </w:p>
              </w:tc>
              <w:tc>
                <w:tcPr>
                  <w:tcW w:w="1585" w:type="pct"/>
                  <w:vAlign w:val="center"/>
                </w:tcPr>
                <w:p>
                  <w:pPr>
                    <w:pStyle w:val="35"/>
                  </w:pPr>
                  <w:r>
                    <w:rPr>
                      <w:rFonts w:hint="eastAsia"/>
                    </w:rPr>
                    <w:t>噪声控制符合</w:t>
                  </w:r>
                  <w:r>
                    <w:t>GBJ87</w:t>
                  </w:r>
                  <w:r>
                    <w:rPr>
                      <w:rFonts w:hint="eastAsia"/>
                    </w:rPr>
                    <w:t>和</w:t>
                  </w:r>
                  <w:r>
                    <w:t>GB12348</w:t>
                  </w:r>
                  <w:r>
                    <w:rPr>
                      <w:rFonts w:hint="eastAsia"/>
                    </w:rPr>
                    <w:t>的规定，符合规范要求</w:t>
                  </w:r>
                </w:p>
              </w:tc>
            </w:tr>
          </w:tbl>
          <w:p>
            <w:pPr>
              <w:pStyle w:val="14"/>
            </w:pPr>
            <w:r>
              <w:t>6</w:t>
            </w:r>
            <w:r>
              <w:rPr>
                <w:rFonts w:hint="eastAsia"/>
              </w:rPr>
              <w:t>、大气环境影响分析结论</w:t>
            </w:r>
          </w:p>
          <w:p>
            <w:pPr>
              <w:pStyle w:val="29"/>
              <w:ind w:firstLine="480"/>
            </w:pPr>
            <w:r>
              <w:rPr>
                <w:rFonts w:hint="eastAsia"/>
              </w:rPr>
              <w:t>本项目废气主要为非甲烷总烃，经二级活性炭吸附处理后，有组织排放可满足《大气污染物综合排放标准》（DB32/4041-2021）中的标准要求。无组织排放的</w:t>
            </w:r>
            <w:r>
              <w:rPr>
                <w:rFonts w:hint="eastAsia"/>
                <w:lang w:eastAsia="zh-CN"/>
              </w:rPr>
              <w:t>颗粒物</w:t>
            </w:r>
            <w:r>
              <w:rPr>
                <w:rFonts w:hint="eastAsia"/>
              </w:rPr>
              <w:t>可满足《大气污染物综合排放标准》（DB32/4041-2021）中相关标准要求。</w:t>
            </w:r>
          </w:p>
          <w:p>
            <w:pPr>
              <w:pStyle w:val="29"/>
              <w:ind w:firstLine="480"/>
            </w:pPr>
            <w:r>
              <w:rPr>
                <w:rFonts w:hint="eastAsia"/>
              </w:rPr>
              <w:t>本项目主要因子为非甲烷总烃、</w:t>
            </w:r>
            <w:r>
              <w:rPr>
                <w:rFonts w:hint="eastAsia"/>
                <w:lang w:eastAsia="zh-CN"/>
              </w:rPr>
              <w:t>颗粒物</w:t>
            </w:r>
            <w:r>
              <w:rPr>
                <w:rFonts w:hint="eastAsia"/>
              </w:rPr>
              <w:t>。经二级活性炭吸附处理后通过</w:t>
            </w:r>
            <w:r>
              <w:t>DA001</w:t>
            </w:r>
            <w:r>
              <w:rPr>
                <w:rFonts w:hint="eastAsia"/>
              </w:rPr>
              <w:t>排气筒排放，非甲烷</w:t>
            </w:r>
            <w:r>
              <w:rPr>
                <w:rFonts w:hint="eastAsia"/>
                <w:color w:val="auto"/>
              </w:rPr>
              <w:t>总烃总排放量为0</w:t>
            </w:r>
            <w:r>
              <w:rPr>
                <w:color w:val="auto"/>
              </w:rPr>
              <w:t>.</w:t>
            </w:r>
            <w:r>
              <w:rPr>
                <w:rFonts w:hint="eastAsia"/>
                <w:color w:val="auto"/>
                <w:lang w:val="en-US" w:eastAsia="zh-CN"/>
              </w:rPr>
              <w:t>05</w:t>
            </w:r>
            <w:r>
              <w:rPr>
                <w:color w:val="auto"/>
              </w:rPr>
              <w:t>/a</w:t>
            </w:r>
            <w:r>
              <w:rPr>
                <w:rFonts w:hint="eastAsia"/>
                <w:color w:val="auto"/>
              </w:rPr>
              <w:t>（其中有组织排放</w:t>
            </w:r>
            <w:r>
              <w:rPr>
                <w:color w:val="auto"/>
              </w:rPr>
              <w:t>0.0</w:t>
            </w:r>
            <w:r>
              <w:rPr>
                <w:rFonts w:hint="eastAsia"/>
                <w:color w:val="auto"/>
                <w:lang w:val="en-US" w:eastAsia="zh-CN"/>
              </w:rPr>
              <w:t>475</w:t>
            </w:r>
            <w:r>
              <w:rPr>
                <w:color w:val="auto"/>
              </w:rPr>
              <w:t>t/a</w:t>
            </w:r>
            <w:r>
              <w:rPr>
                <w:rFonts w:hint="eastAsia"/>
                <w:color w:val="auto"/>
              </w:rPr>
              <w:t>，无组织排放</w:t>
            </w:r>
            <w:r>
              <w:rPr>
                <w:color w:val="auto"/>
              </w:rPr>
              <w:t>0.0</w:t>
            </w:r>
            <w:r>
              <w:rPr>
                <w:rFonts w:hint="eastAsia"/>
                <w:color w:val="auto"/>
                <w:lang w:val="en-US" w:eastAsia="zh-CN"/>
              </w:rPr>
              <w:t>025</w:t>
            </w:r>
            <w:r>
              <w:rPr>
                <w:color w:val="auto"/>
              </w:rPr>
              <w:t>/a</w:t>
            </w:r>
            <w:r>
              <w:rPr>
                <w:rFonts w:hint="eastAsia"/>
                <w:color w:val="auto"/>
              </w:rPr>
              <w:t>），</w:t>
            </w:r>
            <w:r>
              <w:rPr>
                <w:rFonts w:hint="eastAsia"/>
                <w:color w:val="auto"/>
                <w:lang w:eastAsia="zh-CN"/>
              </w:rPr>
              <w:t>颗粒物</w:t>
            </w:r>
            <w:r>
              <w:rPr>
                <w:rFonts w:hint="eastAsia"/>
                <w:color w:val="auto"/>
              </w:rPr>
              <w:t>总排放量为</w:t>
            </w:r>
            <w:r>
              <w:rPr>
                <w:color w:val="auto"/>
              </w:rPr>
              <w:t>0.00</w:t>
            </w:r>
            <w:r>
              <w:rPr>
                <w:rFonts w:hint="eastAsia"/>
                <w:color w:val="auto"/>
                <w:lang w:val="en-US" w:eastAsia="zh-CN"/>
              </w:rPr>
              <w:t>5</w:t>
            </w:r>
            <w:r>
              <w:rPr>
                <w:color w:val="auto"/>
              </w:rPr>
              <w:t>t/a</w:t>
            </w:r>
            <w:r>
              <w:rPr>
                <w:rFonts w:hint="eastAsia"/>
                <w:color w:val="auto"/>
              </w:rPr>
              <w:t>，排放量</w:t>
            </w:r>
            <w:r>
              <w:rPr>
                <w:rFonts w:hint="eastAsia"/>
              </w:rPr>
              <w:t>较小，对周边环境影响不大。</w:t>
            </w:r>
          </w:p>
          <w:p>
            <w:pPr>
              <w:pStyle w:val="14"/>
            </w:pPr>
            <w:r>
              <w:rPr>
                <w:rFonts w:hint="eastAsia"/>
              </w:rPr>
              <w:t>（二）废水</w:t>
            </w:r>
          </w:p>
          <w:p>
            <w:pPr>
              <w:pStyle w:val="14"/>
            </w:pPr>
            <w:r>
              <w:rPr>
                <w:rFonts w:hint="eastAsia"/>
              </w:rPr>
              <w:t>（</w:t>
            </w:r>
            <w:r>
              <w:t>1</w:t>
            </w:r>
            <w:r>
              <w:rPr>
                <w:rFonts w:hint="eastAsia"/>
              </w:rPr>
              <w:t>）废水源强</w:t>
            </w:r>
          </w:p>
          <w:p>
            <w:pPr>
              <w:pStyle w:val="29"/>
              <w:ind w:firstLine="480"/>
              <w:rPr>
                <w:bCs/>
              </w:rPr>
            </w:pPr>
            <w:r>
              <w:rPr>
                <w:rFonts w:hint="eastAsia"/>
              </w:rPr>
              <w:t>本项目拟新增员工</w:t>
            </w:r>
            <w:r>
              <w:rPr>
                <w:rFonts w:hint="eastAsia"/>
                <w:lang w:val="en-US" w:eastAsia="zh-CN"/>
              </w:rPr>
              <w:t>50</w:t>
            </w:r>
            <w:r>
              <w:rPr>
                <w:rFonts w:hint="eastAsia"/>
              </w:rPr>
              <w:t>人，</w:t>
            </w:r>
            <w:r>
              <w:rPr>
                <w:rFonts w:hint="eastAsia"/>
                <w:shd w:val="clear" w:color="auto" w:fill="FFFFFF"/>
              </w:rPr>
              <w:t>生活用水按</w:t>
            </w:r>
            <w:r>
              <w:rPr>
                <w:shd w:val="clear" w:color="auto" w:fill="FFFFFF"/>
              </w:rPr>
              <w:t>100L/</w:t>
            </w:r>
            <w:r>
              <w:rPr>
                <w:rFonts w:hint="eastAsia"/>
                <w:shd w:val="clear" w:color="auto" w:fill="FFFFFF"/>
              </w:rPr>
              <w:t>（人</w:t>
            </w:r>
            <w:r>
              <w:rPr>
                <w:shd w:val="clear" w:color="auto" w:fill="FFFFFF"/>
              </w:rPr>
              <w:t>.d</w:t>
            </w:r>
            <w:r>
              <w:rPr>
                <w:rFonts w:hint="eastAsia"/>
                <w:shd w:val="clear" w:color="auto" w:fill="FFFFFF"/>
              </w:rPr>
              <w:t>）计，年工作</w:t>
            </w:r>
            <w:r>
              <w:rPr>
                <w:shd w:val="clear" w:color="auto" w:fill="FFFFFF"/>
              </w:rPr>
              <w:t>2</w:t>
            </w:r>
            <w:r>
              <w:rPr>
                <w:rFonts w:hint="eastAsia"/>
                <w:shd w:val="clear" w:color="auto" w:fill="FFFFFF"/>
                <w:lang w:val="en-US" w:eastAsia="zh-CN"/>
              </w:rPr>
              <w:t>25</w:t>
            </w:r>
            <w:r>
              <w:rPr>
                <w:rFonts w:hint="eastAsia"/>
                <w:shd w:val="clear" w:color="auto" w:fill="FFFFFF"/>
              </w:rPr>
              <w:t>天，年用水</w:t>
            </w:r>
            <w:r>
              <w:rPr>
                <w:rFonts w:hint="eastAsia"/>
                <w:shd w:val="clear" w:color="auto" w:fill="FFFFFF"/>
                <w:lang w:val="en-US" w:eastAsia="zh-CN"/>
              </w:rPr>
              <w:t>1125</w:t>
            </w:r>
            <w:r>
              <w:rPr>
                <w:shd w:val="clear" w:color="auto" w:fill="FFFFFF"/>
              </w:rPr>
              <w:t>t</w:t>
            </w:r>
            <w:r>
              <w:rPr>
                <w:rFonts w:hint="eastAsia"/>
                <w:shd w:val="clear" w:color="auto" w:fill="FFFFFF"/>
              </w:rPr>
              <w:t>，生活污水量按用水量的</w:t>
            </w:r>
            <w:r>
              <w:rPr>
                <w:shd w:val="clear" w:color="auto" w:fill="FFFFFF"/>
              </w:rPr>
              <w:t>80%</w:t>
            </w:r>
            <w:r>
              <w:rPr>
                <w:rFonts w:hint="eastAsia"/>
                <w:shd w:val="clear" w:color="auto" w:fill="FFFFFF"/>
              </w:rPr>
              <w:t>计，则生活污水产生量约为</w:t>
            </w:r>
            <w:r>
              <w:rPr>
                <w:rFonts w:hint="eastAsia"/>
                <w:shd w:val="clear" w:color="auto" w:fill="FFFFFF"/>
                <w:lang w:val="en-US" w:eastAsia="zh-CN"/>
              </w:rPr>
              <w:t>900</w:t>
            </w:r>
            <w:r>
              <w:t>t/a</w:t>
            </w:r>
            <w:r>
              <w:rPr>
                <w:rFonts w:hint="eastAsia"/>
                <w:shd w:val="clear" w:color="auto" w:fill="FFFFFF"/>
              </w:rPr>
              <w:t>，其中主要污染物为</w:t>
            </w:r>
            <w:r>
              <w:rPr>
                <w:shd w:val="clear" w:color="auto" w:fill="FFFFFF"/>
              </w:rPr>
              <w:t>COD</w:t>
            </w:r>
            <w:r>
              <w:rPr>
                <w:rFonts w:hint="eastAsia"/>
                <w:shd w:val="clear" w:color="auto" w:fill="FFFFFF"/>
              </w:rPr>
              <w:t>、</w:t>
            </w:r>
            <w:r>
              <w:rPr>
                <w:shd w:val="clear" w:color="auto" w:fill="FFFFFF"/>
              </w:rPr>
              <w:t>SS</w:t>
            </w:r>
            <w:r>
              <w:rPr>
                <w:rFonts w:hint="eastAsia"/>
                <w:shd w:val="clear" w:color="auto" w:fill="FFFFFF"/>
              </w:rPr>
              <w:t>、</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w:t>
            </w:r>
            <w:r>
              <w:rPr>
                <w:shd w:val="clear" w:color="auto" w:fill="FFFFFF"/>
              </w:rPr>
              <w:t>TP</w:t>
            </w:r>
            <w:r>
              <w:rPr>
                <w:rFonts w:hint="eastAsia"/>
                <w:shd w:val="clear" w:color="auto" w:fill="FFFFFF"/>
              </w:rPr>
              <w:t>。产生浓度分别约为</w:t>
            </w:r>
            <w:r>
              <w:rPr>
                <w:shd w:val="clear" w:color="auto" w:fill="FFFFFF"/>
              </w:rPr>
              <w:t>400</w:t>
            </w:r>
            <w:r>
              <w:rPr>
                <w:bCs/>
              </w:rPr>
              <w:t>mg/L</w:t>
            </w:r>
            <w:r>
              <w:rPr>
                <w:rFonts w:hint="eastAsia"/>
                <w:shd w:val="clear" w:color="auto" w:fill="FFFFFF"/>
              </w:rPr>
              <w:t>、</w:t>
            </w:r>
            <w:r>
              <w:rPr>
                <w:shd w:val="clear" w:color="auto" w:fill="FFFFFF"/>
              </w:rPr>
              <w:t>200</w:t>
            </w:r>
            <w:r>
              <w:rPr>
                <w:bCs/>
              </w:rPr>
              <w:t>mg/L</w:t>
            </w:r>
            <w:r>
              <w:rPr>
                <w:rFonts w:hint="eastAsia"/>
                <w:shd w:val="clear" w:color="auto" w:fill="FFFFFF"/>
              </w:rPr>
              <w:t>、</w:t>
            </w:r>
            <w:r>
              <w:rPr>
                <w:shd w:val="clear" w:color="auto" w:fill="FFFFFF"/>
              </w:rPr>
              <w:t>30</w:t>
            </w:r>
            <w:r>
              <w:rPr>
                <w:bCs/>
              </w:rPr>
              <w:t>mg/L</w:t>
            </w:r>
            <w:r>
              <w:rPr>
                <w:rFonts w:hint="eastAsia"/>
                <w:shd w:val="clear" w:color="auto" w:fill="FFFFFF"/>
              </w:rPr>
              <w:t>、</w:t>
            </w:r>
            <w:r>
              <w:rPr>
                <w:shd w:val="clear" w:color="auto" w:fill="FFFFFF"/>
              </w:rPr>
              <w:t>5</w:t>
            </w:r>
            <w:r>
              <w:rPr>
                <w:bCs/>
              </w:rPr>
              <w:t>mg/L</w:t>
            </w:r>
            <w:r>
              <w:rPr>
                <w:rFonts w:hint="eastAsia"/>
                <w:bCs/>
              </w:rPr>
              <w:t>，接入市政管网排入科技城水质净化厂处理后排入浒光运河。</w:t>
            </w:r>
          </w:p>
          <w:p>
            <w:pPr>
              <w:pStyle w:val="29"/>
              <w:ind w:firstLine="480"/>
              <w:rPr>
                <w:b/>
                <w:shd w:val="clear" w:color="auto" w:fill="FFFFFF"/>
              </w:rPr>
            </w:pPr>
            <w:r>
              <w:rPr>
                <w:rFonts w:hint="eastAsia"/>
              </w:rPr>
              <w:t>本项目生活污水产生及排放情况见下表。</w:t>
            </w:r>
          </w:p>
          <w:p>
            <w:pPr>
              <w:pStyle w:val="12"/>
              <w:rPr>
                <w:shd w:val="clear" w:color="auto" w:fill="FFFFFF"/>
              </w:rPr>
            </w:pPr>
            <w:r>
              <w:rPr>
                <w:rFonts w:hint="eastAsia"/>
                <w:shd w:val="clear" w:color="auto" w:fill="FFFFFF"/>
              </w:rPr>
              <w:t>表</w:t>
            </w:r>
            <w:r>
              <w:rPr>
                <w:shd w:val="clear" w:color="auto" w:fill="FFFFFF"/>
              </w:rPr>
              <w:t xml:space="preserve">4-13  </w:t>
            </w:r>
            <w:r>
              <w:rPr>
                <w:rFonts w:hint="eastAsia"/>
                <w:shd w:val="clear" w:color="auto" w:fill="FFFFFF"/>
              </w:rPr>
              <w:t>废水产生及排放情况一览表</w:t>
            </w:r>
          </w:p>
          <w:tbl>
            <w:tblPr>
              <w:tblStyle w:val="16"/>
              <w:tblW w:w="495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889"/>
              <w:gridCol w:w="831"/>
              <w:gridCol w:w="778"/>
              <w:gridCol w:w="831"/>
              <w:gridCol w:w="874"/>
              <w:gridCol w:w="626"/>
              <w:gridCol w:w="721"/>
              <w:gridCol w:w="750"/>
              <w:gridCol w:w="926"/>
              <w:gridCol w:w="9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restart"/>
                  <w:tcBorders>
                    <w:top w:val="single" w:color="auto" w:sz="6" w:space="0"/>
                    <w:left w:val="single" w:color="auto" w:sz="6" w:space="0"/>
                    <w:bottom w:val="single" w:color="auto" w:sz="4" w:space="0"/>
                    <w:right w:val="single" w:color="auto" w:sz="4" w:space="0"/>
                  </w:tcBorders>
                  <w:vAlign w:val="center"/>
                </w:tcPr>
                <w:p>
                  <w:pPr>
                    <w:pStyle w:val="35"/>
                  </w:pPr>
                  <w:r>
                    <w:rPr>
                      <w:rFonts w:hint="eastAsia"/>
                    </w:rPr>
                    <w:t>来源</w:t>
                  </w:r>
                </w:p>
              </w:tc>
              <w:tc>
                <w:tcPr>
                  <w:tcW w:w="511" w:type="pct"/>
                  <w:vMerge w:val="restart"/>
                  <w:tcBorders>
                    <w:top w:val="single" w:color="auto" w:sz="6" w:space="0"/>
                    <w:left w:val="single" w:color="auto" w:sz="4" w:space="0"/>
                    <w:bottom w:val="single" w:color="auto" w:sz="4" w:space="0"/>
                    <w:right w:val="single" w:color="auto" w:sz="4" w:space="0"/>
                  </w:tcBorders>
                  <w:vAlign w:val="center"/>
                </w:tcPr>
                <w:p>
                  <w:pPr>
                    <w:pStyle w:val="35"/>
                  </w:pPr>
                  <w:r>
                    <w:rPr>
                      <w:rFonts w:hint="eastAsia"/>
                    </w:rPr>
                    <w:t>废水量</w:t>
                  </w:r>
                </w:p>
                <w:p>
                  <w:pPr>
                    <w:pStyle w:val="35"/>
                  </w:pPr>
                  <w:r>
                    <w:rPr>
                      <w:rFonts w:hint="eastAsia"/>
                    </w:rPr>
                    <w:t>（</w:t>
                  </w:r>
                  <w:r>
                    <w:t>t/a</w:t>
                  </w:r>
                  <w:r>
                    <w:rPr>
                      <w:rFonts w:hint="eastAsia"/>
                    </w:rPr>
                    <w:t>）</w:t>
                  </w:r>
                </w:p>
              </w:tc>
              <w:tc>
                <w:tcPr>
                  <w:tcW w:w="478" w:type="pct"/>
                  <w:vMerge w:val="restart"/>
                  <w:tcBorders>
                    <w:top w:val="single" w:color="auto" w:sz="6" w:space="0"/>
                    <w:left w:val="single" w:color="auto" w:sz="4" w:space="0"/>
                    <w:bottom w:val="single" w:color="auto" w:sz="4" w:space="0"/>
                    <w:right w:val="single" w:color="auto" w:sz="4" w:space="0"/>
                  </w:tcBorders>
                  <w:vAlign w:val="center"/>
                </w:tcPr>
                <w:p>
                  <w:pPr>
                    <w:pStyle w:val="35"/>
                  </w:pPr>
                  <w:r>
                    <w:rPr>
                      <w:rFonts w:hint="eastAsia"/>
                    </w:rPr>
                    <w:t>污染物</w:t>
                  </w:r>
                </w:p>
                <w:p>
                  <w:pPr>
                    <w:pStyle w:val="35"/>
                  </w:pPr>
                  <w:r>
                    <w:rPr>
                      <w:rFonts w:hint="eastAsia"/>
                    </w:rPr>
                    <w:t>名称</w:t>
                  </w:r>
                </w:p>
              </w:tc>
              <w:tc>
                <w:tcPr>
                  <w:tcW w:w="1048" w:type="pct"/>
                  <w:gridSpan w:val="2"/>
                  <w:tcBorders>
                    <w:top w:val="single" w:color="auto" w:sz="6" w:space="0"/>
                    <w:left w:val="single" w:color="auto" w:sz="4" w:space="0"/>
                    <w:bottom w:val="single" w:color="auto" w:sz="4" w:space="0"/>
                    <w:right w:val="single" w:color="auto" w:sz="4" w:space="0"/>
                  </w:tcBorders>
                  <w:vAlign w:val="center"/>
                </w:tcPr>
                <w:p>
                  <w:pPr>
                    <w:pStyle w:val="35"/>
                  </w:pPr>
                  <w:r>
                    <w:rPr>
                      <w:rFonts w:hint="eastAsia"/>
                    </w:rPr>
                    <w:t>污染物产生量</w:t>
                  </w:r>
                </w:p>
              </w:tc>
              <w:tc>
                <w:tcPr>
                  <w:tcW w:w="385" w:type="pct"/>
                  <w:vMerge w:val="restart"/>
                  <w:tcBorders>
                    <w:top w:val="single" w:color="auto" w:sz="6" w:space="0"/>
                    <w:left w:val="single" w:color="auto" w:sz="4" w:space="0"/>
                    <w:bottom w:val="single" w:color="auto" w:sz="4" w:space="0"/>
                    <w:right w:val="single" w:color="auto" w:sz="4" w:space="0"/>
                  </w:tcBorders>
                  <w:vAlign w:val="center"/>
                </w:tcPr>
                <w:p>
                  <w:pPr>
                    <w:pStyle w:val="35"/>
                  </w:pPr>
                  <w:r>
                    <w:rPr>
                      <w:rFonts w:hint="eastAsia"/>
                    </w:rPr>
                    <w:t>治理</w:t>
                  </w:r>
                </w:p>
                <w:p>
                  <w:pPr>
                    <w:pStyle w:val="35"/>
                  </w:pPr>
                  <w:r>
                    <w:rPr>
                      <w:rFonts w:hint="eastAsia"/>
                    </w:rPr>
                    <w:t>措施</w:t>
                  </w:r>
                </w:p>
              </w:tc>
              <w:tc>
                <w:tcPr>
                  <w:tcW w:w="904" w:type="pct"/>
                  <w:gridSpan w:val="2"/>
                  <w:tcBorders>
                    <w:top w:val="single" w:color="auto" w:sz="6" w:space="0"/>
                    <w:left w:val="single" w:color="auto" w:sz="4" w:space="0"/>
                    <w:bottom w:val="single" w:color="auto" w:sz="4" w:space="0"/>
                    <w:right w:val="single" w:color="auto" w:sz="4" w:space="0"/>
                  </w:tcBorders>
                  <w:vAlign w:val="center"/>
                </w:tcPr>
                <w:p>
                  <w:pPr>
                    <w:pStyle w:val="35"/>
                  </w:pPr>
                  <w:r>
                    <w:rPr>
                      <w:rFonts w:hint="eastAsia"/>
                    </w:rPr>
                    <w:t>污染物排放量</w:t>
                  </w:r>
                </w:p>
              </w:tc>
              <w:tc>
                <w:tcPr>
                  <w:tcW w:w="569" w:type="pct"/>
                  <w:vMerge w:val="restart"/>
                  <w:tcBorders>
                    <w:top w:val="single" w:color="auto" w:sz="6" w:space="0"/>
                    <w:left w:val="single" w:color="auto" w:sz="4" w:space="0"/>
                    <w:bottom w:val="single" w:color="auto" w:sz="4" w:space="0"/>
                    <w:right w:val="single" w:color="auto" w:sz="4" w:space="0"/>
                  </w:tcBorders>
                  <w:vAlign w:val="center"/>
                </w:tcPr>
                <w:p>
                  <w:pPr>
                    <w:pStyle w:val="35"/>
                  </w:pPr>
                  <w:r>
                    <w:rPr>
                      <w:rFonts w:hint="eastAsia"/>
                    </w:rPr>
                    <w:t>标准浓度限值</w:t>
                  </w:r>
                  <w:r>
                    <w:t>(mg/L)</w:t>
                  </w:r>
                </w:p>
              </w:tc>
              <w:tc>
                <w:tcPr>
                  <w:tcW w:w="559" w:type="pct"/>
                  <w:vMerge w:val="restart"/>
                  <w:tcBorders>
                    <w:top w:val="single" w:color="auto" w:sz="6" w:space="0"/>
                    <w:left w:val="single" w:color="auto" w:sz="4" w:space="0"/>
                    <w:bottom w:val="single" w:color="auto" w:sz="4" w:space="0"/>
                    <w:right w:val="single" w:color="auto" w:sz="6" w:space="0"/>
                  </w:tcBorders>
                  <w:vAlign w:val="center"/>
                </w:tcPr>
                <w:p>
                  <w:pPr>
                    <w:pStyle w:val="35"/>
                  </w:pPr>
                  <w:r>
                    <w:rPr>
                      <w:rFonts w:hint="eastAsia"/>
                    </w:rPr>
                    <w:t>排放方式与去向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continue"/>
                  <w:tcBorders>
                    <w:top w:val="single" w:color="auto" w:sz="6" w:space="0"/>
                    <w:left w:val="single" w:color="auto" w:sz="6" w:space="0"/>
                    <w:bottom w:val="single" w:color="auto" w:sz="4" w:space="0"/>
                    <w:right w:val="single" w:color="auto" w:sz="4" w:space="0"/>
                  </w:tcBorders>
                  <w:vAlign w:val="center"/>
                </w:tcPr>
                <w:p>
                  <w:pPr>
                    <w:pStyle w:val="35"/>
                  </w:pPr>
                </w:p>
              </w:tc>
              <w:tc>
                <w:tcPr>
                  <w:tcW w:w="511" w:type="pct"/>
                  <w:vMerge w:val="continue"/>
                  <w:tcBorders>
                    <w:top w:val="single" w:color="auto" w:sz="6" w:space="0"/>
                    <w:left w:val="single" w:color="auto" w:sz="4" w:space="0"/>
                    <w:bottom w:val="single" w:color="auto" w:sz="4" w:space="0"/>
                    <w:right w:val="single" w:color="auto" w:sz="4" w:space="0"/>
                  </w:tcBorders>
                  <w:vAlign w:val="center"/>
                </w:tcPr>
                <w:p>
                  <w:pPr>
                    <w:pStyle w:val="35"/>
                  </w:pPr>
                </w:p>
              </w:tc>
              <w:tc>
                <w:tcPr>
                  <w:tcW w:w="478" w:type="pct"/>
                  <w:vMerge w:val="continue"/>
                  <w:tcBorders>
                    <w:top w:val="single" w:color="auto" w:sz="6" w:space="0"/>
                    <w:left w:val="single" w:color="auto" w:sz="4" w:space="0"/>
                    <w:bottom w:val="single" w:color="auto" w:sz="4" w:space="0"/>
                    <w:right w:val="single" w:color="auto" w:sz="4" w:space="0"/>
                  </w:tcBorders>
                  <w:vAlign w:val="center"/>
                </w:tcPr>
                <w:p>
                  <w:pPr>
                    <w:pStyle w:val="35"/>
                  </w:pPr>
                </w:p>
              </w:tc>
              <w:tc>
                <w:tcPr>
                  <w:tcW w:w="511"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浓度</w:t>
                  </w:r>
                </w:p>
                <w:p>
                  <w:pPr>
                    <w:pStyle w:val="35"/>
                  </w:pPr>
                  <w:r>
                    <w:t>(mg/L)</w:t>
                  </w:r>
                </w:p>
              </w:tc>
              <w:tc>
                <w:tcPr>
                  <w:tcW w:w="537"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产生量</w:t>
                  </w:r>
                </w:p>
                <w:p>
                  <w:pPr>
                    <w:pStyle w:val="35"/>
                  </w:pPr>
                  <w:r>
                    <w:t>(t/a)</w:t>
                  </w:r>
                </w:p>
              </w:tc>
              <w:tc>
                <w:tcPr>
                  <w:tcW w:w="385" w:type="pct"/>
                  <w:vMerge w:val="continue"/>
                  <w:tcBorders>
                    <w:top w:val="single" w:color="auto" w:sz="6" w:space="0"/>
                    <w:left w:val="single" w:color="auto" w:sz="4" w:space="0"/>
                    <w:bottom w:val="single" w:color="auto" w:sz="4" w:space="0"/>
                    <w:right w:val="single" w:color="auto" w:sz="4" w:space="0"/>
                  </w:tcBorders>
                  <w:vAlign w:val="center"/>
                </w:tcPr>
                <w:p>
                  <w:pPr>
                    <w:pStyle w:val="35"/>
                  </w:pPr>
                </w:p>
              </w:tc>
              <w:tc>
                <w:tcPr>
                  <w:tcW w:w="443" w:type="pct"/>
                  <w:tcBorders>
                    <w:top w:val="single" w:color="auto" w:sz="4" w:space="0"/>
                    <w:left w:val="single" w:color="auto" w:sz="4" w:space="0"/>
                    <w:bottom w:val="single" w:color="auto" w:sz="4" w:space="0"/>
                    <w:right w:val="single" w:color="auto" w:sz="4" w:space="0"/>
                  </w:tcBorders>
                  <w:vAlign w:val="center"/>
                </w:tcPr>
                <w:p>
                  <w:pPr>
                    <w:pStyle w:val="35"/>
                    <w:rPr>
                      <w:vertAlign w:val="superscript"/>
                    </w:rPr>
                  </w:pPr>
                  <w:r>
                    <w:rPr>
                      <w:rFonts w:hint="eastAsia"/>
                    </w:rPr>
                    <w:t>浓度</w:t>
                  </w:r>
                </w:p>
                <w:p>
                  <w:pPr>
                    <w:pStyle w:val="35"/>
                  </w:pPr>
                  <w:r>
                    <w:t>(mg/L)</w:t>
                  </w:r>
                </w:p>
              </w:tc>
              <w:tc>
                <w:tcPr>
                  <w:tcW w:w="461"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排放量</w:t>
                  </w:r>
                </w:p>
                <w:p>
                  <w:pPr>
                    <w:pStyle w:val="35"/>
                  </w:pPr>
                  <w:r>
                    <w:t>(t/a)</w:t>
                  </w:r>
                </w:p>
              </w:tc>
              <w:tc>
                <w:tcPr>
                  <w:tcW w:w="569" w:type="pct"/>
                  <w:vMerge w:val="continue"/>
                  <w:tcBorders>
                    <w:top w:val="single" w:color="auto" w:sz="6" w:space="0"/>
                    <w:left w:val="single" w:color="auto" w:sz="4" w:space="0"/>
                    <w:bottom w:val="single" w:color="auto" w:sz="4" w:space="0"/>
                    <w:right w:val="single" w:color="auto" w:sz="4" w:space="0"/>
                  </w:tcBorders>
                  <w:vAlign w:val="center"/>
                </w:tcPr>
                <w:p>
                  <w:pPr>
                    <w:pStyle w:val="35"/>
                  </w:pPr>
                </w:p>
              </w:tc>
              <w:tc>
                <w:tcPr>
                  <w:tcW w:w="559" w:type="pct"/>
                  <w:vMerge w:val="continue"/>
                  <w:tcBorders>
                    <w:top w:val="single" w:color="auto" w:sz="6" w:space="0"/>
                    <w:left w:val="single" w:color="auto" w:sz="4" w:space="0"/>
                    <w:bottom w:val="single" w:color="auto" w:sz="4" w:space="0"/>
                    <w:right w:val="single" w:color="auto" w:sz="6" w:space="0"/>
                  </w:tcBorders>
                  <w:vAlign w:val="center"/>
                </w:tcPr>
                <w:p>
                  <w:pPr>
                    <w:pStyle w:val="35"/>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restart"/>
                  <w:tcBorders>
                    <w:top w:val="single" w:color="auto" w:sz="4" w:space="0"/>
                    <w:left w:val="single" w:color="auto" w:sz="6" w:space="0"/>
                    <w:bottom w:val="single" w:color="auto" w:sz="6" w:space="0"/>
                    <w:right w:val="single" w:color="auto" w:sz="4" w:space="0"/>
                  </w:tcBorders>
                  <w:vAlign w:val="center"/>
                </w:tcPr>
                <w:p>
                  <w:pPr>
                    <w:pStyle w:val="35"/>
                  </w:pPr>
                  <w:r>
                    <w:rPr>
                      <w:rFonts w:hint="eastAsia"/>
                    </w:rPr>
                    <w:t>生活污水</w:t>
                  </w:r>
                </w:p>
              </w:tc>
              <w:tc>
                <w:tcPr>
                  <w:tcW w:w="511" w:type="pct"/>
                  <w:vMerge w:val="restart"/>
                  <w:tcBorders>
                    <w:top w:val="single" w:color="auto" w:sz="4" w:space="0"/>
                    <w:left w:val="single" w:color="auto" w:sz="4" w:space="0"/>
                    <w:bottom w:val="single" w:color="auto" w:sz="6" w:space="0"/>
                    <w:right w:val="single" w:color="auto" w:sz="4" w:space="0"/>
                  </w:tcBorders>
                  <w:vAlign w:val="center"/>
                </w:tcPr>
                <w:p>
                  <w:pPr>
                    <w:pStyle w:val="35"/>
                    <w:rPr>
                      <w:rFonts w:hint="default" w:eastAsia="宋体"/>
                      <w:lang w:val="en-US" w:eastAsia="zh-CN"/>
                    </w:rPr>
                  </w:pPr>
                  <w:r>
                    <w:rPr>
                      <w:rFonts w:hint="eastAsia"/>
                      <w:lang w:val="en-US" w:eastAsia="zh-CN"/>
                    </w:rPr>
                    <w:t>900</w:t>
                  </w:r>
                </w:p>
              </w:tc>
              <w:tc>
                <w:tcPr>
                  <w:tcW w:w="478" w:type="pct"/>
                  <w:tcBorders>
                    <w:top w:val="single" w:color="auto" w:sz="4" w:space="0"/>
                    <w:left w:val="single" w:color="auto" w:sz="4" w:space="0"/>
                    <w:bottom w:val="single" w:color="auto" w:sz="4" w:space="0"/>
                    <w:right w:val="single" w:color="auto" w:sz="4" w:space="0"/>
                  </w:tcBorders>
                  <w:vAlign w:val="center"/>
                </w:tcPr>
                <w:p>
                  <w:pPr>
                    <w:pStyle w:val="35"/>
                  </w:pPr>
                  <w:r>
                    <w:t>COD</w:t>
                  </w:r>
                </w:p>
              </w:tc>
              <w:tc>
                <w:tcPr>
                  <w:tcW w:w="511"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4</w:t>
                  </w:r>
                  <w:r>
                    <w:t>00</w:t>
                  </w:r>
                </w:p>
              </w:tc>
              <w:tc>
                <w:tcPr>
                  <w:tcW w:w="537" w:type="pct"/>
                  <w:tcBorders>
                    <w:top w:val="nil"/>
                    <w:left w:val="nil"/>
                    <w:bottom w:val="single" w:color="auto" w:sz="8" w:space="0"/>
                    <w:right w:val="single" w:color="auto" w:sz="8" w:space="0"/>
                  </w:tcBorders>
                  <w:shd w:val="clear" w:color="000000" w:fill="FFFFFF"/>
                  <w:vAlign w:val="center"/>
                </w:tcPr>
                <w:p>
                  <w:pPr>
                    <w:pStyle w:val="35"/>
                    <w:rPr>
                      <w:rFonts w:hint="default" w:eastAsia="宋体"/>
                      <w:lang w:val="en-US" w:eastAsia="zh-CN"/>
                    </w:rPr>
                  </w:pPr>
                  <w:r>
                    <w:rPr>
                      <w:rFonts w:hint="eastAsia" w:eastAsia="等线"/>
                      <w:szCs w:val="21"/>
                      <w:lang w:val="en-US" w:eastAsia="zh-CN"/>
                    </w:rPr>
                    <w:t>0.36</w:t>
                  </w:r>
                </w:p>
              </w:tc>
              <w:tc>
                <w:tcPr>
                  <w:tcW w:w="385" w:type="pct"/>
                  <w:vMerge w:val="restart"/>
                  <w:tcBorders>
                    <w:top w:val="single" w:color="auto" w:sz="4" w:space="0"/>
                    <w:left w:val="single" w:color="auto" w:sz="4" w:space="0"/>
                    <w:bottom w:val="single" w:color="auto" w:sz="6" w:space="0"/>
                    <w:right w:val="single" w:color="auto" w:sz="4" w:space="0"/>
                  </w:tcBorders>
                  <w:vAlign w:val="center"/>
                </w:tcPr>
                <w:p>
                  <w:pPr>
                    <w:pStyle w:val="35"/>
                  </w:pPr>
                  <w:r>
                    <w:t>/</w:t>
                  </w:r>
                </w:p>
              </w:tc>
              <w:tc>
                <w:tcPr>
                  <w:tcW w:w="443"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4</w:t>
                  </w:r>
                  <w:r>
                    <w:t>00</w:t>
                  </w:r>
                </w:p>
              </w:tc>
              <w:tc>
                <w:tcPr>
                  <w:tcW w:w="750" w:type="dxa"/>
                  <w:tcBorders>
                    <w:top w:val="nil"/>
                    <w:left w:val="nil"/>
                    <w:bottom w:val="single" w:color="auto" w:sz="8" w:space="0"/>
                    <w:right w:val="single" w:color="auto" w:sz="8" w:space="0"/>
                  </w:tcBorders>
                  <w:shd w:val="clear" w:color="000000" w:fill="FFFFFF"/>
                  <w:vAlign w:val="center"/>
                </w:tcPr>
                <w:p>
                  <w:pPr>
                    <w:pStyle w:val="35"/>
                  </w:pPr>
                  <w:r>
                    <w:rPr>
                      <w:rFonts w:hint="eastAsia" w:eastAsia="等线"/>
                      <w:szCs w:val="21"/>
                      <w:lang w:val="en-US" w:eastAsia="zh-CN"/>
                    </w:rPr>
                    <w:t>0.36</w:t>
                  </w:r>
                </w:p>
              </w:tc>
              <w:tc>
                <w:tcPr>
                  <w:tcW w:w="569" w:type="pct"/>
                  <w:tcBorders>
                    <w:top w:val="single" w:color="auto" w:sz="4" w:space="0"/>
                    <w:left w:val="single" w:color="auto" w:sz="4" w:space="0"/>
                    <w:bottom w:val="single" w:color="auto" w:sz="4" w:space="0"/>
                    <w:right w:val="single" w:color="auto" w:sz="4" w:space="0"/>
                  </w:tcBorders>
                  <w:vAlign w:val="center"/>
                </w:tcPr>
                <w:p>
                  <w:pPr>
                    <w:pStyle w:val="35"/>
                  </w:pPr>
                  <w:r>
                    <w:t>500</w:t>
                  </w:r>
                </w:p>
              </w:tc>
              <w:tc>
                <w:tcPr>
                  <w:tcW w:w="559" w:type="pct"/>
                  <w:vMerge w:val="restart"/>
                  <w:tcBorders>
                    <w:top w:val="single" w:color="auto" w:sz="4" w:space="0"/>
                    <w:left w:val="single" w:color="auto" w:sz="4" w:space="0"/>
                    <w:bottom w:val="single" w:color="auto" w:sz="6" w:space="0"/>
                    <w:right w:val="single" w:color="auto" w:sz="6" w:space="0"/>
                  </w:tcBorders>
                  <w:vAlign w:val="center"/>
                </w:tcPr>
                <w:p>
                  <w:pPr>
                    <w:pStyle w:val="35"/>
                  </w:pPr>
                  <w:r>
                    <w:rPr>
                      <w:rFonts w:hint="eastAsia"/>
                    </w:rPr>
                    <w:t>科技城水质净化厂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continue"/>
                  <w:tcBorders>
                    <w:top w:val="single" w:color="auto" w:sz="4" w:space="0"/>
                    <w:left w:val="single" w:color="auto" w:sz="6" w:space="0"/>
                    <w:bottom w:val="single" w:color="auto" w:sz="6" w:space="0"/>
                    <w:right w:val="single" w:color="auto" w:sz="4" w:space="0"/>
                  </w:tcBorders>
                  <w:vAlign w:val="center"/>
                </w:tcPr>
                <w:p>
                  <w:pPr>
                    <w:pStyle w:val="35"/>
                  </w:pPr>
                </w:p>
              </w:tc>
              <w:tc>
                <w:tcPr>
                  <w:tcW w:w="511"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78" w:type="pct"/>
                  <w:tcBorders>
                    <w:top w:val="single" w:color="auto" w:sz="4" w:space="0"/>
                    <w:left w:val="single" w:color="auto" w:sz="4" w:space="0"/>
                    <w:bottom w:val="single" w:color="auto" w:sz="4" w:space="0"/>
                    <w:right w:val="single" w:color="auto" w:sz="4" w:space="0"/>
                  </w:tcBorders>
                  <w:vAlign w:val="center"/>
                </w:tcPr>
                <w:p>
                  <w:pPr>
                    <w:pStyle w:val="35"/>
                  </w:pPr>
                  <w:r>
                    <w:t>SS</w:t>
                  </w:r>
                </w:p>
              </w:tc>
              <w:tc>
                <w:tcPr>
                  <w:tcW w:w="511"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2</w:t>
                  </w:r>
                  <w:r>
                    <w:t>00</w:t>
                  </w:r>
                </w:p>
              </w:tc>
              <w:tc>
                <w:tcPr>
                  <w:tcW w:w="537" w:type="pct"/>
                  <w:tcBorders>
                    <w:top w:val="nil"/>
                    <w:left w:val="nil"/>
                    <w:bottom w:val="single" w:color="auto" w:sz="8" w:space="0"/>
                    <w:right w:val="single" w:color="auto" w:sz="8" w:space="0"/>
                  </w:tcBorders>
                  <w:shd w:val="clear" w:color="000000" w:fill="FFFFFF"/>
                  <w:vAlign w:val="center"/>
                </w:tcPr>
                <w:p>
                  <w:pPr>
                    <w:pStyle w:val="35"/>
                    <w:rPr>
                      <w:rFonts w:hint="eastAsia" w:eastAsia="等线"/>
                      <w:lang w:val="en-US" w:eastAsia="zh-CN"/>
                    </w:rPr>
                  </w:pPr>
                  <w:r>
                    <w:rPr>
                      <w:rFonts w:eastAsia="等线"/>
                      <w:szCs w:val="21"/>
                    </w:rPr>
                    <w:t>0.1</w:t>
                  </w:r>
                  <w:r>
                    <w:rPr>
                      <w:rFonts w:hint="eastAsia" w:eastAsia="等线"/>
                      <w:szCs w:val="21"/>
                      <w:lang w:val="en-US" w:eastAsia="zh-CN"/>
                    </w:rPr>
                    <w:t>8</w:t>
                  </w:r>
                </w:p>
              </w:tc>
              <w:tc>
                <w:tcPr>
                  <w:tcW w:w="385"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43"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2</w:t>
                  </w:r>
                  <w:r>
                    <w:t>00</w:t>
                  </w:r>
                </w:p>
              </w:tc>
              <w:tc>
                <w:tcPr>
                  <w:tcW w:w="750" w:type="dxa"/>
                  <w:tcBorders>
                    <w:top w:val="nil"/>
                    <w:left w:val="nil"/>
                    <w:bottom w:val="single" w:color="auto" w:sz="8" w:space="0"/>
                    <w:right w:val="single" w:color="auto" w:sz="8" w:space="0"/>
                  </w:tcBorders>
                  <w:shd w:val="clear" w:color="000000" w:fill="FFFFFF"/>
                  <w:vAlign w:val="center"/>
                </w:tcPr>
                <w:p>
                  <w:pPr>
                    <w:pStyle w:val="35"/>
                  </w:pPr>
                  <w:r>
                    <w:rPr>
                      <w:rFonts w:eastAsia="等线"/>
                      <w:szCs w:val="21"/>
                    </w:rPr>
                    <w:t>0.1</w:t>
                  </w:r>
                  <w:r>
                    <w:rPr>
                      <w:rFonts w:hint="eastAsia" w:eastAsia="等线"/>
                      <w:szCs w:val="21"/>
                      <w:lang w:val="en-US" w:eastAsia="zh-CN"/>
                    </w:rPr>
                    <w:t>8</w:t>
                  </w:r>
                </w:p>
              </w:tc>
              <w:tc>
                <w:tcPr>
                  <w:tcW w:w="569" w:type="pct"/>
                  <w:tcBorders>
                    <w:top w:val="single" w:color="auto" w:sz="4" w:space="0"/>
                    <w:left w:val="single" w:color="auto" w:sz="4" w:space="0"/>
                    <w:bottom w:val="single" w:color="auto" w:sz="4" w:space="0"/>
                    <w:right w:val="single" w:color="auto" w:sz="4" w:space="0"/>
                  </w:tcBorders>
                  <w:vAlign w:val="center"/>
                </w:tcPr>
                <w:p>
                  <w:pPr>
                    <w:pStyle w:val="35"/>
                  </w:pPr>
                  <w:r>
                    <w:t>400</w:t>
                  </w:r>
                </w:p>
              </w:tc>
              <w:tc>
                <w:tcPr>
                  <w:tcW w:w="559" w:type="pct"/>
                  <w:vMerge w:val="continue"/>
                  <w:tcBorders>
                    <w:top w:val="single" w:color="auto" w:sz="4" w:space="0"/>
                    <w:left w:val="single" w:color="auto" w:sz="4" w:space="0"/>
                    <w:bottom w:val="single" w:color="auto" w:sz="6" w:space="0"/>
                    <w:right w:val="single" w:color="auto" w:sz="6" w:space="0"/>
                  </w:tcBorders>
                  <w:vAlign w:val="center"/>
                </w:tcPr>
                <w:p>
                  <w:pPr>
                    <w:pStyle w:val="35"/>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continue"/>
                  <w:tcBorders>
                    <w:top w:val="single" w:color="auto" w:sz="4" w:space="0"/>
                    <w:left w:val="single" w:color="auto" w:sz="6" w:space="0"/>
                    <w:bottom w:val="single" w:color="auto" w:sz="6" w:space="0"/>
                    <w:right w:val="single" w:color="auto" w:sz="4" w:space="0"/>
                  </w:tcBorders>
                  <w:vAlign w:val="center"/>
                </w:tcPr>
                <w:p>
                  <w:pPr>
                    <w:pStyle w:val="35"/>
                  </w:pPr>
                </w:p>
              </w:tc>
              <w:tc>
                <w:tcPr>
                  <w:tcW w:w="511"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78" w:type="pct"/>
                  <w:tcBorders>
                    <w:top w:val="single" w:color="auto" w:sz="4" w:space="0"/>
                    <w:left w:val="single" w:color="auto" w:sz="4" w:space="0"/>
                    <w:bottom w:val="single" w:color="auto" w:sz="4" w:space="0"/>
                    <w:right w:val="single" w:color="auto" w:sz="4" w:space="0"/>
                  </w:tcBorders>
                  <w:vAlign w:val="center"/>
                </w:tcPr>
                <w:p>
                  <w:pPr>
                    <w:pStyle w:val="35"/>
                  </w:pPr>
                  <w:r>
                    <w:t>NH</w:t>
                  </w:r>
                  <w:r>
                    <w:rPr>
                      <w:vertAlign w:val="subscript"/>
                    </w:rPr>
                    <w:t>3</w:t>
                  </w:r>
                  <w:r>
                    <w:t>-N</w:t>
                  </w:r>
                </w:p>
              </w:tc>
              <w:tc>
                <w:tcPr>
                  <w:tcW w:w="511"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3</w:t>
                  </w:r>
                  <w:r>
                    <w:t>0</w:t>
                  </w:r>
                </w:p>
              </w:tc>
              <w:tc>
                <w:tcPr>
                  <w:tcW w:w="537" w:type="pct"/>
                  <w:tcBorders>
                    <w:top w:val="nil"/>
                    <w:left w:val="nil"/>
                    <w:bottom w:val="single" w:color="auto" w:sz="8" w:space="0"/>
                    <w:right w:val="single" w:color="auto" w:sz="8" w:space="0"/>
                  </w:tcBorders>
                  <w:shd w:val="clear" w:color="000000" w:fill="FFFFFF"/>
                  <w:vAlign w:val="center"/>
                </w:tcPr>
                <w:p>
                  <w:pPr>
                    <w:pStyle w:val="35"/>
                    <w:rPr>
                      <w:rFonts w:hint="default" w:eastAsia="等线"/>
                      <w:lang w:val="en-US" w:eastAsia="zh-CN"/>
                    </w:rPr>
                  </w:pPr>
                  <w:r>
                    <w:rPr>
                      <w:rFonts w:eastAsia="等线"/>
                      <w:szCs w:val="21"/>
                    </w:rPr>
                    <w:t>0.0</w:t>
                  </w:r>
                  <w:r>
                    <w:rPr>
                      <w:rFonts w:hint="eastAsia" w:eastAsia="等线"/>
                      <w:szCs w:val="21"/>
                      <w:lang w:val="en-US" w:eastAsia="zh-CN"/>
                    </w:rPr>
                    <w:t>27</w:t>
                  </w:r>
                </w:p>
              </w:tc>
              <w:tc>
                <w:tcPr>
                  <w:tcW w:w="385"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43" w:type="pct"/>
                  <w:tcBorders>
                    <w:top w:val="single" w:color="auto" w:sz="4" w:space="0"/>
                    <w:left w:val="single" w:color="auto" w:sz="4" w:space="0"/>
                    <w:bottom w:val="single" w:color="auto" w:sz="4" w:space="0"/>
                    <w:right w:val="single" w:color="auto" w:sz="4" w:space="0"/>
                  </w:tcBorders>
                  <w:vAlign w:val="center"/>
                </w:tcPr>
                <w:p>
                  <w:pPr>
                    <w:pStyle w:val="35"/>
                  </w:pPr>
                  <w:r>
                    <w:rPr>
                      <w:rFonts w:hint="eastAsia"/>
                    </w:rPr>
                    <w:t>3</w:t>
                  </w:r>
                  <w:r>
                    <w:t>0</w:t>
                  </w:r>
                </w:p>
              </w:tc>
              <w:tc>
                <w:tcPr>
                  <w:tcW w:w="750" w:type="dxa"/>
                  <w:tcBorders>
                    <w:top w:val="nil"/>
                    <w:left w:val="nil"/>
                    <w:bottom w:val="single" w:color="auto" w:sz="8" w:space="0"/>
                    <w:right w:val="single" w:color="auto" w:sz="8" w:space="0"/>
                  </w:tcBorders>
                  <w:shd w:val="clear" w:color="000000" w:fill="FFFFFF"/>
                  <w:vAlign w:val="center"/>
                </w:tcPr>
                <w:p>
                  <w:pPr>
                    <w:pStyle w:val="35"/>
                  </w:pPr>
                  <w:r>
                    <w:rPr>
                      <w:rFonts w:eastAsia="等线"/>
                      <w:szCs w:val="21"/>
                    </w:rPr>
                    <w:t>0.0</w:t>
                  </w:r>
                  <w:r>
                    <w:rPr>
                      <w:rFonts w:hint="eastAsia" w:eastAsia="等线"/>
                      <w:szCs w:val="21"/>
                      <w:lang w:val="en-US" w:eastAsia="zh-CN"/>
                    </w:rPr>
                    <w:t>27</w:t>
                  </w:r>
                </w:p>
              </w:tc>
              <w:tc>
                <w:tcPr>
                  <w:tcW w:w="569" w:type="pct"/>
                  <w:tcBorders>
                    <w:top w:val="single" w:color="auto" w:sz="4" w:space="0"/>
                    <w:left w:val="single" w:color="auto" w:sz="4" w:space="0"/>
                    <w:bottom w:val="single" w:color="auto" w:sz="4" w:space="0"/>
                    <w:right w:val="single" w:color="auto" w:sz="4" w:space="0"/>
                  </w:tcBorders>
                  <w:vAlign w:val="center"/>
                </w:tcPr>
                <w:p>
                  <w:pPr>
                    <w:pStyle w:val="35"/>
                  </w:pPr>
                  <w:r>
                    <w:t>45</w:t>
                  </w:r>
                </w:p>
              </w:tc>
              <w:tc>
                <w:tcPr>
                  <w:tcW w:w="559" w:type="pct"/>
                  <w:vMerge w:val="continue"/>
                  <w:tcBorders>
                    <w:top w:val="single" w:color="auto" w:sz="4" w:space="0"/>
                    <w:left w:val="single" w:color="auto" w:sz="4" w:space="0"/>
                    <w:bottom w:val="single" w:color="auto" w:sz="6" w:space="0"/>
                    <w:right w:val="single" w:color="auto" w:sz="6" w:space="0"/>
                  </w:tcBorders>
                  <w:vAlign w:val="center"/>
                </w:tcPr>
                <w:p>
                  <w:pPr>
                    <w:pStyle w:val="35"/>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6" w:type="pct"/>
                  <w:vMerge w:val="continue"/>
                  <w:tcBorders>
                    <w:top w:val="single" w:color="auto" w:sz="4" w:space="0"/>
                    <w:left w:val="single" w:color="auto" w:sz="6" w:space="0"/>
                    <w:bottom w:val="single" w:color="auto" w:sz="6" w:space="0"/>
                    <w:right w:val="single" w:color="auto" w:sz="4" w:space="0"/>
                  </w:tcBorders>
                  <w:vAlign w:val="center"/>
                </w:tcPr>
                <w:p>
                  <w:pPr>
                    <w:pStyle w:val="35"/>
                  </w:pPr>
                </w:p>
              </w:tc>
              <w:tc>
                <w:tcPr>
                  <w:tcW w:w="511"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78" w:type="pct"/>
                  <w:tcBorders>
                    <w:top w:val="single" w:color="auto" w:sz="4" w:space="0"/>
                    <w:left w:val="single" w:color="auto" w:sz="4" w:space="0"/>
                    <w:bottom w:val="single" w:color="auto" w:sz="6" w:space="0"/>
                    <w:right w:val="single" w:color="auto" w:sz="4" w:space="0"/>
                  </w:tcBorders>
                  <w:vAlign w:val="center"/>
                </w:tcPr>
                <w:p>
                  <w:pPr>
                    <w:pStyle w:val="35"/>
                  </w:pPr>
                  <w:r>
                    <w:t>TP</w:t>
                  </w:r>
                </w:p>
              </w:tc>
              <w:tc>
                <w:tcPr>
                  <w:tcW w:w="511" w:type="pct"/>
                  <w:tcBorders>
                    <w:top w:val="single" w:color="auto" w:sz="4" w:space="0"/>
                    <w:left w:val="single" w:color="auto" w:sz="4" w:space="0"/>
                    <w:bottom w:val="single" w:color="auto" w:sz="6" w:space="0"/>
                    <w:right w:val="single" w:color="auto" w:sz="4" w:space="0"/>
                  </w:tcBorders>
                  <w:vAlign w:val="center"/>
                </w:tcPr>
                <w:p>
                  <w:pPr>
                    <w:pStyle w:val="35"/>
                  </w:pPr>
                  <w:r>
                    <w:rPr>
                      <w:rFonts w:hint="eastAsia"/>
                    </w:rPr>
                    <w:t>5</w:t>
                  </w:r>
                </w:p>
              </w:tc>
              <w:tc>
                <w:tcPr>
                  <w:tcW w:w="537" w:type="pct"/>
                  <w:tcBorders>
                    <w:top w:val="nil"/>
                    <w:left w:val="nil"/>
                    <w:bottom w:val="single" w:color="auto" w:sz="8" w:space="0"/>
                    <w:right w:val="single" w:color="auto" w:sz="8" w:space="0"/>
                  </w:tcBorders>
                  <w:shd w:val="clear" w:color="000000" w:fill="FFFFFF"/>
                  <w:vAlign w:val="center"/>
                </w:tcPr>
                <w:p>
                  <w:pPr>
                    <w:pStyle w:val="35"/>
                    <w:rPr>
                      <w:rFonts w:hint="default" w:eastAsia="宋体"/>
                      <w:lang w:val="en-US" w:eastAsia="zh-CN"/>
                    </w:rPr>
                  </w:pPr>
                  <w:r>
                    <w:rPr>
                      <w:rFonts w:hint="eastAsia"/>
                      <w:lang w:val="en-US" w:eastAsia="zh-CN"/>
                    </w:rPr>
                    <w:t>0.0045</w:t>
                  </w:r>
                </w:p>
              </w:tc>
              <w:tc>
                <w:tcPr>
                  <w:tcW w:w="385" w:type="pct"/>
                  <w:vMerge w:val="continue"/>
                  <w:tcBorders>
                    <w:top w:val="single" w:color="auto" w:sz="4" w:space="0"/>
                    <w:left w:val="single" w:color="auto" w:sz="4" w:space="0"/>
                    <w:bottom w:val="single" w:color="auto" w:sz="6" w:space="0"/>
                    <w:right w:val="single" w:color="auto" w:sz="4" w:space="0"/>
                  </w:tcBorders>
                  <w:vAlign w:val="center"/>
                </w:tcPr>
                <w:p>
                  <w:pPr>
                    <w:pStyle w:val="35"/>
                  </w:pPr>
                </w:p>
              </w:tc>
              <w:tc>
                <w:tcPr>
                  <w:tcW w:w="443" w:type="pct"/>
                  <w:tcBorders>
                    <w:top w:val="single" w:color="auto" w:sz="4" w:space="0"/>
                    <w:left w:val="single" w:color="auto" w:sz="4" w:space="0"/>
                    <w:bottom w:val="single" w:color="auto" w:sz="6" w:space="0"/>
                    <w:right w:val="single" w:color="auto" w:sz="4" w:space="0"/>
                  </w:tcBorders>
                  <w:vAlign w:val="center"/>
                </w:tcPr>
                <w:p>
                  <w:pPr>
                    <w:pStyle w:val="35"/>
                  </w:pPr>
                  <w:r>
                    <w:rPr>
                      <w:rFonts w:hint="eastAsia"/>
                    </w:rPr>
                    <w:t>5</w:t>
                  </w:r>
                </w:p>
              </w:tc>
              <w:tc>
                <w:tcPr>
                  <w:tcW w:w="750" w:type="dxa"/>
                  <w:tcBorders>
                    <w:top w:val="nil"/>
                    <w:left w:val="nil"/>
                    <w:bottom w:val="single" w:color="auto" w:sz="8" w:space="0"/>
                    <w:right w:val="single" w:color="auto" w:sz="8" w:space="0"/>
                  </w:tcBorders>
                  <w:shd w:val="clear" w:color="000000" w:fill="FFFFFF"/>
                  <w:vAlign w:val="center"/>
                </w:tcPr>
                <w:p>
                  <w:pPr>
                    <w:pStyle w:val="35"/>
                  </w:pPr>
                  <w:r>
                    <w:rPr>
                      <w:rFonts w:hint="eastAsia"/>
                      <w:lang w:val="en-US" w:eastAsia="zh-CN"/>
                    </w:rPr>
                    <w:t>0.0045</w:t>
                  </w:r>
                </w:p>
              </w:tc>
              <w:tc>
                <w:tcPr>
                  <w:tcW w:w="569" w:type="pct"/>
                  <w:tcBorders>
                    <w:top w:val="single" w:color="auto" w:sz="4" w:space="0"/>
                    <w:left w:val="single" w:color="auto" w:sz="4" w:space="0"/>
                    <w:bottom w:val="single" w:color="auto" w:sz="6" w:space="0"/>
                    <w:right w:val="single" w:color="auto" w:sz="4" w:space="0"/>
                  </w:tcBorders>
                  <w:vAlign w:val="center"/>
                </w:tcPr>
                <w:p>
                  <w:pPr>
                    <w:pStyle w:val="35"/>
                  </w:pPr>
                  <w:r>
                    <w:t>8</w:t>
                  </w:r>
                </w:p>
              </w:tc>
              <w:tc>
                <w:tcPr>
                  <w:tcW w:w="559" w:type="pct"/>
                  <w:vMerge w:val="continue"/>
                  <w:tcBorders>
                    <w:top w:val="single" w:color="auto" w:sz="4" w:space="0"/>
                    <w:left w:val="single" w:color="auto" w:sz="4" w:space="0"/>
                    <w:bottom w:val="single" w:color="auto" w:sz="6" w:space="0"/>
                    <w:right w:val="single" w:color="auto" w:sz="6" w:space="0"/>
                  </w:tcBorders>
                  <w:vAlign w:val="center"/>
                </w:tcPr>
                <w:p>
                  <w:pPr>
                    <w:pStyle w:val="35"/>
                  </w:pPr>
                </w:p>
              </w:tc>
            </w:tr>
          </w:tbl>
          <w:p>
            <w:pPr>
              <w:pStyle w:val="14"/>
            </w:pPr>
            <w:r>
              <w:rPr>
                <w:rFonts w:hint="eastAsia"/>
              </w:rPr>
              <w:t>（</w:t>
            </w:r>
            <w:r>
              <w:t>2</w:t>
            </w:r>
            <w:r>
              <w:rPr>
                <w:rFonts w:hint="eastAsia"/>
              </w:rPr>
              <w:t>）排污口设置及监测计划</w:t>
            </w:r>
          </w:p>
          <w:p>
            <w:pPr>
              <w:pStyle w:val="12"/>
            </w:pPr>
            <w:r>
              <w:rPr>
                <w:rFonts w:hint="eastAsia"/>
              </w:rPr>
              <w:t>表</w:t>
            </w:r>
            <w:r>
              <w:t xml:space="preserve">4-14   </w:t>
            </w:r>
            <w:r>
              <w:rPr>
                <w:rFonts w:hint="eastAsia"/>
              </w:rPr>
              <w:t>生活污水环境监控计划</w:t>
            </w:r>
          </w:p>
          <w:tbl>
            <w:tblPr>
              <w:tblStyle w:val="1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3"/>
              <w:gridCol w:w="645"/>
              <w:gridCol w:w="633"/>
              <w:gridCol w:w="851"/>
              <w:gridCol w:w="463"/>
              <w:gridCol w:w="797"/>
              <w:gridCol w:w="630"/>
              <w:gridCol w:w="533"/>
              <w:gridCol w:w="810"/>
              <w:gridCol w:w="812"/>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451" w:type="dxa"/>
                  <w:vAlign w:val="center"/>
                </w:tcPr>
                <w:p>
                  <w:pPr>
                    <w:pStyle w:val="35"/>
                  </w:pPr>
                  <w:r>
                    <w:rPr>
                      <w:rFonts w:hint="eastAsia"/>
                    </w:rPr>
                    <w:t>污染源</w:t>
                  </w:r>
                </w:p>
              </w:tc>
              <w:tc>
                <w:tcPr>
                  <w:tcW w:w="628" w:type="dxa"/>
                  <w:vAlign w:val="center"/>
                </w:tcPr>
                <w:p>
                  <w:pPr>
                    <w:pStyle w:val="35"/>
                  </w:pPr>
                  <w:r>
                    <w:rPr>
                      <w:rFonts w:hint="eastAsia"/>
                    </w:rPr>
                    <w:t>排放口编号</w:t>
                  </w:r>
                </w:p>
              </w:tc>
              <w:tc>
                <w:tcPr>
                  <w:tcW w:w="617" w:type="dxa"/>
                  <w:vAlign w:val="center"/>
                </w:tcPr>
                <w:p>
                  <w:pPr>
                    <w:pStyle w:val="35"/>
                  </w:pPr>
                  <w:r>
                    <w:rPr>
                      <w:rFonts w:hint="eastAsia"/>
                    </w:rPr>
                    <w:t>排放方式</w:t>
                  </w:r>
                </w:p>
              </w:tc>
              <w:tc>
                <w:tcPr>
                  <w:tcW w:w="829" w:type="dxa"/>
                  <w:vAlign w:val="center"/>
                </w:tcPr>
                <w:p>
                  <w:pPr>
                    <w:pStyle w:val="35"/>
                  </w:pPr>
                  <w:r>
                    <w:rPr>
                      <w:rFonts w:hint="eastAsia"/>
                    </w:rPr>
                    <w:t>坐标</w:t>
                  </w:r>
                </w:p>
              </w:tc>
              <w:tc>
                <w:tcPr>
                  <w:tcW w:w="451" w:type="dxa"/>
                  <w:vAlign w:val="center"/>
                </w:tcPr>
                <w:p>
                  <w:pPr>
                    <w:pStyle w:val="35"/>
                  </w:pPr>
                  <w:r>
                    <w:rPr>
                      <w:rFonts w:hint="eastAsia"/>
                    </w:rPr>
                    <w:t>排放去向</w:t>
                  </w:r>
                </w:p>
              </w:tc>
              <w:tc>
                <w:tcPr>
                  <w:tcW w:w="776" w:type="dxa"/>
                  <w:vAlign w:val="center"/>
                </w:tcPr>
                <w:p>
                  <w:pPr>
                    <w:pStyle w:val="35"/>
                  </w:pPr>
                  <w:r>
                    <w:rPr>
                      <w:rFonts w:hint="eastAsia"/>
                    </w:rPr>
                    <w:t>排放规律</w:t>
                  </w:r>
                </w:p>
              </w:tc>
              <w:tc>
                <w:tcPr>
                  <w:tcW w:w="614" w:type="dxa"/>
                  <w:vAlign w:val="center"/>
                </w:tcPr>
                <w:p>
                  <w:pPr>
                    <w:pStyle w:val="35"/>
                  </w:pPr>
                  <w:r>
                    <w:rPr>
                      <w:rFonts w:hint="eastAsia"/>
                    </w:rPr>
                    <w:t>类型</w:t>
                  </w:r>
                </w:p>
              </w:tc>
              <w:tc>
                <w:tcPr>
                  <w:tcW w:w="519" w:type="dxa"/>
                  <w:vAlign w:val="center"/>
                </w:tcPr>
                <w:p>
                  <w:pPr>
                    <w:pStyle w:val="35"/>
                  </w:pPr>
                  <w:r>
                    <w:rPr>
                      <w:rFonts w:hint="eastAsia"/>
                    </w:rPr>
                    <w:t>监测点位</w:t>
                  </w:r>
                </w:p>
              </w:tc>
              <w:tc>
                <w:tcPr>
                  <w:tcW w:w="789" w:type="dxa"/>
                  <w:vAlign w:val="center"/>
                </w:tcPr>
                <w:p>
                  <w:pPr>
                    <w:pStyle w:val="35"/>
                  </w:pPr>
                  <w:r>
                    <w:rPr>
                      <w:rFonts w:hint="eastAsia"/>
                    </w:rPr>
                    <w:t>监测因子</w:t>
                  </w:r>
                </w:p>
              </w:tc>
              <w:tc>
                <w:tcPr>
                  <w:tcW w:w="791" w:type="dxa"/>
                  <w:vAlign w:val="center"/>
                </w:tcPr>
                <w:p>
                  <w:pPr>
                    <w:pStyle w:val="35"/>
                  </w:pPr>
                  <w:r>
                    <w:rPr>
                      <w:rFonts w:hint="eastAsia"/>
                    </w:rPr>
                    <w:t>监测频次</w:t>
                  </w:r>
                </w:p>
              </w:tc>
              <w:tc>
                <w:tcPr>
                  <w:tcW w:w="1466" w:type="dxa"/>
                  <w:vAlign w:val="center"/>
                </w:tcPr>
                <w:p>
                  <w:pPr>
                    <w:pStyle w:val="35"/>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8" w:hRule="atLeast"/>
                <w:jc w:val="center"/>
              </w:trPr>
              <w:tc>
                <w:tcPr>
                  <w:tcW w:w="451" w:type="dxa"/>
                  <w:vAlign w:val="center"/>
                </w:tcPr>
                <w:p>
                  <w:pPr>
                    <w:pStyle w:val="35"/>
                  </w:pPr>
                  <w:r>
                    <w:rPr>
                      <w:rFonts w:hint="eastAsia"/>
                    </w:rPr>
                    <w:t>废水</w:t>
                  </w:r>
                </w:p>
              </w:tc>
              <w:tc>
                <w:tcPr>
                  <w:tcW w:w="628" w:type="dxa"/>
                  <w:vAlign w:val="center"/>
                </w:tcPr>
                <w:p>
                  <w:pPr>
                    <w:pStyle w:val="35"/>
                    <w:rPr>
                      <w:color w:val="000000" w:themeColor="text1"/>
                      <w14:textFill>
                        <w14:solidFill>
                          <w14:schemeClr w14:val="tx1"/>
                        </w14:solidFill>
                      </w14:textFill>
                    </w:rPr>
                  </w:pPr>
                  <w:r>
                    <w:rPr>
                      <w:color w:val="000000" w:themeColor="text1"/>
                      <w14:textFill>
                        <w14:solidFill>
                          <w14:schemeClr w14:val="tx1"/>
                        </w14:solidFill>
                      </w14:textFill>
                    </w:rPr>
                    <w:t>WS-1</w:t>
                  </w:r>
                </w:p>
              </w:tc>
              <w:tc>
                <w:tcPr>
                  <w:tcW w:w="617" w:type="dxa"/>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间接排放</w:t>
                  </w:r>
                </w:p>
              </w:tc>
              <w:tc>
                <w:tcPr>
                  <w:tcW w:w="829" w:type="dxa"/>
                  <w:vAlign w:val="center"/>
                </w:tcPr>
                <w:p>
                  <w:pPr>
                    <w:pStyle w:val="35"/>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E120.4</w:t>
                  </w:r>
                  <w:r>
                    <w:rPr>
                      <w:rFonts w:hint="eastAsia"/>
                      <w:color w:val="000000" w:themeColor="text1"/>
                      <w:lang w:val="en-US" w:eastAsia="zh-CN"/>
                      <w14:textFill>
                        <w14:solidFill>
                          <w14:schemeClr w14:val="tx1"/>
                        </w14:solidFill>
                      </w14:textFill>
                    </w:rPr>
                    <w:t>18604</w:t>
                  </w:r>
                </w:p>
                <w:p>
                  <w:pPr>
                    <w:pStyle w:val="35"/>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N31.3</w:t>
                  </w:r>
                  <w:r>
                    <w:rPr>
                      <w:rFonts w:hint="eastAsia"/>
                      <w:color w:val="000000" w:themeColor="text1"/>
                      <w:lang w:val="en-US" w:eastAsia="zh-CN"/>
                      <w14:textFill>
                        <w14:solidFill>
                          <w14:schemeClr w14:val="tx1"/>
                        </w14:solidFill>
                      </w14:textFill>
                    </w:rPr>
                    <w:t>79541</w:t>
                  </w:r>
                </w:p>
              </w:tc>
              <w:tc>
                <w:tcPr>
                  <w:tcW w:w="451" w:type="dxa"/>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科技城水质净化厂</w:t>
                  </w:r>
                </w:p>
              </w:tc>
              <w:tc>
                <w:tcPr>
                  <w:tcW w:w="776" w:type="dxa"/>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间断排放，排</w:t>
                  </w:r>
                </w:p>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放期间流量不稳定，但有</w:t>
                  </w:r>
                </w:p>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周期性规律</w:t>
                  </w:r>
                </w:p>
              </w:tc>
              <w:tc>
                <w:tcPr>
                  <w:tcW w:w="614" w:type="dxa"/>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一般排放口</w:t>
                  </w:r>
                </w:p>
              </w:tc>
              <w:tc>
                <w:tcPr>
                  <w:tcW w:w="519" w:type="dxa"/>
                  <w:vAlign w:val="center"/>
                </w:tcPr>
                <w:p>
                  <w:pPr>
                    <w:pStyle w:val="35"/>
                    <w:rPr>
                      <w:color w:val="000000" w:themeColor="text1"/>
                      <w14:textFill>
                        <w14:solidFill>
                          <w14:schemeClr w14:val="tx1"/>
                        </w14:solidFill>
                      </w14:textFill>
                    </w:rPr>
                  </w:pPr>
                  <w:r>
                    <w:rPr>
                      <w:rFonts w:hint="eastAsia"/>
                      <w:color w:val="000000" w:themeColor="text1"/>
                      <w14:textFill>
                        <w14:solidFill>
                          <w14:schemeClr w14:val="tx1"/>
                        </w14:solidFill>
                      </w14:textFill>
                    </w:rPr>
                    <w:t>污水总排口</w:t>
                  </w:r>
                </w:p>
              </w:tc>
              <w:tc>
                <w:tcPr>
                  <w:tcW w:w="789" w:type="dxa"/>
                  <w:vAlign w:val="center"/>
                </w:tcPr>
                <w:p>
                  <w:pPr>
                    <w:pStyle w:val="35"/>
                  </w:pPr>
                  <w:r>
                    <w:t>COD</w:t>
                  </w:r>
                  <w:r>
                    <w:rPr>
                      <w:rFonts w:hint="eastAsia"/>
                    </w:rPr>
                    <w:t>、</w:t>
                  </w:r>
                  <w:r>
                    <w:t>SS</w:t>
                  </w:r>
                  <w:r>
                    <w:rPr>
                      <w:rFonts w:hint="eastAsia"/>
                    </w:rPr>
                    <w:t>、</w:t>
                  </w:r>
                  <w:r>
                    <w:t>NH</w:t>
                  </w:r>
                  <w:r>
                    <w:rPr>
                      <w:vertAlign w:val="subscript"/>
                    </w:rPr>
                    <w:t>3</w:t>
                  </w:r>
                  <w:r>
                    <w:t>-N</w:t>
                  </w:r>
                  <w:r>
                    <w:rPr>
                      <w:rFonts w:hint="eastAsia"/>
                    </w:rPr>
                    <w:t>、</w:t>
                  </w:r>
                  <w:r>
                    <w:t xml:space="preserve">TP </w:t>
                  </w:r>
                </w:p>
              </w:tc>
              <w:tc>
                <w:tcPr>
                  <w:tcW w:w="791" w:type="dxa"/>
                  <w:vAlign w:val="center"/>
                </w:tcPr>
                <w:p>
                  <w:pPr>
                    <w:pStyle w:val="35"/>
                  </w:pPr>
                  <w:r>
                    <w:rPr>
                      <w:rFonts w:hint="eastAsia"/>
                    </w:rPr>
                    <w:t>一年一次</w:t>
                  </w:r>
                </w:p>
              </w:tc>
              <w:tc>
                <w:tcPr>
                  <w:tcW w:w="1466" w:type="dxa"/>
                  <w:vAlign w:val="center"/>
                </w:tcPr>
                <w:p>
                  <w:pPr>
                    <w:pStyle w:val="35"/>
                  </w:pPr>
                  <w:r>
                    <w:rPr>
                      <w:rFonts w:hint="eastAsia"/>
                    </w:rPr>
                    <w:t>《污水综合排放标准》</w:t>
                  </w:r>
                  <w:r>
                    <w:t>(GB8978-1996)</w:t>
                  </w:r>
                  <w:r>
                    <w:rPr>
                      <w:rFonts w:hint="eastAsia"/>
                    </w:rPr>
                    <w:t>、《污水排入城镇下水道水质标准》（</w:t>
                  </w:r>
                  <w:r>
                    <w:t>GB/T 31962-2015</w:t>
                  </w:r>
                  <w:r>
                    <w:rPr>
                      <w:rFonts w:hint="eastAsia"/>
                    </w:rPr>
                    <w:t>）</w:t>
                  </w:r>
                </w:p>
              </w:tc>
            </w:tr>
          </w:tbl>
          <w:p>
            <w:pPr>
              <w:pStyle w:val="14"/>
            </w:pPr>
            <w:r>
              <w:rPr>
                <w:rFonts w:hint="eastAsia"/>
              </w:rPr>
              <w:t>（</w:t>
            </w:r>
            <w:r>
              <w:t>3</w:t>
            </w:r>
            <w:r>
              <w:rPr>
                <w:rFonts w:hint="eastAsia"/>
              </w:rPr>
              <w:t>）污染源强核算表</w:t>
            </w:r>
          </w:p>
          <w:p>
            <w:pPr>
              <w:pStyle w:val="12"/>
              <w:rPr>
                <w:lang w:bidi="ar"/>
              </w:rPr>
            </w:pPr>
            <w:r>
              <w:rPr>
                <w:rFonts w:hint="eastAsia"/>
                <w:lang w:bidi="ar"/>
              </w:rPr>
              <w:t>表</w:t>
            </w:r>
            <w:r>
              <w:rPr>
                <w:lang w:bidi="ar"/>
              </w:rPr>
              <w:t xml:space="preserve">4-15   </w:t>
            </w:r>
            <w:r>
              <w:rPr>
                <w:rFonts w:hint="eastAsia"/>
                <w:lang w:bidi="ar"/>
              </w:rPr>
              <w:t>水污染物污染源强核算表</w:t>
            </w:r>
          </w:p>
          <w:tbl>
            <w:tblPr>
              <w:tblStyle w:val="16"/>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499"/>
              <w:gridCol w:w="771"/>
              <w:gridCol w:w="354"/>
              <w:gridCol w:w="707"/>
              <w:gridCol w:w="743"/>
              <w:gridCol w:w="772"/>
              <w:gridCol w:w="503"/>
              <w:gridCol w:w="566"/>
              <w:gridCol w:w="390"/>
              <w:gridCol w:w="690"/>
              <w:gridCol w:w="779"/>
              <w:gridCol w:w="825"/>
              <w:gridCol w:w="62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restart"/>
                  <w:tcBorders>
                    <w:top w:val="single" w:color="auto" w:sz="2" w:space="0"/>
                    <w:left w:val="single" w:color="auto" w:sz="4" w:space="0"/>
                    <w:bottom w:val="single" w:color="auto" w:sz="4" w:space="0"/>
                    <w:right w:val="single" w:color="auto" w:sz="4" w:space="0"/>
                  </w:tcBorders>
                  <w:vAlign w:val="center"/>
                </w:tcPr>
                <w:p>
                  <w:pPr>
                    <w:pStyle w:val="35"/>
                  </w:pPr>
                  <w:r>
                    <w:rPr>
                      <w:rFonts w:hint="eastAsia"/>
                    </w:rPr>
                    <w:t>污染源</w:t>
                  </w:r>
                </w:p>
              </w:tc>
              <w:tc>
                <w:tcPr>
                  <w:tcW w:w="670" w:type="dxa"/>
                  <w:vMerge w:val="restart"/>
                  <w:tcBorders>
                    <w:top w:val="single" w:color="auto" w:sz="2" w:space="0"/>
                    <w:left w:val="single" w:color="auto" w:sz="4" w:space="0"/>
                    <w:bottom w:val="single" w:color="auto" w:sz="4" w:space="0"/>
                    <w:right w:val="single" w:color="auto" w:sz="4" w:space="0"/>
                  </w:tcBorders>
                  <w:vAlign w:val="center"/>
                </w:tcPr>
                <w:p>
                  <w:pPr>
                    <w:pStyle w:val="35"/>
                  </w:pPr>
                  <w:r>
                    <w:rPr>
                      <w:rFonts w:hint="eastAsia"/>
                    </w:rPr>
                    <w:t>污染物</w:t>
                  </w:r>
                </w:p>
              </w:tc>
              <w:tc>
                <w:tcPr>
                  <w:tcW w:w="2240" w:type="dxa"/>
                  <w:gridSpan w:val="4"/>
                  <w:tcBorders>
                    <w:top w:val="single" w:color="auto" w:sz="2" w:space="0"/>
                    <w:left w:val="single" w:color="auto" w:sz="4" w:space="0"/>
                    <w:bottom w:val="single" w:color="auto" w:sz="4" w:space="0"/>
                    <w:right w:val="single" w:color="auto" w:sz="4" w:space="0"/>
                  </w:tcBorders>
                  <w:vAlign w:val="center"/>
                </w:tcPr>
                <w:p>
                  <w:pPr>
                    <w:pStyle w:val="35"/>
                  </w:pPr>
                  <w:r>
                    <w:rPr>
                      <w:rFonts w:hint="eastAsia"/>
                    </w:rPr>
                    <w:t>污染物产生</w:t>
                  </w:r>
                </w:p>
              </w:tc>
              <w:tc>
                <w:tcPr>
                  <w:tcW w:w="929" w:type="dxa"/>
                  <w:gridSpan w:val="2"/>
                  <w:tcBorders>
                    <w:top w:val="single" w:color="auto" w:sz="2" w:space="0"/>
                    <w:left w:val="single" w:color="auto" w:sz="4" w:space="0"/>
                    <w:bottom w:val="single" w:color="auto" w:sz="4" w:space="0"/>
                    <w:right w:val="single" w:color="auto" w:sz="4" w:space="0"/>
                  </w:tcBorders>
                  <w:vAlign w:val="center"/>
                </w:tcPr>
                <w:p>
                  <w:pPr>
                    <w:pStyle w:val="35"/>
                  </w:pPr>
                  <w:r>
                    <w:rPr>
                      <w:rFonts w:hint="eastAsia"/>
                    </w:rPr>
                    <w:t>治理措施</w:t>
                  </w:r>
                </w:p>
              </w:tc>
              <w:tc>
                <w:tcPr>
                  <w:tcW w:w="2333" w:type="dxa"/>
                  <w:gridSpan w:val="4"/>
                  <w:tcBorders>
                    <w:top w:val="single" w:color="auto" w:sz="2" w:space="0"/>
                    <w:left w:val="single" w:color="auto" w:sz="4" w:space="0"/>
                    <w:bottom w:val="single" w:color="auto" w:sz="4" w:space="0"/>
                    <w:right w:val="single" w:color="auto" w:sz="4" w:space="0"/>
                  </w:tcBorders>
                  <w:vAlign w:val="center"/>
                </w:tcPr>
                <w:p>
                  <w:pPr>
                    <w:pStyle w:val="35"/>
                  </w:pPr>
                  <w:r>
                    <w:rPr>
                      <w:rFonts w:hint="eastAsia"/>
                    </w:rPr>
                    <w:t>污染物排放</w:t>
                  </w:r>
                </w:p>
              </w:tc>
              <w:tc>
                <w:tcPr>
                  <w:tcW w:w="545" w:type="dxa"/>
                  <w:vMerge w:val="restart"/>
                  <w:tcBorders>
                    <w:top w:val="single" w:color="auto" w:sz="2" w:space="0"/>
                    <w:left w:val="single" w:color="auto" w:sz="4" w:space="0"/>
                    <w:bottom w:val="single" w:color="auto" w:sz="4" w:space="0"/>
                    <w:right w:val="single" w:color="auto" w:sz="2" w:space="0"/>
                  </w:tcBorders>
                  <w:vAlign w:val="center"/>
                </w:tcPr>
                <w:p>
                  <w:pPr>
                    <w:pStyle w:val="35"/>
                  </w:pPr>
                  <w:r>
                    <w:rPr>
                      <w:rFonts w:hint="eastAsia"/>
                    </w:rPr>
                    <w:t>排放时间</w:t>
                  </w:r>
                  <w:r>
                    <w:t>(h)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continue"/>
                  <w:tcBorders>
                    <w:top w:val="single" w:color="auto" w:sz="2" w:space="0"/>
                    <w:left w:val="single" w:color="auto" w:sz="4" w:space="0"/>
                    <w:bottom w:val="single" w:color="auto" w:sz="4" w:space="0"/>
                    <w:right w:val="single" w:color="auto" w:sz="4" w:space="0"/>
                  </w:tcBorders>
                  <w:vAlign w:val="center"/>
                </w:tcPr>
                <w:p>
                  <w:pPr>
                    <w:pStyle w:val="35"/>
                  </w:pPr>
                </w:p>
              </w:tc>
              <w:tc>
                <w:tcPr>
                  <w:tcW w:w="670" w:type="dxa"/>
                  <w:vMerge w:val="continue"/>
                  <w:tcBorders>
                    <w:top w:val="single" w:color="auto" w:sz="2" w:space="0"/>
                    <w:left w:val="single" w:color="auto" w:sz="4" w:space="0"/>
                    <w:bottom w:val="single" w:color="auto" w:sz="4" w:space="0"/>
                    <w:right w:val="single" w:color="auto" w:sz="4" w:space="0"/>
                  </w:tcBorders>
                  <w:vAlign w:val="center"/>
                </w:tcPr>
                <w:p>
                  <w:pPr>
                    <w:pStyle w:val="35"/>
                  </w:pPr>
                </w:p>
              </w:tc>
              <w:tc>
                <w:tcPr>
                  <w:tcW w:w="308"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核算方法</w:t>
                  </w:r>
                </w:p>
              </w:tc>
              <w:tc>
                <w:tcPr>
                  <w:tcW w:w="615"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产生废水量</w:t>
                  </w:r>
                  <w:r>
                    <w:t>(m</w:t>
                  </w:r>
                  <w:r>
                    <w:rPr>
                      <w:vertAlign w:val="superscript"/>
                    </w:rPr>
                    <w:t>3</w:t>
                  </w:r>
                  <w:r>
                    <w:t>/a)</w:t>
                  </w:r>
                </w:p>
              </w:tc>
              <w:tc>
                <w:tcPr>
                  <w:tcW w:w="646"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产生浓度</w:t>
                  </w:r>
                  <w:r>
                    <w:t>(mg/L)</w:t>
                  </w:r>
                </w:p>
              </w:tc>
              <w:tc>
                <w:tcPr>
                  <w:tcW w:w="671"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产生量</w:t>
                  </w:r>
                  <w:r>
                    <w:t>(t/a)</w:t>
                  </w:r>
                </w:p>
              </w:tc>
              <w:tc>
                <w:tcPr>
                  <w:tcW w:w="437"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工艺</w:t>
                  </w:r>
                </w:p>
              </w:tc>
              <w:tc>
                <w:tcPr>
                  <w:tcW w:w="492"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效率</w:t>
                  </w:r>
                  <w:r>
                    <w:t>%</w:t>
                  </w:r>
                </w:p>
              </w:tc>
              <w:tc>
                <w:tcPr>
                  <w:tcW w:w="339"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核算方法</w:t>
                  </w:r>
                </w:p>
              </w:tc>
              <w:tc>
                <w:tcPr>
                  <w:tcW w:w="600"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排放废水量</w:t>
                  </w:r>
                  <w:r>
                    <w:t>(m</w:t>
                  </w:r>
                  <w:r>
                    <w:rPr>
                      <w:vertAlign w:val="superscript"/>
                    </w:rPr>
                    <w:t>3</w:t>
                  </w:r>
                  <w:r>
                    <w:t>/a)</w:t>
                  </w:r>
                </w:p>
              </w:tc>
              <w:tc>
                <w:tcPr>
                  <w:tcW w:w="677"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排放浓度</w:t>
                  </w:r>
                  <w:r>
                    <w:t>(mg/L)</w:t>
                  </w:r>
                </w:p>
              </w:tc>
              <w:tc>
                <w:tcPr>
                  <w:tcW w:w="717"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rPr>
                    <w:t>排放量</w:t>
                  </w:r>
                  <w:r>
                    <w:t>(t/a)</w:t>
                  </w:r>
                </w:p>
              </w:tc>
              <w:tc>
                <w:tcPr>
                  <w:tcW w:w="545" w:type="dxa"/>
                  <w:vMerge w:val="continue"/>
                  <w:tcBorders>
                    <w:top w:val="single" w:color="auto" w:sz="2" w:space="0"/>
                    <w:left w:val="single" w:color="auto" w:sz="4" w:space="0"/>
                    <w:bottom w:val="single" w:color="auto" w:sz="4" w:space="0"/>
                    <w:right w:val="single" w:color="auto" w:sz="2" w:space="0"/>
                  </w:tcBorders>
                  <w:vAlign w:val="center"/>
                </w:tcPr>
                <w:p>
                  <w:pPr>
                    <w:pStyle w:val="35"/>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restart"/>
                  <w:tcBorders>
                    <w:top w:val="single" w:color="auto" w:sz="4" w:space="0"/>
                    <w:left w:val="single" w:color="auto" w:sz="4" w:space="0"/>
                    <w:bottom w:val="single" w:color="auto" w:sz="2" w:space="0"/>
                    <w:right w:val="single" w:color="auto" w:sz="4" w:space="0"/>
                  </w:tcBorders>
                  <w:vAlign w:val="center"/>
                </w:tcPr>
                <w:p>
                  <w:pPr>
                    <w:pStyle w:val="35"/>
                  </w:pPr>
                  <w:r>
                    <w:rPr>
                      <w:rFonts w:hint="eastAsia"/>
                    </w:rPr>
                    <w:t>生活污水</w:t>
                  </w:r>
                </w:p>
              </w:tc>
              <w:tc>
                <w:tcPr>
                  <w:tcW w:w="670" w:type="dxa"/>
                  <w:tcBorders>
                    <w:top w:val="single" w:color="auto" w:sz="4" w:space="0"/>
                    <w:left w:val="single" w:color="auto" w:sz="4" w:space="0"/>
                    <w:bottom w:val="single" w:color="auto" w:sz="4" w:space="0"/>
                    <w:right w:val="single" w:color="auto" w:sz="4" w:space="0"/>
                  </w:tcBorders>
                  <w:vAlign w:val="center"/>
                </w:tcPr>
                <w:p>
                  <w:pPr>
                    <w:pStyle w:val="35"/>
                  </w:pPr>
                  <w:r>
                    <w:t>COD</w:t>
                  </w:r>
                </w:p>
              </w:tc>
              <w:tc>
                <w:tcPr>
                  <w:tcW w:w="308" w:type="dxa"/>
                  <w:vMerge w:val="restart"/>
                  <w:tcBorders>
                    <w:top w:val="single" w:color="auto" w:sz="4" w:space="0"/>
                    <w:left w:val="single" w:color="auto" w:sz="4" w:space="0"/>
                    <w:bottom w:val="single" w:color="auto" w:sz="2" w:space="0"/>
                    <w:right w:val="single" w:color="auto" w:sz="4" w:space="0"/>
                  </w:tcBorders>
                  <w:vAlign w:val="center"/>
                </w:tcPr>
                <w:p>
                  <w:pPr>
                    <w:pStyle w:val="35"/>
                  </w:pPr>
                  <w:r>
                    <w:rPr>
                      <w:rFonts w:hint="eastAsia"/>
                    </w:rPr>
                    <w:t>类比法</w:t>
                  </w:r>
                </w:p>
              </w:tc>
              <w:tc>
                <w:tcPr>
                  <w:tcW w:w="615" w:type="dxa"/>
                  <w:vMerge w:val="restart"/>
                  <w:tcBorders>
                    <w:top w:val="single" w:color="auto" w:sz="4" w:space="0"/>
                    <w:left w:val="single" w:color="auto" w:sz="4" w:space="0"/>
                    <w:bottom w:val="single" w:color="auto" w:sz="2" w:space="0"/>
                    <w:right w:val="single" w:color="auto" w:sz="4" w:space="0"/>
                  </w:tcBorders>
                  <w:vAlign w:val="center"/>
                </w:tcPr>
                <w:p>
                  <w:pPr>
                    <w:pStyle w:val="35"/>
                  </w:pPr>
                  <w:r>
                    <w:rPr>
                      <w:rFonts w:hint="eastAsia"/>
                      <w:lang w:val="en-US" w:eastAsia="zh-CN"/>
                    </w:rPr>
                    <w:t>9</w:t>
                  </w:r>
                  <w:r>
                    <w:t>00</w:t>
                  </w:r>
                </w:p>
              </w:tc>
              <w:tc>
                <w:tcPr>
                  <w:tcW w:w="646" w:type="dxa"/>
                  <w:tcBorders>
                    <w:top w:val="nil"/>
                    <w:left w:val="nil"/>
                    <w:bottom w:val="single" w:color="auto" w:sz="8" w:space="0"/>
                    <w:right w:val="single" w:color="auto" w:sz="8" w:space="0"/>
                  </w:tcBorders>
                  <w:shd w:val="clear" w:color="auto" w:fill="auto"/>
                  <w:vAlign w:val="center"/>
                </w:tcPr>
                <w:p>
                  <w:pPr>
                    <w:pStyle w:val="35"/>
                    <w:rPr>
                      <w:bCs/>
                      <w:kern w:val="0"/>
                    </w:rPr>
                  </w:pPr>
                  <w:r>
                    <w:rPr>
                      <w:rFonts w:eastAsia="等线"/>
                      <w:szCs w:val="21"/>
                    </w:rPr>
                    <w:t>400</w:t>
                  </w:r>
                </w:p>
              </w:tc>
              <w:tc>
                <w:tcPr>
                  <w:tcW w:w="671" w:type="dxa"/>
                  <w:tcBorders>
                    <w:top w:val="nil"/>
                    <w:left w:val="nil"/>
                    <w:bottom w:val="single" w:color="auto" w:sz="8" w:space="0"/>
                    <w:right w:val="single" w:color="auto" w:sz="8" w:space="0"/>
                  </w:tcBorders>
                  <w:shd w:val="clear" w:color="000000" w:fill="FFFFFF"/>
                  <w:vAlign w:val="center"/>
                </w:tcPr>
                <w:p>
                  <w:pPr>
                    <w:pStyle w:val="35"/>
                  </w:pPr>
                  <w:r>
                    <w:rPr>
                      <w:rFonts w:hint="eastAsia" w:eastAsia="等线"/>
                      <w:szCs w:val="21"/>
                      <w:lang w:val="en-US" w:eastAsia="zh-CN"/>
                    </w:rPr>
                    <w:t>0.36</w:t>
                  </w:r>
                </w:p>
              </w:tc>
              <w:tc>
                <w:tcPr>
                  <w:tcW w:w="437" w:type="dxa"/>
                  <w:vMerge w:val="restart"/>
                  <w:tcBorders>
                    <w:top w:val="single" w:color="auto" w:sz="4" w:space="0"/>
                    <w:left w:val="single" w:color="auto" w:sz="4" w:space="0"/>
                    <w:bottom w:val="single" w:color="auto" w:sz="2" w:space="0"/>
                    <w:right w:val="single" w:color="auto" w:sz="4" w:space="0"/>
                  </w:tcBorders>
                  <w:vAlign w:val="center"/>
                </w:tcPr>
                <w:p>
                  <w:pPr>
                    <w:pStyle w:val="35"/>
                  </w:pPr>
                  <w:r>
                    <w:t>/</w:t>
                  </w:r>
                </w:p>
              </w:tc>
              <w:tc>
                <w:tcPr>
                  <w:tcW w:w="492" w:type="dxa"/>
                  <w:vMerge w:val="restart"/>
                  <w:tcBorders>
                    <w:top w:val="single" w:color="auto" w:sz="4" w:space="0"/>
                    <w:left w:val="single" w:color="auto" w:sz="4" w:space="0"/>
                    <w:bottom w:val="single" w:color="auto" w:sz="2" w:space="0"/>
                    <w:right w:val="single" w:color="auto" w:sz="4" w:space="0"/>
                  </w:tcBorders>
                  <w:vAlign w:val="center"/>
                </w:tcPr>
                <w:p>
                  <w:pPr>
                    <w:pStyle w:val="35"/>
                  </w:pPr>
                  <w:r>
                    <w:t>/</w:t>
                  </w:r>
                </w:p>
              </w:tc>
              <w:tc>
                <w:tcPr>
                  <w:tcW w:w="339" w:type="dxa"/>
                  <w:vMerge w:val="restart"/>
                  <w:tcBorders>
                    <w:top w:val="single" w:color="auto" w:sz="4" w:space="0"/>
                    <w:left w:val="single" w:color="auto" w:sz="4" w:space="0"/>
                    <w:bottom w:val="single" w:color="auto" w:sz="2" w:space="0"/>
                    <w:right w:val="single" w:color="auto" w:sz="4" w:space="0"/>
                  </w:tcBorders>
                  <w:vAlign w:val="center"/>
                </w:tcPr>
                <w:p>
                  <w:pPr>
                    <w:pStyle w:val="35"/>
                  </w:pPr>
                  <w:r>
                    <w:rPr>
                      <w:rFonts w:hint="eastAsia"/>
                    </w:rPr>
                    <w:t>类比法</w:t>
                  </w:r>
                </w:p>
              </w:tc>
              <w:tc>
                <w:tcPr>
                  <w:tcW w:w="600" w:type="dxa"/>
                  <w:vMerge w:val="restart"/>
                  <w:tcBorders>
                    <w:top w:val="single" w:color="auto" w:sz="4" w:space="0"/>
                    <w:left w:val="single" w:color="auto" w:sz="4" w:space="0"/>
                    <w:bottom w:val="single" w:color="auto" w:sz="2" w:space="0"/>
                    <w:right w:val="single" w:color="auto" w:sz="4" w:space="0"/>
                  </w:tcBorders>
                  <w:vAlign w:val="center"/>
                </w:tcPr>
                <w:p>
                  <w:pPr>
                    <w:pStyle w:val="35"/>
                  </w:pPr>
                  <w:r>
                    <w:t>600</w:t>
                  </w:r>
                </w:p>
              </w:tc>
              <w:tc>
                <w:tcPr>
                  <w:tcW w:w="677" w:type="dxa"/>
                  <w:tcBorders>
                    <w:top w:val="single" w:color="auto" w:sz="4" w:space="0"/>
                    <w:left w:val="single" w:color="auto" w:sz="4" w:space="0"/>
                    <w:bottom w:val="single" w:color="auto" w:sz="4" w:space="0"/>
                    <w:right w:val="single" w:color="auto" w:sz="4" w:space="0"/>
                  </w:tcBorders>
                  <w:vAlign w:val="center"/>
                </w:tcPr>
                <w:p>
                  <w:pPr>
                    <w:pStyle w:val="35"/>
                    <w:rPr>
                      <w:bCs/>
                      <w:kern w:val="0"/>
                    </w:rPr>
                  </w:pPr>
                  <w:r>
                    <w:rPr>
                      <w:rFonts w:eastAsia="等线"/>
                      <w:szCs w:val="21"/>
                    </w:rPr>
                    <w:t>400</w:t>
                  </w:r>
                </w:p>
              </w:tc>
              <w:tc>
                <w:tcPr>
                  <w:tcW w:w="717" w:type="dxa"/>
                  <w:tcBorders>
                    <w:top w:val="single" w:color="auto" w:sz="4" w:space="0"/>
                    <w:left w:val="single" w:color="auto" w:sz="4" w:space="0"/>
                    <w:bottom w:val="single" w:color="auto" w:sz="4" w:space="0"/>
                    <w:right w:val="single" w:color="auto" w:sz="4" w:space="0"/>
                  </w:tcBorders>
                  <w:vAlign w:val="center"/>
                </w:tcPr>
                <w:p>
                  <w:pPr>
                    <w:pStyle w:val="35"/>
                  </w:pPr>
                  <w:r>
                    <w:rPr>
                      <w:rFonts w:hint="eastAsia" w:eastAsia="等线"/>
                      <w:szCs w:val="21"/>
                      <w:lang w:val="en-US" w:eastAsia="zh-CN"/>
                    </w:rPr>
                    <w:t>0.36</w:t>
                  </w:r>
                </w:p>
              </w:tc>
              <w:tc>
                <w:tcPr>
                  <w:tcW w:w="545" w:type="dxa"/>
                  <w:vMerge w:val="restart"/>
                  <w:tcBorders>
                    <w:top w:val="single" w:color="auto" w:sz="4" w:space="0"/>
                    <w:left w:val="single" w:color="auto" w:sz="4" w:space="0"/>
                    <w:bottom w:val="single" w:color="auto" w:sz="2" w:space="0"/>
                    <w:right w:val="single" w:color="auto" w:sz="2" w:space="0"/>
                  </w:tcBorders>
                  <w:vAlign w:val="center"/>
                </w:tcPr>
                <w:p>
                  <w:pPr>
                    <w:pStyle w:val="35"/>
                  </w:pPr>
                  <w:r>
                    <w:t>2000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0" w:type="dxa"/>
                  <w:tcBorders>
                    <w:top w:val="single" w:color="auto" w:sz="4" w:space="0"/>
                    <w:left w:val="single" w:color="auto" w:sz="4" w:space="0"/>
                    <w:bottom w:val="single" w:color="auto" w:sz="4" w:space="0"/>
                    <w:right w:val="single" w:color="auto" w:sz="4" w:space="0"/>
                  </w:tcBorders>
                  <w:vAlign w:val="center"/>
                </w:tcPr>
                <w:p>
                  <w:pPr>
                    <w:pStyle w:val="35"/>
                  </w:pPr>
                  <w:r>
                    <w:t>SS</w:t>
                  </w:r>
                </w:p>
              </w:tc>
              <w:tc>
                <w:tcPr>
                  <w:tcW w:w="308"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1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46" w:type="dxa"/>
                  <w:tcBorders>
                    <w:top w:val="nil"/>
                    <w:left w:val="nil"/>
                    <w:bottom w:val="single" w:color="auto" w:sz="8" w:space="0"/>
                    <w:right w:val="single" w:color="auto" w:sz="8" w:space="0"/>
                  </w:tcBorders>
                  <w:shd w:val="clear" w:color="auto" w:fill="auto"/>
                  <w:vAlign w:val="center"/>
                </w:tcPr>
                <w:p>
                  <w:pPr>
                    <w:pStyle w:val="35"/>
                    <w:rPr>
                      <w:bCs/>
                      <w:kern w:val="0"/>
                    </w:rPr>
                  </w:pPr>
                  <w:r>
                    <w:rPr>
                      <w:rFonts w:eastAsia="等线"/>
                      <w:szCs w:val="21"/>
                    </w:rPr>
                    <w:t>200</w:t>
                  </w:r>
                </w:p>
              </w:tc>
              <w:tc>
                <w:tcPr>
                  <w:tcW w:w="671" w:type="dxa"/>
                  <w:tcBorders>
                    <w:top w:val="nil"/>
                    <w:left w:val="nil"/>
                    <w:bottom w:val="single" w:color="auto" w:sz="8" w:space="0"/>
                    <w:right w:val="single" w:color="auto" w:sz="8" w:space="0"/>
                  </w:tcBorders>
                  <w:shd w:val="clear" w:color="000000" w:fill="FFFFFF"/>
                  <w:vAlign w:val="center"/>
                </w:tcPr>
                <w:p>
                  <w:pPr>
                    <w:pStyle w:val="35"/>
                  </w:pPr>
                  <w:r>
                    <w:rPr>
                      <w:rFonts w:eastAsia="等线"/>
                      <w:szCs w:val="21"/>
                    </w:rPr>
                    <w:t>0.1</w:t>
                  </w:r>
                  <w:r>
                    <w:rPr>
                      <w:rFonts w:hint="eastAsia" w:eastAsia="等线"/>
                      <w:szCs w:val="21"/>
                      <w:lang w:val="en-US" w:eastAsia="zh-CN"/>
                    </w:rPr>
                    <w:t>8</w:t>
                  </w:r>
                </w:p>
              </w:tc>
              <w:tc>
                <w:tcPr>
                  <w:tcW w:w="437"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492"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339"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00"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7" w:type="dxa"/>
                  <w:tcBorders>
                    <w:top w:val="single" w:color="auto" w:sz="4" w:space="0"/>
                    <w:left w:val="single" w:color="auto" w:sz="4" w:space="0"/>
                    <w:bottom w:val="single" w:color="auto" w:sz="4" w:space="0"/>
                    <w:right w:val="single" w:color="auto" w:sz="4" w:space="0"/>
                  </w:tcBorders>
                  <w:vAlign w:val="center"/>
                </w:tcPr>
                <w:p>
                  <w:pPr>
                    <w:pStyle w:val="35"/>
                    <w:rPr>
                      <w:bCs/>
                      <w:kern w:val="0"/>
                    </w:rPr>
                  </w:pPr>
                  <w:r>
                    <w:rPr>
                      <w:rFonts w:eastAsia="等线"/>
                      <w:szCs w:val="21"/>
                    </w:rPr>
                    <w:t>200</w:t>
                  </w:r>
                </w:p>
              </w:tc>
              <w:tc>
                <w:tcPr>
                  <w:tcW w:w="717" w:type="dxa"/>
                  <w:tcBorders>
                    <w:top w:val="single" w:color="auto" w:sz="4" w:space="0"/>
                    <w:left w:val="single" w:color="auto" w:sz="4" w:space="0"/>
                    <w:bottom w:val="single" w:color="auto" w:sz="4" w:space="0"/>
                    <w:right w:val="single" w:color="auto" w:sz="4" w:space="0"/>
                  </w:tcBorders>
                  <w:vAlign w:val="center"/>
                </w:tcPr>
                <w:p>
                  <w:pPr>
                    <w:pStyle w:val="35"/>
                  </w:pPr>
                  <w:r>
                    <w:rPr>
                      <w:rFonts w:eastAsia="等线"/>
                      <w:szCs w:val="21"/>
                    </w:rPr>
                    <w:t>0.1</w:t>
                  </w:r>
                  <w:r>
                    <w:rPr>
                      <w:rFonts w:hint="eastAsia" w:eastAsia="等线"/>
                      <w:szCs w:val="21"/>
                      <w:lang w:val="en-US" w:eastAsia="zh-CN"/>
                    </w:rPr>
                    <w:t>8</w:t>
                  </w:r>
                </w:p>
              </w:tc>
              <w:tc>
                <w:tcPr>
                  <w:tcW w:w="545" w:type="dxa"/>
                  <w:vMerge w:val="continue"/>
                  <w:tcBorders>
                    <w:top w:val="single" w:color="auto" w:sz="4" w:space="0"/>
                    <w:left w:val="single" w:color="auto" w:sz="4" w:space="0"/>
                    <w:bottom w:val="single" w:color="auto" w:sz="2" w:space="0"/>
                    <w:right w:val="single" w:color="auto" w:sz="2" w:space="0"/>
                  </w:tcBorders>
                  <w:vAlign w:val="center"/>
                </w:tcPr>
                <w:p>
                  <w:pPr>
                    <w:pStyle w:val="35"/>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0" w:type="dxa"/>
                  <w:tcBorders>
                    <w:top w:val="single" w:color="auto" w:sz="4" w:space="0"/>
                    <w:left w:val="single" w:color="auto" w:sz="4" w:space="0"/>
                    <w:bottom w:val="single" w:color="auto" w:sz="4" w:space="0"/>
                    <w:right w:val="single" w:color="auto" w:sz="4" w:space="0"/>
                  </w:tcBorders>
                  <w:vAlign w:val="center"/>
                </w:tcPr>
                <w:p>
                  <w:pPr>
                    <w:pStyle w:val="35"/>
                    <w:rPr>
                      <w:bCs/>
                      <w:kern w:val="0"/>
                    </w:rPr>
                  </w:pPr>
                  <w:r>
                    <w:rPr>
                      <w:bCs/>
                      <w:kern w:val="0"/>
                    </w:rPr>
                    <w:t>NH</w:t>
                  </w:r>
                  <w:r>
                    <w:rPr>
                      <w:bCs/>
                      <w:kern w:val="0"/>
                      <w:vertAlign w:val="subscript"/>
                    </w:rPr>
                    <w:t>3</w:t>
                  </w:r>
                  <w:r>
                    <w:rPr>
                      <w:bCs/>
                      <w:kern w:val="0"/>
                    </w:rPr>
                    <w:t>-N</w:t>
                  </w:r>
                </w:p>
              </w:tc>
              <w:tc>
                <w:tcPr>
                  <w:tcW w:w="308"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1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46" w:type="dxa"/>
                  <w:tcBorders>
                    <w:top w:val="nil"/>
                    <w:left w:val="nil"/>
                    <w:bottom w:val="single" w:color="auto" w:sz="8" w:space="0"/>
                    <w:right w:val="single" w:color="auto" w:sz="8" w:space="0"/>
                  </w:tcBorders>
                  <w:shd w:val="clear" w:color="auto" w:fill="auto"/>
                  <w:vAlign w:val="center"/>
                </w:tcPr>
                <w:p>
                  <w:pPr>
                    <w:pStyle w:val="35"/>
                    <w:rPr>
                      <w:bCs/>
                      <w:kern w:val="0"/>
                    </w:rPr>
                  </w:pPr>
                  <w:r>
                    <w:rPr>
                      <w:rFonts w:eastAsia="等线"/>
                      <w:szCs w:val="21"/>
                    </w:rPr>
                    <w:t>30</w:t>
                  </w:r>
                </w:p>
              </w:tc>
              <w:tc>
                <w:tcPr>
                  <w:tcW w:w="671" w:type="dxa"/>
                  <w:tcBorders>
                    <w:top w:val="nil"/>
                    <w:left w:val="nil"/>
                    <w:bottom w:val="single" w:color="auto" w:sz="8" w:space="0"/>
                    <w:right w:val="single" w:color="auto" w:sz="8" w:space="0"/>
                  </w:tcBorders>
                  <w:shd w:val="clear" w:color="000000" w:fill="FFFFFF"/>
                  <w:vAlign w:val="center"/>
                </w:tcPr>
                <w:p>
                  <w:pPr>
                    <w:pStyle w:val="35"/>
                  </w:pPr>
                  <w:r>
                    <w:rPr>
                      <w:rFonts w:eastAsia="等线"/>
                      <w:szCs w:val="21"/>
                    </w:rPr>
                    <w:t>0.0</w:t>
                  </w:r>
                  <w:r>
                    <w:rPr>
                      <w:rFonts w:hint="eastAsia" w:eastAsia="等线"/>
                      <w:szCs w:val="21"/>
                      <w:lang w:val="en-US" w:eastAsia="zh-CN"/>
                    </w:rPr>
                    <w:t>27</w:t>
                  </w:r>
                </w:p>
              </w:tc>
              <w:tc>
                <w:tcPr>
                  <w:tcW w:w="437"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492"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339"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00"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7" w:type="dxa"/>
                  <w:tcBorders>
                    <w:top w:val="single" w:color="auto" w:sz="4" w:space="0"/>
                    <w:left w:val="single" w:color="auto" w:sz="4" w:space="0"/>
                    <w:bottom w:val="single" w:color="auto" w:sz="4" w:space="0"/>
                    <w:right w:val="single" w:color="auto" w:sz="4" w:space="0"/>
                  </w:tcBorders>
                  <w:vAlign w:val="center"/>
                </w:tcPr>
                <w:p>
                  <w:pPr>
                    <w:pStyle w:val="35"/>
                    <w:rPr>
                      <w:bCs/>
                      <w:kern w:val="0"/>
                    </w:rPr>
                  </w:pPr>
                  <w:r>
                    <w:rPr>
                      <w:rFonts w:eastAsia="等线"/>
                      <w:szCs w:val="21"/>
                    </w:rPr>
                    <w:t>30</w:t>
                  </w:r>
                </w:p>
              </w:tc>
              <w:tc>
                <w:tcPr>
                  <w:tcW w:w="717" w:type="dxa"/>
                  <w:tcBorders>
                    <w:top w:val="single" w:color="auto" w:sz="4" w:space="0"/>
                    <w:left w:val="single" w:color="auto" w:sz="4" w:space="0"/>
                    <w:bottom w:val="single" w:color="auto" w:sz="4" w:space="0"/>
                    <w:right w:val="single" w:color="auto" w:sz="4" w:space="0"/>
                  </w:tcBorders>
                  <w:vAlign w:val="center"/>
                </w:tcPr>
                <w:p>
                  <w:pPr>
                    <w:pStyle w:val="35"/>
                  </w:pPr>
                  <w:r>
                    <w:rPr>
                      <w:rFonts w:eastAsia="等线"/>
                      <w:szCs w:val="21"/>
                    </w:rPr>
                    <w:t>0.0</w:t>
                  </w:r>
                  <w:r>
                    <w:rPr>
                      <w:rFonts w:hint="eastAsia" w:eastAsia="等线"/>
                      <w:szCs w:val="21"/>
                      <w:lang w:val="en-US" w:eastAsia="zh-CN"/>
                    </w:rPr>
                    <w:t>27</w:t>
                  </w:r>
                </w:p>
              </w:tc>
              <w:tc>
                <w:tcPr>
                  <w:tcW w:w="545" w:type="dxa"/>
                  <w:vMerge w:val="continue"/>
                  <w:tcBorders>
                    <w:top w:val="single" w:color="auto" w:sz="4" w:space="0"/>
                    <w:left w:val="single" w:color="auto" w:sz="4" w:space="0"/>
                    <w:bottom w:val="single" w:color="auto" w:sz="2" w:space="0"/>
                    <w:right w:val="single" w:color="auto" w:sz="2" w:space="0"/>
                  </w:tcBorders>
                  <w:vAlign w:val="center"/>
                </w:tcPr>
                <w:p>
                  <w:pPr>
                    <w:pStyle w:val="35"/>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jc w:val="center"/>
              </w:trPr>
              <w:tc>
                <w:tcPr>
                  <w:tcW w:w="43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0" w:type="dxa"/>
                  <w:tcBorders>
                    <w:top w:val="single" w:color="auto" w:sz="4" w:space="0"/>
                    <w:left w:val="single" w:color="auto" w:sz="4" w:space="0"/>
                    <w:bottom w:val="single" w:color="auto" w:sz="2" w:space="0"/>
                    <w:right w:val="single" w:color="auto" w:sz="4" w:space="0"/>
                  </w:tcBorders>
                  <w:vAlign w:val="center"/>
                </w:tcPr>
                <w:p>
                  <w:pPr>
                    <w:pStyle w:val="35"/>
                    <w:rPr>
                      <w:bCs/>
                      <w:kern w:val="0"/>
                    </w:rPr>
                  </w:pPr>
                  <w:r>
                    <w:rPr>
                      <w:bCs/>
                      <w:kern w:val="0"/>
                    </w:rPr>
                    <w:t>TP</w:t>
                  </w:r>
                </w:p>
              </w:tc>
              <w:tc>
                <w:tcPr>
                  <w:tcW w:w="308"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15"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46" w:type="dxa"/>
                  <w:tcBorders>
                    <w:top w:val="nil"/>
                    <w:left w:val="nil"/>
                    <w:bottom w:val="single" w:color="auto" w:sz="8" w:space="0"/>
                    <w:right w:val="single" w:color="auto" w:sz="8" w:space="0"/>
                  </w:tcBorders>
                  <w:shd w:val="clear" w:color="auto" w:fill="auto"/>
                  <w:vAlign w:val="center"/>
                </w:tcPr>
                <w:p>
                  <w:pPr>
                    <w:pStyle w:val="35"/>
                    <w:rPr>
                      <w:bCs/>
                      <w:kern w:val="0"/>
                    </w:rPr>
                  </w:pPr>
                  <w:r>
                    <w:rPr>
                      <w:rFonts w:eastAsia="等线"/>
                      <w:szCs w:val="21"/>
                    </w:rPr>
                    <w:t>5</w:t>
                  </w:r>
                </w:p>
              </w:tc>
              <w:tc>
                <w:tcPr>
                  <w:tcW w:w="671" w:type="dxa"/>
                  <w:tcBorders>
                    <w:top w:val="nil"/>
                    <w:left w:val="nil"/>
                    <w:bottom w:val="single" w:color="auto" w:sz="8" w:space="0"/>
                    <w:right w:val="single" w:color="auto" w:sz="8" w:space="0"/>
                  </w:tcBorders>
                  <w:shd w:val="clear" w:color="000000" w:fill="FFFFFF"/>
                  <w:vAlign w:val="center"/>
                </w:tcPr>
                <w:p>
                  <w:pPr>
                    <w:pStyle w:val="35"/>
                  </w:pPr>
                  <w:r>
                    <w:rPr>
                      <w:rFonts w:hint="eastAsia"/>
                      <w:lang w:val="en-US" w:eastAsia="zh-CN"/>
                    </w:rPr>
                    <w:t>0.0045</w:t>
                  </w:r>
                </w:p>
              </w:tc>
              <w:tc>
                <w:tcPr>
                  <w:tcW w:w="437"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492"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339"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00" w:type="dxa"/>
                  <w:vMerge w:val="continue"/>
                  <w:tcBorders>
                    <w:top w:val="single" w:color="auto" w:sz="4" w:space="0"/>
                    <w:left w:val="single" w:color="auto" w:sz="4" w:space="0"/>
                    <w:bottom w:val="single" w:color="auto" w:sz="2" w:space="0"/>
                    <w:right w:val="single" w:color="auto" w:sz="4" w:space="0"/>
                  </w:tcBorders>
                  <w:vAlign w:val="center"/>
                </w:tcPr>
                <w:p>
                  <w:pPr>
                    <w:pStyle w:val="35"/>
                  </w:pPr>
                </w:p>
              </w:tc>
              <w:tc>
                <w:tcPr>
                  <w:tcW w:w="677" w:type="dxa"/>
                  <w:tcBorders>
                    <w:top w:val="single" w:color="auto" w:sz="4" w:space="0"/>
                    <w:left w:val="single" w:color="auto" w:sz="4" w:space="0"/>
                    <w:bottom w:val="single" w:color="auto" w:sz="2" w:space="0"/>
                    <w:right w:val="single" w:color="auto" w:sz="4" w:space="0"/>
                  </w:tcBorders>
                  <w:vAlign w:val="center"/>
                </w:tcPr>
                <w:p>
                  <w:pPr>
                    <w:pStyle w:val="35"/>
                    <w:rPr>
                      <w:bCs/>
                      <w:kern w:val="0"/>
                    </w:rPr>
                  </w:pPr>
                  <w:r>
                    <w:rPr>
                      <w:rFonts w:eastAsia="等线"/>
                      <w:szCs w:val="21"/>
                    </w:rPr>
                    <w:t>5</w:t>
                  </w:r>
                </w:p>
              </w:tc>
              <w:tc>
                <w:tcPr>
                  <w:tcW w:w="717" w:type="dxa"/>
                  <w:tcBorders>
                    <w:top w:val="single" w:color="auto" w:sz="4" w:space="0"/>
                    <w:left w:val="single" w:color="auto" w:sz="4" w:space="0"/>
                    <w:bottom w:val="single" w:color="auto" w:sz="2" w:space="0"/>
                    <w:right w:val="single" w:color="auto" w:sz="4" w:space="0"/>
                  </w:tcBorders>
                  <w:vAlign w:val="center"/>
                </w:tcPr>
                <w:p>
                  <w:pPr>
                    <w:pStyle w:val="35"/>
                  </w:pPr>
                  <w:r>
                    <w:rPr>
                      <w:rFonts w:hint="eastAsia"/>
                      <w:lang w:val="en-US" w:eastAsia="zh-CN"/>
                    </w:rPr>
                    <w:t>0.0045</w:t>
                  </w:r>
                </w:p>
              </w:tc>
              <w:tc>
                <w:tcPr>
                  <w:tcW w:w="545" w:type="dxa"/>
                  <w:vMerge w:val="continue"/>
                  <w:tcBorders>
                    <w:top w:val="single" w:color="auto" w:sz="4" w:space="0"/>
                    <w:left w:val="single" w:color="auto" w:sz="4" w:space="0"/>
                    <w:bottom w:val="single" w:color="auto" w:sz="2" w:space="0"/>
                    <w:right w:val="single" w:color="auto" w:sz="2" w:space="0"/>
                  </w:tcBorders>
                  <w:vAlign w:val="center"/>
                </w:tcPr>
                <w:p>
                  <w:pPr>
                    <w:pStyle w:val="35"/>
                  </w:pPr>
                </w:p>
              </w:tc>
            </w:tr>
          </w:tbl>
          <w:p>
            <w:pPr>
              <w:pStyle w:val="14"/>
            </w:pPr>
            <w:r>
              <w:rPr>
                <w:rFonts w:hint="eastAsia"/>
              </w:rPr>
              <w:t>（</w:t>
            </w:r>
            <w:r>
              <w:t>4</w:t>
            </w:r>
            <w:r>
              <w:rPr>
                <w:rFonts w:hint="eastAsia"/>
              </w:rPr>
              <w:t>）措施可行性及影响分析</w:t>
            </w:r>
          </w:p>
          <w:p>
            <w:pPr>
              <w:pStyle w:val="29"/>
              <w:ind w:firstLine="480"/>
              <w:rPr>
                <w:shd w:val="clear" w:color="auto" w:fill="FFFFFF"/>
              </w:rPr>
            </w:pPr>
            <w:r>
              <w:rPr>
                <w:rFonts w:hint="eastAsia"/>
              </w:rPr>
              <w:t>本项目产生的废水主要为员工生活污水</w:t>
            </w:r>
            <w:r>
              <w:t>600t/a</w:t>
            </w:r>
            <w:r>
              <w:rPr>
                <w:rFonts w:hint="eastAsia"/>
              </w:rPr>
              <w:t>，</w:t>
            </w:r>
            <w:r>
              <w:rPr>
                <w:rFonts w:hint="eastAsia"/>
                <w:shd w:val="clear" w:color="auto" w:fill="FFFFFF"/>
              </w:rPr>
              <w:t>主要污染物为</w:t>
            </w:r>
            <w:r>
              <w:rPr>
                <w:shd w:val="clear" w:color="auto" w:fill="FFFFFF"/>
              </w:rPr>
              <w:t>COD</w:t>
            </w:r>
            <w:r>
              <w:rPr>
                <w:rFonts w:hint="eastAsia"/>
                <w:shd w:val="clear" w:color="auto" w:fill="FFFFFF"/>
              </w:rPr>
              <w:t>、</w:t>
            </w:r>
            <w:r>
              <w:rPr>
                <w:shd w:val="clear" w:color="auto" w:fill="FFFFFF"/>
              </w:rPr>
              <w:t>SS</w:t>
            </w:r>
            <w:r>
              <w:rPr>
                <w:rFonts w:hint="eastAsia"/>
                <w:shd w:val="clear" w:color="auto" w:fill="FFFFFF"/>
              </w:rPr>
              <w:t>、</w:t>
            </w:r>
            <w:r>
              <w:rPr>
                <w:shd w:val="clear" w:color="auto" w:fill="FFFFFF"/>
              </w:rPr>
              <w:t>NH</w:t>
            </w:r>
            <w:r>
              <w:rPr>
                <w:shd w:val="clear" w:color="auto" w:fill="FFFFFF"/>
                <w:vertAlign w:val="subscript"/>
              </w:rPr>
              <w:t>3</w:t>
            </w:r>
            <w:r>
              <w:rPr>
                <w:shd w:val="clear" w:color="auto" w:fill="FFFFFF"/>
              </w:rPr>
              <w:t>-N</w:t>
            </w:r>
            <w:r>
              <w:rPr>
                <w:rFonts w:hint="eastAsia"/>
                <w:shd w:val="clear" w:color="auto" w:fill="FFFFFF"/>
              </w:rPr>
              <w:t>、</w:t>
            </w:r>
            <w:r>
              <w:rPr>
                <w:shd w:val="clear" w:color="auto" w:fill="FFFFFF"/>
              </w:rPr>
              <w:t>TP</w:t>
            </w:r>
            <w:r>
              <w:rPr>
                <w:rFonts w:hint="eastAsia"/>
                <w:shd w:val="clear" w:color="auto" w:fill="FFFFFF"/>
              </w:rPr>
              <w:t>，产生浓度分别4</w:t>
            </w:r>
            <w:r>
              <w:rPr>
                <w:shd w:val="clear" w:color="auto" w:fill="FFFFFF"/>
              </w:rPr>
              <w:t>00mg/L</w:t>
            </w:r>
            <w:r>
              <w:rPr>
                <w:rFonts w:hint="eastAsia"/>
                <w:shd w:val="clear" w:color="auto" w:fill="FFFFFF"/>
              </w:rPr>
              <w:t>、2</w:t>
            </w:r>
            <w:r>
              <w:rPr>
                <w:shd w:val="clear" w:color="auto" w:fill="FFFFFF"/>
              </w:rPr>
              <w:t>00 mg/L</w:t>
            </w:r>
            <w:r>
              <w:rPr>
                <w:rFonts w:hint="eastAsia"/>
                <w:shd w:val="clear" w:color="auto" w:fill="FFFFFF"/>
              </w:rPr>
              <w:t>、</w:t>
            </w:r>
            <w:r>
              <w:rPr>
                <w:shd w:val="clear" w:color="auto" w:fill="FFFFFF"/>
              </w:rPr>
              <w:t>30mg/L</w:t>
            </w:r>
            <w:r>
              <w:rPr>
                <w:rFonts w:hint="eastAsia"/>
                <w:shd w:val="clear" w:color="auto" w:fill="FFFFFF"/>
              </w:rPr>
              <w:t>、5</w:t>
            </w:r>
            <w:r>
              <w:rPr>
                <w:shd w:val="clear" w:color="auto" w:fill="FFFFFF"/>
              </w:rPr>
              <w:t>mg/L</w:t>
            </w:r>
            <w:r>
              <w:rPr>
                <w:rFonts w:hint="eastAsia"/>
                <w:shd w:val="clear" w:color="auto" w:fill="FFFFFF"/>
              </w:rPr>
              <w:t>；</w:t>
            </w:r>
            <w:r>
              <w:rPr>
                <w:rFonts w:hint="eastAsia"/>
                <w:bCs/>
              </w:rPr>
              <w:t>排入市政污水管网，进</w:t>
            </w:r>
            <w:r>
              <w:rPr>
                <w:rFonts w:hint="eastAsia"/>
                <w:shd w:val="clear" w:color="auto" w:fill="FFFFFF"/>
              </w:rPr>
              <w:t>科技城水质净化厂处理达标后排入浒光运河。</w:t>
            </w:r>
          </w:p>
          <w:p>
            <w:pPr>
              <w:pStyle w:val="29"/>
              <w:ind w:firstLine="480"/>
            </w:pPr>
            <w:r>
              <w:rPr>
                <w:rFonts w:hint="eastAsia"/>
              </w:rPr>
              <w:t>接管可行性分析：</w:t>
            </w:r>
          </w:p>
          <w:p>
            <w:pPr>
              <w:pStyle w:val="29"/>
              <w:ind w:firstLine="480"/>
            </w:pPr>
            <w:r>
              <w:rPr>
                <w:rFonts w:hint="eastAsia" w:ascii="宋体" w:hAnsi="宋体" w:cs="宋体"/>
              </w:rPr>
              <w:t>①</w:t>
            </w:r>
            <w:r>
              <w:rPr>
                <w:rFonts w:hint="eastAsia"/>
              </w:rPr>
              <w:t>污水管网铺设情况</w:t>
            </w:r>
          </w:p>
          <w:p>
            <w:pPr>
              <w:pStyle w:val="29"/>
              <w:ind w:firstLine="480"/>
            </w:pPr>
            <w:r>
              <w:rPr>
                <w:rFonts w:hint="eastAsia"/>
              </w:rPr>
              <w:t>本项目地块位于江苏省苏州市高新区科技城</w:t>
            </w:r>
            <w:r>
              <w:rPr>
                <w:rFonts w:hint="eastAsia"/>
                <w:lang w:eastAsia="zh-CN"/>
              </w:rPr>
              <w:t>五台山</w:t>
            </w:r>
            <w:r>
              <w:rPr>
                <w:rFonts w:hint="eastAsia"/>
              </w:rPr>
              <w:t>路5</w:t>
            </w:r>
            <w:r>
              <w:rPr>
                <w:rFonts w:hint="eastAsia"/>
                <w:lang w:val="en-US" w:eastAsia="zh-CN"/>
              </w:rPr>
              <w:t>88</w:t>
            </w:r>
            <w:r>
              <w:rPr>
                <w:rFonts w:hint="eastAsia"/>
              </w:rPr>
              <w:t>号</w:t>
            </w:r>
            <w:r>
              <w:rPr>
                <w:rFonts w:hint="eastAsia"/>
                <w:lang w:eastAsia="zh-CN"/>
              </w:rPr>
              <w:t>科技城工业坊</w:t>
            </w:r>
            <w:r>
              <w:rPr>
                <w:rFonts w:hint="eastAsia"/>
                <w:lang w:val="en-US" w:eastAsia="zh-CN"/>
              </w:rPr>
              <w:t>C区</w:t>
            </w:r>
            <w:r>
              <w:rPr>
                <w:rFonts w:hint="eastAsia"/>
              </w:rPr>
              <w:t>，在科技城水质净化厂管网辐射范围之内，目前已经具备完善的污水管网。</w:t>
            </w:r>
          </w:p>
          <w:p>
            <w:pPr>
              <w:pStyle w:val="29"/>
              <w:ind w:firstLine="480"/>
              <w:rPr>
                <w:kern w:val="0"/>
              </w:rPr>
            </w:pPr>
            <w:r>
              <w:rPr>
                <w:rFonts w:hint="eastAsia" w:ascii="宋体" w:hAnsi="宋体" w:cs="宋体"/>
                <w:kern w:val="0"/>
              </w:rPr>
              <w:t>②</w:t>
            </w:r>
            <w:r>
              <w:rPr>
                <w:rFonts w:hint="eastAsia"/>
                <w:kern w:val="0"/>
              </w:rPr>
              <w:t>从时间上看，科技城水质净化厂于</w:t>
            </w:r>
            <w:r>
              <w:rPr>
                <w:kern w:val="0"/>
              </w:rPr>
              <w:t>2010</w:t>
            </w:r>
            <w:r>
              <w:rPr>
                <w:rFonts w:hint="eastAsia"/>
                <w:kern w:val="0"/>
              </w:rPr>
              <w:t>年</w:t>
            </w:r>
            <w:r>
              <w:rPr>
                <w:kern w:val="0"/>
              </w:rPr>
              <w:t>12</w:t>
            </w:r>
            <w:r>
              <w:rPr>
                <w:rFonts w:hint="eastAsia"/>
                <w:kern w:val="0"/>
              </w:rPr>
              <w:t>月正式建成投入运行，采取的污水处理工艺为</w:t>
            </w:r>
            <w:r>
              <w:rPr>
                <w:kern w:val="0"/>
              </w:rPr>
              <w:t>CAST</w:t>
            </w:r>
            <w:r>
              <w:rPr>
                <w:rFonts w:hint="eastAsia"/>
                <w:kern w:val="0"/>
              </w:rPr>
              <w:t>，其设计规模为</w:t>
            </w:r>
            <w:r>
              <w:rPr>
                <w:kern w:val="0"/>
              </w:rPr>
              <w:t>4.00</w:t>
            </w:r>
            <w:r>
              <w:rPr>
                <w:rFonts w:hint="eastAsia"/>
                <w:kern w:val="0"/>
              </w:rPr>
              <w:t>万</w:t>
            </w:r>
            <w:r>
              <w:rPr>
                <w:kern w:val="0"/>
              </w:rPr>
              <w:t>m</w:t>
            </w:r>
            <w:r>
              <w:rPr>
                <w:kern w:val="0"/>
                <w:vertAlign w:val="superscript"/>
              </w:rPr>
              <w:t>3</w:t>
            </w:r>
            <w:r>
              <w:rPr>
                <w:kern w:val="0"/>
              </w:rPr>
              <w:t>/d</w:t>
            </w:r>
            <w:r>
              <w:rPr>
                <w:rFonts w:hint="eastAsia"/>
                <w:kern w:val="0"/>
              </w:rPr>
              <w:t>，平均日处理规模达到</w:t>
            </w:r>
            <w:r>
              <w:rPr>
                <w:kern w:val="0"/>
              </w:rPr>
              <w:t>1.35</w:t>
            </w:r>
            <w:r>
              <w:rPr>
                <w:rFonts w:hint="eastAsia"/>
                <w:kern w:val="0"/>
              </w:rPr>
              <w:t>万</w:t>
            </w:r>
            <w:r>
              <w:rPr>
                <w:kern w:val="0"/>
              </w:rPr>
              <w:t>m</w:t>
            </w:r>
            <w:r>
              <w:rPr>
                <w:kern w:val="0"/>
                <w:vertAlign w:val="superscript"/>
              </w:rPr>
              <w:t>3</w:t>
            </w:r>
            <w:r>
              <w:rPr>
                <w:kern w:val="0"/>
              </w:rPr>
              <w:t>/d</w:t>
            </w:r>
            <w:r>
              <w:rPr>
                <w:rFonts w:hint="eastAsia"/>
                <w:kern w:val="0"/>
              </w:rPr>
              <w:t>。从时间上是可行的。</w:t>
            </w:r>
          </w:p>
          <w:p>
            <w:pPr>
              <w:pStyle w:val="29"/>
              <w:ind w:firstLine="480"/>
            </w:pPr>
            <w:r>
              <w:rPr>
                <w:rFonts w:hint="eastAsia" w:ascii="宋体" w:hAnsi="宋体" w:cs="宋体"/>
              </w:rPr>
              <w:t>③</w:t>
            </w:r>
            <w:r>
              <w:rPr>
                <w:rFonts w:hint="eastAsia"/>
              </w:rPr>
              <w:t>从空间上看，根据调查，项目所在地属于科技城水质净化厂管网辐射范围之内，目前已经具备完善的污水管网，本项目废水接管至科技城水质净化厂处理可行。</w:t>
            </w:r>
          </w:p>
          <w:p>
            <w:pPr>
              <w:pStyle w:val="29"/>
              <w:ind w:firstLine="480"/>
            </w:pPr>
            <w:r>
              <w:rPr>
                <w:rFonts w:hint="eastAsia" w:ascii="宋体" w:hAnsi="宋体" w:cs="宋体"/>
              </w:rPr>
              <w:t>④</w:t>
            </w:r>
            <w:r>
              <w:rPr>
                <w:rFonts w:hint="eastAsia"/>
              </w:rPr>
              <w:t>从水质、水量上：从水量上看：科技城水质净化厂目前的处理余量为</w:t>
            </w:r>
            <w:r>
              <w:t>8000t/d</w:t>
            </w:r>
            <w:r>
              <w:rPr>
                <w:rFonts w:hint="eastAsia"/>
              </w:rPr>
              <w:t>，本项目新增生活废水量很少，不会对污水厂负荷产生较大的冲击影响。</w:t>
            </w:r>
          </w:p>
          <w:p>
            <w:pPr>
              <w:pStyle w:val="29"/>
              <w:ind w:firstLine="480"/>
            </w:pPr>
            <w:r>
              <w:rPr>
                <w:rFonts w:hint="eastAsia"/>
              </w:rPr>
              <w:t>综上，扩建项目生活污水进入科技城水质净化厂是可行的。</w:t>
            </w:r>
          </w:p>
          <w:p>
            <w:pPr>
              <w:pStyle w:val="14"/>
            </w:pPr>
            <w:r>
              <w:rPr>
                <w:rFonts w:hint="eastAsia"/>
              </w:rPr>
              <w:t>（</w:t>
            </w:r>
            <w:r>
              <w:t>5</w:t>
            </w:r>
            <w:r>
              <w:rPr>
                <w:rFonts w:hint="eastAsia"/>
              </w:rPr>
              <w:t>）水环境影响评价结论</w:t>
            </w:r>
          </w:p>
          <w:p>
            <w:pPr>
              <w:pStyle w:val="29"/>
              <w:ind w:firstLine="480"/>
            </w:pPr>
            <w:r>
              <w:rPr>
                <w:rFonts w:hint="eastAsia"/>
              </w:rPr>
              <w:t>本项目生活污水水质简单，可达到科技城水质净化厂接管标准，经处理后排入浒光运河，可达到</w:t>
            </w:r>
            <w:r>
              <w:rPr>
                <w:rFonts w:hint="eastAsia"/>
                <w:bCs/>
              </w:rPr>
              <w:t>《苏州特别排放限值标准》</w:t>
            </w:r>
            <w:r>
              <w:rPr>
                <w:rFonts w:hint="eastAsia"/>
                <w:shd w:val="clear" w:color="auto" w:fill="FFFFFF"/>
              </w:rPr>
              <w:t>和《城镇污水处理厂污染物排放标准》（</w:t>
            </w:r>
            <w:r>
              <w:rPr>
                <w:shd w:val="clear" w:color="auto" w:fill="FFFFFF"/>
              </w:rPr>
              <w:t>GB18918-2002</w:t>
            </w:r>
            <w:r>
              <w:rPr>
                <w:rFonts w:hint="eastAsia"/>
                <w:shd w:val="clear" w:color="auto" w:fill="FFFFFF"/>
              </w:rPr>
              <w:t>）一级标准</w:t>
            </w:r>
            <w:r>
              <w:rPr>
                <w:shd w:val="clear" w:color="auto" w:fill="FFFFFF"/>
              </w:rPr>
              <w:t>A</w:t>
            </w:r>
            <w:r>
              <w:rPr>
                <w:rFonts w:hint="eastAsia"/>
                <w:shd w:val="clear" w:color="auto" w:fill="FFFFFF"/>
              </w:rPr>
              <w:t>标准。综上，本项目水污染物控制和水环境影响减缓措施具有有效性，依托科技城水质净化厂具有环境可行性，本项目地表水环境影响是可以接受的。</w:t>
            </w:r>
          </w:p>
          <w:p>
            <w:pPr>
              <w:pStyle w:val="14"/>
            </w:pPr>
            <w:r>
              <w:rPr>
                <w:rFonts w:hint="eastAsia"/>
              </w:rPr>
              <w:t>（三）噪声</w:t>
            </w:r>
          </w:p>
          <w:p>
            <w:pPr>
              <w:pStyle w:val="14"/>
            </w:pPr>
            <w:r>
              <w:t>1</w:t>
            </w:r>
            <w:r>
              <w:rPr>
                <w:rFonts w:hint="eastAsia"/>
              </w:rPr>
              <w:t>、噪声源强</w:t>
            </w:r>
          </w:p>
          <w:p>
            <w:pPr>
              <w:pStyle w:val="29"/>
              <w:ind w:firstLine="480"/>
            </w:pPr>
            <w:r>
              <w:rPr>
                <w:rFonts w:hint="eastAsia"/>
              </w:rPr>
              <w:t>本项目投入使用后，噪声源主要来自</w:t>
            </w:r>
            <w:r>
              <w:rPr>
                <w:rFonts w:hint="eastAsia"/>
                <w:lang w:eastAsia="zh-CN"/>
              </w:rPr>
              <w:t>激光焊接机、超声波清洗机、拉力试验机、影像测量仪、直流电阻测试仪、空压机</w:t>
            </w:r>
            <w:r>
              <w:rPr>
                <w:rFonts w:hint="eastAsia"/>
              </w:rPr>
              <w:t>等运行时产生的噪声。类比同类型项目，其源强约为</w:t>
            </w:r>
            <w:r>
              <w:t>85~90dB</w:t>
            </w:r>
            <w:r>
              <w:rPr>
                <w:rFonts w:hint="eastAsia"/>
              </w:rPr>
              <w:t>（</w:t>
            </w:r>
            <w:r>
              <w:t>A</w:t>
            </w:r>
            <w:r>
              <w:rPr>
                <w:rFonts w:hint="eastAsia"/>
              </w:rPr>
              <w:t>）。</w:t>
            </w:r>
          </w:p>
          <w:p>
            <w:pPr>
              <w:pStyle w:val="12"/>
            </w:pPr>
            <w:r>
              <w:rPr>
                <w:rFonts w:hint="eastAsia"/>
              </w:rPr>
              <w:t>表</w:t>
            </w:r>
            <w:r>
              <w:t xml:space="preserve">4-16   </w:t>
            </w:r>
            <w:r>
              <w:rPr>
                <w:rFonts w:hint="eastAsia"/>
              </w:rPr>
              <w:t>本项目噪声排放情况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563"/>
              <w:gridCol w:w="975"/>
              <w:gridCol w:w="1148"/>
              <w:gridCol w:w="1294"/>
              <w:gridCol w:w="1293"/>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57" w:type="pct"/>
                  <w:vAlign w:val="center"/>
                </w:tcPr>
                <w:p>
                  <w:pPr>
                    <w:pStyle w:val="35"/>
                  </w:pPr>
                  <w:r>
                    <w:rPr>
                      <w:rFonts w:hint="eastAsia"/>
                    </w:rPr>
                    <w:t>生产线</w:t>
                  </w:r>
                  <w:r>
                    <w:t>/</w:t>
                  </w:r>
                  <w:r>
                    <w:rPr>
                      <w:rFonts w:hint="eastAsia"/>
                    </w:rPr>
                    <w:t>设备名称</w:t>
                  </w:r>
                </w:p>
              </w:tc>
              <w:tc>
                <w:tcPr>
                  <w:tcW w:w="342" w:type="pct"/>
                  <w:tcMar>
                    <w:top w:w="0" w:type="dxa"/>
                    <w:left w:w="0" w:type="dxa"/>
                    <w:bottom w:w="0" w:type="dxa"/>
                    <w:right w:w="0" w:type="dxa"/>
                  </w:tcMar>
                  <w:vAlign w:val="center"/>
                </w:tcPr>
                <w:p>
                  <w:pPr>
                    <w:pStyle w:val="35"/>
                  </w:pPr>
                  <w:r>
                    <w:rPr>
                      <w:rFonts w:hint="eastAsia"/>
                    </w:rPr>
                    <w:t>数量</w:t>
                  </w:r>
                </w:p>
                <w:p>
                  <w:pPr>
                    <w:pStyle w:val="35"/>
                  </w:pPr>
                  <w:r>
                    <w:rPr>
                      <w:rFonts w:hint="eastAsia"/>
                    </w:rPr>
                    <w:t>（台</w:t>
                  </w:r>
                  <w:r>
                    <w:t>/</w:t>
                  </w:r>
                  <w:r>
                    <w:rPr>
                      <w:rFonts w:hint="eastAsia"/>
                    </w:rPr>
                    <w:t>条）</w:t>
                  </w:r>
                </w:p>
              </w:tc>
              <w:tc>
                <w:tcPr>
                  <w:tcW w:w="593" w:type="pct"/>
                  <w:vAlign w:val="center"/>
                </w:tcPr>
                <w:p>
                  <w:pPr>
                    <w:pStyle w:val="35"/>
                  </w:pPr>
                  <w:r>
                    <w:rPr>
                      <w:rFonts w:hint="eastAsia"/>
                    </w:rPr>
                    <w:t>声级值</w:t>
                  </w:r>
                  <w:r>
                    <w:t>dB</w:t>
                  </w:r>
                  <w:r>
                    <w:rPr>
                      <w:rFonts w:hint="eastAsia"/>
                    </w:rPr>
                    <w:t>（</w:t>
                  </w:r>
                  <w:r>
                    <w:t>A</w:t>
                  </w:r>
                  <w:r>
                    <w:rPr>
                      <w:rFonts w:hint="eastAsia"/>
                    </w:rPr>
                    <w:t>）</w:t>
                  </w:r>
                </w:p>
              </w:tc>
              <w:tc>
                <w:tcPr>
                  <w:tcW w:w="698" w:type="pct"/>
                  <w:vAlign w:val="center"/>
                </w:tcPr>
                <w:p>
                  <w:pPr>
                    <w:pStyle w:val="35"/>
                  </w:pPr>
                  <w:r>
                    <w:rPr>
                      <w:rFonts w:hint="eastAsia"/>
                    </w:rPr>
                    <w:t>所在车间</w:t>
                  </w:r>
                </w:p>
              </w:tc>
              <w:tc>
                <w:tcPr>
                  <w:tcW w:w="787" w:type="pct"/>
                  <w:vAlign w:val="center"/>
                </w:tcPr>
                <w:p>
                  <w:pPr>
                    <w:pStyle w:val="35"/>
                  </w:pPr>
                  <w:r>
                    <w:rPr>
                      <w:rFonts w:hint="eastAsia"/>
                    </w:rPr>
                    <w:t>治理措施</w:t>
                  </w:r>
                </w:p>
              </w:tc>
              <w:tc>
                <w:tcPr>
                  <w:tcW w:w="786" w:type="pct"/>
                  <w:vAlign w:val="center"/>
                </w:tcPr>
                <w:p>
                  <w:pPr>
                    <w:pStyle w:val="35"/>
                  </w:pPr>
                  <w:r>
                    <w:rPr>
                      <w:rFonts w:hint="eastAsia"/>
                    </w:rPr>
                    <w:t>降噪效果</w:t>
                  </w:r>
                  <w:r>
                    <w:t>dB</w:t>
                  </w:r>
                  <w:r>
                    <w:rPr>
                      <w:rFonts w:hint="eastAsia"/>
                    </w:rPr>
                    <w:t>（</w:t>
                  </w:r>
                  <w:r>
                    <w:t>A</w:t>
                  </w:r>
                  <w:r>
                    <w:rPr>
                      <w:rFonts w:hint="eastAsia"/>
                    </w:rPr>
                    <w:t>）</w:t>
                  </w:r>
                </w:p>
              </w:tc>
              <w:tc>
                <w:tcPr>
                  <w:tcW w:w="737" w:type="pct"/>
                  <w:vAlign w:val="center"/>
                </w:tcPr>
                <w:p>
                  <w:pPr>
                    <w:pStyle w:val="35"/>
                  </w:pPr>
                  <w:r>
                    <w:rPr>
                      <w:rFonts w:hint="eastAsia"/>
                    </w:rPr>
                    <w:t>距厂界最近位置</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激光焊接机</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90</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vAlign w:val="center"/>
                </w:tcPr>
                <w:p>
                  <w:pPr>
                    <w:pStyle w:val="35"/>
                  </w:pPr>
                  <w:r>
                    <w:t>25</w:t>
                  </w:r>
                </w:p>
              </w:tc>
              <w:tc>
                <w:tcPr>
                  <w:tcW w:w="737" w:type="pct"/>
                  <w:vAlign w:val="center"/>
                </w:tcPr>
                <w:p>
                  <w:pPr>
                    <w:pStyle w:val="35"/>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超声波清洗机</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85</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tcPr>
                <w:p>
                  <w:pPr>
                    <w:pStyle w:val="35"/>
                  </w:pPr>
                  <w:r>
                    <w:t>25</w:t>
                  </w:r>
                </w:p>
              </w:tc>
              <w:tc>
                <w:tcPr>
                  <w:tcW w:w="737" w:type="pct"/>
                  <w:vAlign w:val="center"/>
                </w:tcPr>
                <w:p>
                  <w:pPr>
                    <w:pStyle w:val="35"/>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拉力试验机</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85</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tcPr>
                <w:p>
                  <w:pPr>
                    <w:pStyle w:val="35"/>
                  </w:pPr>
                  <w:r>
                    <w:t>25</w:t>
                  </w:r>
                </w:p>
              </w:tc>
              <w:tc>
                <w:tcPr>
                  <w:tcW w:w="737" w:type="pct"/>
                  <w:vAlign w:val="center"/>
                </w:tcPr>
                <w:p>
                  <w:pPr>
                    <w:pStyle w:val="35"/>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影像测量仪</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85</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tcPr>
                <w:p>
                  <w:pPr>
                    <w:pStyle w:val="35"/>
                  </w:pPr>
                  <w:r>
                    <w:t>25</w:t>
                  </w:r>
                </w:p>
              </w:tc>
              <w:tc>
                <w:tcPr>
                  <w:tcW w:w="737" w:type="pct"/>
                  <w:vAlign w:val="center"/>
                </w:tcPr>
                <w:p>
                  <w:pPr>
                    <w:pStyle w:val="35"/>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直流电阻测试仪</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85</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tcPr>
                <w:p>
                  <w:pPr>
                    <w:pStyle w:val="35"/>
                  </w:pPr>
                  <w:r>
                    <w:t>25</w:t>
                  </w:r>
                </w:p>
              </w:tc>
              <w:tc>
                <w:tcPr>
                  <w:tcW w:w="737" w:type="pct"/>
                  <w:vAlign w:val="center"/>
                </w:tcPr>
                <w:p>
                  <w:pPr>
                    <w:pStyle w:val="35"/>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39" w:type="dxa"/>
                  <w:vAlign w:val="center"/>
                </w:tcPr>
                <w:p>
                  <w:pPr>
                    <w:pStyle w:val="35"/>
                  </w:pPr>
                  <w:r>
                    <w:rPr>
                      <w:rFonts w:hint="eastAsia"/>
                      <w:lang w:eastAsia="zh-CN"/>
                    </w:rPr>
                    <w:t>空压机</w:t>
                  </w:r>
                </w:p>
              </w:tc>
              <w:tc>
                <w:tcPr>
                  <w:tcW w:w="342" w:type="pct"/>
                  <w:tcMar>
                    <w:top w:w="0" w:type="dxa"/>
                    <w:left w:w="0" w:type="dxa"/>
                    <w:bottom w:w="0" w:type="dxa"/>
                    <w:right w:w="0" w:type="dxa"/>
                  </w:tcMar>
                  <w:vAlign w:val="center"/>
                </w:tcPr>
                <w:p>
                  <w:pPr>
                    <w:pStyle w:val="35"/>
                  </w:pPr>
                  <w:r>
                    <w:t>1</w:t>
                  </w:r>
                </w:p>
              </w:tc>
              <w:tc>
                <w:tcPr>
                  <w:tcW w:w="593" w:type="pct"/>
                  <w:vAlign w:val="center"/>
                </w:tcPr>
                <w:p>
                  <w:pPr>
                    <w:pStyle w:val="35"/>
                  </w:pPr>
                  <w:r>
                    <w:t>90</w:t>
                  </w:r>
                </w:p>
              </w:tc>
              <w:tc>
                <w:tcPr>
                  <w:tcW w:w="698" w:type="pct"/>
                  <w:vAlign w:val="center"/>
                </w:tcPr>
                <w:p>
                  <w:pPr>
                    <w:pStyle w:val="35"/>
                  </w:pPr>
                  <w:r>
                    <w:rPr>
                      <w:rFonts w:hint="eastAsia"/>
                    </w:rPr>
                    <w:t>生产车间</w:t>
                  </w:r>
                </w:p>
              </w:tc>
              <w:tc>
                <w:tcPr>
                  <w:tcW w:w="787" w:type="pct"/>
                  <w:vAlign w:val="center"/>
                </w:tcPr>
                <w:p>
                  <w:pPr>
                    <w:pStyle w:val="35"/>
                  </w:pPr>
                  <w:r>
                    <w:rPr>
                      <w:rFonts w:hint="eastAsia"/>
                    </w:rPr>
                    <w:t>隔声</w:t>
                  </w:r>
                </w:p>
              </w:tc>
              <w:tc>
                <w:tcPr>
                  <w:tcW w:w="786" w:type="pct"/>
                </w:tcPr>
                <w:p>
                  <w:pPr>
                    <w:pStyle w:val="35"/>
                  </w:pPr>
                  <w:r>
                    <w:t>25</w:t>
                  </w:r>
                </w:p>
              </w:tc>
              <w:tc>
                <w:tcPr>
                  <w:tcW w:w="737" w:type="pct"/>
                  <w:vAlign w:val="center"/>
                </w:tcPr>
                <w:p>
                  <w:pPr>
                    <w:pStyle w:val="35"/>
                  </w:pPr>
                  <w:r>
                    <w:t>30</w:t>
                  </w:r>
                </w:p>
              </w:tc>
            </w:tr>
          </w:tbl>
          <w:p>
            <w:pPr>
              <w:pStyle w:val="14"/>
            </w:pPr>
            <w:r>
              <w:t>2</w:t>
            </w:r>
            <w:r>
              <w:rPr>
                <w:rFonts w:hint="eastAsia"/>
              </w:rPr>
              <w:t>、声环境影响分析</w:t>
            </w:r>
          </w:p>
          <w:p>
            <w:pPr>
              <w:pStyle w:val="29"/>
              <w:ind w:firstLine="480"/>
            </w:pPr>
            <w:r>
              <w:rPr>
                <w:rFonts w:hint="eastAsia"/>
              </w:rPr>
              <w:t>本项目投入使用后，噪声源主要来自</w:t>
            </w:r>
            <w:r>
              <w:rPr>
                <w:rFonts w:hint="eastAsia"/>
                <w:lang w:eastAsia="zh-CN"/>
              </w:rPr>
              <w:t>激光焊接机、超声波清洗机、拉力试验机、影像测量仪、直流电阻测试仪、空压机</w:t>
            </w:r>
            <w:r>
              <w:rPr>
                <w:rFonts w:hint="eastAsia"/>
              </w:rPr>
              <w:t>等产生的噪声，其源强约为</w:t>
            </w:r>
            <w:r>
              <w:t>85~90dB</w:t>
            </w:r>
            <w:r>
              <w:rPr>
                <w:rFonts w:hint="eastAsia"/>
              </w:rPr>
              <w:t>（</w:t>
            </w:r>
            <w:r>
              <w:t>A</w:t>
            </w:r>
            <w:r>
              <w:rPr>
                <w:rFonts w:hint="eastAsia"/>
              </w:rPr>
              <w:t>），经过隔声、减震等处理后对外影响不大。</w:t>
            </w:r>
          </w:p>
          <w:p>
            <w:pPr>
              <w:pStyle w:val="29"/>
              <w:ind w:firstLine="480"/>
            </w:pPr>
            <w:r>
              <w:rPr>
                <w:rFonts w:hint="eastAsia"/>
              </w:rPr>
              <w:t>根据声环境评价导则的规定，选用《环境影响评价技术导则声环境》（</w:t>
            </w:r>
            <w:r>
              <w:t>HJ2.4-2009</w:t>
            </w:r>
            <w:r>
              <w:rPr>
                <w:rFonts w:hint="eastAsia"/>
              </w:rPr>
              <w:t>）中附录</w:t>
            </w:r>
            <w:r>
              <w:t>A.1.3</w:t>
            </w:r>
            <w:r>
              <w:rPr>
                <w:rFonts w:hint="eastAsia"/>
              </w:rPr>
              <w:t>室内等效室外声源声功率级计算方法的预测模式，应用过程中将根据情况作必要简化。</w:t>
            </w:r>
          </w:p>
          <w:p>
            <w:r>
              <w:rPr>
                <w:rFonts w:hint="eastAsia"/>
              </w:rPr>
              <w:t>（</w:t>
            </w:r>
            <w:r>
              <w:t>1</w:t>
            </w:r>
            <w:r>
              <w:rPr>
                <w:rFonts w:hint="eastAsia"/>
              </w:rPr>
              <w:t>）建设项目声源在预测点产生的等效声级贡献值（</w:t>
            </w:r>
            <w:r>
              <w:t>Leqg</w:t>
            </w:r>
            <w:r>
              <w:rPr>
                <w:rFonts w:hint="eastAsia"/>
              </w:rPr>
              <w:t>）计算公式：</w:t>
            </w:r>
          </w:p>
          <w:p>
            <w:pPr>
              <w:jc w:val="center"/>
            </w:pPr>
            <w:r>
              <w:drawing>
                <wp:inline distT="0" distB="0" distL="0" distR="0">
                  <wp:extent cx="1800225" cy="485775"/>
                  <wp:effectExtent l="0" t="0" r="9525" b="952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0225" cy="485775"/>
                          </a:xfrm>
                          <a:prstGeom prst="rect">
                            <a:avLst/>
                          </a:prstGeom>
                          <a:noFill/>
                          <a:ln>
                            <a:noFill/>
                          </a:ln>
                        </pic:spPr>
                      </pic:pic>
                    </a:graphicData>
                  </a:graphic>
                </wp:inline>
              </w:drawing>
            </w:r>
          </w:p>
          <w:p>
            <w:pPr>
              <w:pStyle w:val="29"/>
              <w:ind w:firstLine="480"/>
            </w:pPr>
            <w:r>
              <w:rPr>
                <w:rFonts w:hint="eastAsia"/>
              </w:rPr>
              <w:t>式中：</w:t>
            </w:r>
            <w:r>
              <w:t>Leqg——</w:t>
            </w:r>
            <w:r>
              <w:rPr>
                <w:rFonts w:hint="eastAsia"/>
              </w:rPr>
              <w:t>建设项目声源在预测点的等效声级贡献值，</w:t>
            </w:r>
            <w:r>
              <w:t>dB(A)</w:t>
            </w:r>
            <w:r>
              <w:rPr>
                <w:rFonts w:hint="eastAsia"/>
              </w:rPr>
              <w:t>；</w:t>
            </w:r>
          </w:p>
          <w:p>
            <w:pPr>
              <w:pStyle w:val="29"/>
              <w:ind w:firstLine="480"/>
            </w:pPr>
            <w:r>
              <w:t>LAi——i</w:t>
            </w:r>
            <w:r>
              <w:rPr>
                <w:rFonts w:hint="eastAsia"/>
              </w:rPr>
              <w:t>声源在预测点产生的</w:t>
            </w:r>
            <w:r>
              <w:t>A</w:t>
            </w:r>
            <w:r>
              <w:rPr>
                <w:rFonts w:hint="eastAsia"/>
              </w:rPr>
              <w:t>声级，</w:t>
            </w:r>
            <w:r>
              <w:t>dB(A)</w:t>
            </w:r>
            <w:r>
              <w:rPr>
                <w:rFonts w:hint="eastAsia"/>
              </w:rPr>
              <w:t>；</w:t>
            </w:r>
          </w:p>
          <w:p>
            <w:pPr>
              <w:pStyle w:val="29"/>
              <w:ind w:firstLine="480"/>
            </w:pPr>
            <w:r>
              <w:t>T——</w:t>
            </w:r>
            <w:r>
              <w:rPr>
                <w:rFonts w:hint="eastAsia"/>
              </w:rPr>
              <w:t>预测计算的时间段，</w:t>
            </w:r>
            <w:r>
              <w:t>s</w:t>
            </w:r>
            <w:r>
              <w:rPr>
                <w:rFonts w:hint="eastAsia"/>
              </w:rPr>
              <w:t>；</w:t>
            </w:r>
          </w:p>
          <w:p>
            <w:pPr>
              <w:pStyle w:val="29"/>
              <w:ind w:firstLine="480"/>
            </w:pPr>
            <w:r>
              <w:t>ti——i</w:t>
            </w:r>
            <w:r>
              <w:rPr>
                <w:rFonts w:hint="eastAsia"/>
              </w:rPr>
              <w:t>声源在</w:t>
            </w:r>
            <w:r>
              <w:t>T</w:t>
            </w:r>
            <w:r>
              <w:rPr>
                <w:rFonts w:hint="eastAsia"/>
              </w:rPr>
              <w:t>时段内的运行时间，</w:t>
            </w:r>
            <w:r>
              <w:t>s</w:t>
            </w:r>
            <w:r>
              <w:rPr>
                <w:rFonts w:hint="eastAsia"/>
              </w:rPr>
              <w:t>。</w:t>
            </w:r>
          </w:p>
          <w:p>
            <w:r>
              <w:rPr>
                <w:rFonts w:hint="eastAsia"/>
              </w:rPr>
              <w:t>（</w:t>
            </w:r>
            <w:r>
              <w:t>2</w:t>
            </w:r>
            <w:r>
              <w:rPr>
                <w:rFonts w:hint="eastAsia"/>
              </w:rPr>
              <w:t>）预测点的预测等效声级</w:t>
            </w:r>
            <w:r>
              <w:t>(Leq)</w:t>
            </w:r>
            <w:r>
              <w:rPr>
                <w:rFonts w:hint="eastAsia"/>
              </w:rPr>
              <w:t>计算公式：</w:t>
            </w:r>
          </w:p>
          <w:p>
            <w:pPr>
              <w:jc w:val="center"/>
            </w:pPr>
            <w:r>
              <w:drawing>
                <wp:inline distT="0" distB="0" distL="0" distR="0">
                  <wp:extent cx="2038350" cy="304800"/>
                  <wp:effectExtent l="0" t="0" r="0" b="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38350" cy="304800"/>
                          </a:xfrm>
                          <a:prstGeom prst="rect">
                            <a:avLst/>
                          </a:prstGeom>
                          <a:noFill/>
                          <a:ln>
                            <a:noFill/>
                          </a:ln>
                        </pic:spPr>
                      </pic:pic>
                    </a:graphicData>
                  </a:graphic>
                </wp:inline>
              </w:drawing>
            </w:r>
          </w:p>
          <w:p>
            <w:pPr>
              <w:pStyle w:val="29"/>
              <w:ind w:firstLine="480"/>
            </w:pPr>
            <w:r>
              <w:rPr>
                <w:rFonts w:hint="eastAsia"/>
              </w:rPr>
              <w:t>式中：</w:t>
            </w:r>
            <w:r>
              <w:drawing>
                <wp:inline distT="0" distB="0" distL="0" distR="0">
                  <wp:extent cx="276225" cy="180975"/>
                  <wp:effectExtent l="0" t="0" r="9525" b="952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t>——</w:t>
            </w:r>
            <w:r>
              <w:rPr>
                <w:rFonts w:hint="eastAsia"/>
              </w:rPr>
              <w:t>建设项目声源在预测点的等效声级贡献值，</w:t>
            </w:r>
            <w:r>
              <w:t>dB(A)</w:t>
            </w:r>
            <w:r>
              <w:rPr>
                <w:rFonts w:hint="eastAsia"/>
              </w:rPr>
              <w:t>；</w:t>
            </w:r>
          </w:p>
          <w:p>
            <w:pPr>
              <w:pStyle w:val="29"/>
              <w:ind w:firstLine="480"/>
            </w:pPr>
            <w:r>
              <w:drawing>
                <wp:inline distT="0" distB="0" distL="0" distR="0">
                  <wp:extent cx="276225" cy="180975"/>
                  <wp:effectExtent l="0" t="0" r="9525" b="9525"/>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6225" cy="180975"/>
                          </a:xfrm>
                          <a:prstGeom prst="rect">
                            <a:avLst/>
                          </a:prstGeom>
                          <a:noFill/>
                          <a:ln>
                            <a:noFill/>
                          </a:ln>
                        </pic:spPr>
                      </pic:pic>
                    </a:graphicData>
                  </a:graphic>
                </wp:inline>
              </w:drawing>
            </w:r>
            <w:r>
              <w:t>——</w:t>
            </w:r>
            <w:r>
              <w:rPr>
                <w:rFonts w:hint="eastAsia"/>
              </w:rPr>
              <w:t>预测点的背景值，</w:t>
            </w:r>
            <w:r>
              <w:t>dB(A)</w:t>
            </w:r>
            <w:r>
              <w:rPr>
                <w:rFonts w:hint="eastAsia"/>
              </w:rPr>
              <w:t>。</w:t>
            </w:r>
          </w:p>
          <w:p>
            <w:pPr>
              <w:pStyle w:val="29"/>
              <w:ind w:firstLine="480"/>
            </w:pPr>
            <w:r>
              <w:rPr>
                <w:rFonts w:hint="eastAsia"/>
              </w:rPr>
              <w:t>根据上面的预测方法和模式，结合本项目的平面布置进行简化，预测得到本项目建设后厂界外的噪声级，结果见下表。</w:t>
            </w:r>
          </w:p>
          <w:p>
            <w:pPr>
              <w:pStyle w:val="12"/>
            </w:pPr>
            <w:r>
              <w:rPr>
                <w:rFonts w:hint="eastAsia"/>
              </w:rPr>
              <w:t>表</w:t>
            </w:r>
            <w:r>
              <w:t xml:space="preserve">4-17   </w:t>
            </w:r>
            <w:r>
              <w:rPr>
                <w:rFonts w:hint="eastAsia"/>
              </w:rPr>
              <w:t xml:space="preserve">各预测点声环境影响预测结果 </w:t>
            </w:r>
            <w:r>
              <w:t xml:space="preserve"> </w:t>
            </w:r>
            <w:r>
              <w:rPr>
                <w:rFonts w:hint="eastAsia"/>
              </w:rPr>
              <w:t>单位：</w:t>
            </w:r>
            <w:r>
              <w:t>dB</w:t>
            </w:r>
            <w:r>
              <w:rPr>
                <w:rFonts w:hint="eastAsia"/>
              </w:rPr>
              <w:t>（</w:t>
            </w:r>
            <w:r>
              <w:t>A</w:t>
            </w:r>
            <w:r>
              <w:rPr>
                <w:rFonts w:hint="eastAsia"/>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10"/>
              <w:gridCol w:w="1341"/>
              <w:gridCol w:w="1419"/>
              <w:gridCol w:w="1028"/>
              <w:gridCol w:w="1171"/>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 w:hRule="atLeast"/>
                <w:jc w:val="center"/>
              </w:trPr>
              <w:tc>
                <w:tcPr>
                  <w:tcW w:w="1283" w:type="pct"/>
                  <w:vMerge w:val="restart"/>
                  <w:shd w:val="clear" w:color="auto" w:fill="auto"/>
                  <w:vAlign w:val="center"/>
                </w:tcPr>
                <w:p>
                  <w:pPr>
                    <w:pStyle w:val="35"/>
                  </w:pPr>
                  <w:r>
                    <w:rPr>
                      <w:rFonts w:hint="eastAsia"/>
                    </w:rPr>
                    <w:t>预测点</w:t>
                  </w:r>
                </w:p>
              </w:tc>
              <w:tc>
                <w:tcPr>
                  <w:tcW w:w="815" w:type="pct"/>
                  <w:vMerge w:val="restart"/>
                  <w:shd w:val="clear" w:color="auto" w:fill="auto"/>
                  <w:vAlign w:val="center"/>
                </w:tcPr>
                <w:p>
                  <w:pPr>
                    <w:pStyle w:val="35"/>
                  </w:pPr>
                  <w:r>
                    <w:rPr>
                      <w:rFonts w:hint="eastAsia"/>
                    </w:rPr>
                    <w:t>本项目贡献值</w:t>
                  </w:r>
                </w:p>
              </w:tc>
              <w:tc>
                <w:tcPr>
                  <w:tcW w:w="863" w:type="pct"/>
                  <w:shd w:val="clear" w:color="auto" w:fill="auto"/>
                  <w:vAlign w:val="center"/>
                </w:tcPr>
                <w:p>
                  <w:pPr>
                    <w:pStyle w:val="35"/>
                  </w:pPr>
                  <w:r>
                    <w:rPr>
                      <w:rFonts w:hint="eastAsia"/>
                    </w:rPr>
                    <w:t>背景值</w:t>
                  </w:r>
                </w:p>
              </w:tc>
              <w:tc>
                <w:tcPr>
                  <w:tcW w:w="625" w:type="pct"/>
                  <w:shd w:val="clear" w:color="auto" w:fill="auto"/>
                  <w:vAlign w:val="center"/>
                </w:tcPr>
                <w:p>
                  <w:pPr>
                    <w:pStyle w:val="35"/>
                  </w:pPr>
                  <w:r>
                    <w:rPr>
                      <w:rFonts w:hint="eastAsia"/>
                    </w:rPr>
                    <w:t>叠加值</w:t>
                  </w:r>
                </w:p>
              </w:tc>
              <w:tc>
                <w:tcPr>
                  <w:tcW w:w="712" w:type="pct"/>
                  <w:shd w:val="clear" w:color="auto" w:fill="auto"/>
                  <w:vAlign w:val="center"/>
                </w:tcPr>
                <w:p>
                  <w:pPr>
                    <w:pStyle w:val="35"/>
                  </w:pPr>
                  <w:r>
                    <w:rPr>
                      <w:rFonts w:hint="eastAsia"/>
                    </w:rPr>
                    <w:t>标准</w:t>
                  </w:r>
                </w:p>
              </w:tc>
              <w:tc>
                <w:tcPr>
                  <w:tcW w:w="702" w:type="pct"/>
                  <w:shd w:val="clear" w:color="auto" w:fill="auto"/>
                  <w:vAlign w:val="center"/>
                </w:tcPr>
                <w:p>
                  <w:pPr>
                    <w:pStyle w:val="35"/>
                  </w:pPr>
                  <w:r>
                    <w:rPr>
                      <w:rFonts w:hint="eastAsi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83" w:type="pct"/>
                  <w:vMerge w:val="continue"/>
                  <w:shd w:val="clear" w:color="auto" w:fill="auto"/>
                  <w:vAlign w:val="center"/>
                </w:tcPr>
                <w:p>
                  <w:pPr>
                    <w:pStyle w:val="35"/>
                  </w:pPr>
                </w:p>
              </w:tc>
              <w:tc>
                <w:tcPr>
                  <w:tcW w:w="815" w:type="pct"/>
                  <w:vMerge w:val="continue"/>
                  <w:shd w:val="clear" w:color="auto" w:fill="auto"/>
                  <w:vAlign w:val="center"/>
                </w:tcPr>
                <w:p>
                  <w:pPr>
                    <w:pStyle w:val="35"/>
                  </w:pPr>
                </w:p>
              </w:tc>
              <w:tc>
                <w:tcPr>
                  <w:tcW w:w="863" w:type="pct"/>
                  <w:shd w:val="clear" w:color="auto" w:fill="auto"/>
                  <w:vAlign w:val="center"/>
                </w:tcPr>
                <w:p>
                  <w:pPr>
                    <w:pStyle w:val="35"/>
                  </w:pPr>
                  <w:r>
                    <w:rPr>
                      <w:rFonts w:hint="eastAsia"/>
                    </w:rPr>
                    <w:t>昼间</w:t>
                  </w:r>
                </w:p>
              </w:tc>
              <w:tc>
                <w:tcPr>
                  <w:tcW w:w="625" w:type="pct"/>
                  <w:shd w:val="clear" w:color="auto" w:fill="auto"/>
                  <w:vAlign w:val="center"/>
                </w:tcPr>
                <w:p>
                  <w:pPr>
                    <w:pStyle w:val="35"/>
                  </w:pPr>
                  <w:r>
                    <w:rPr>
                      <w:rFonts w:hint="eastAsia"/>
                    </w:rPr>
                    <w:t>昼间</w:t>
                  </w:r>
                </w:p>
              </w:tc>
              <w:tc>
                <w:tcPr>
                  <w:tcW w:w="712" w:type="pct"/>
                  <w:shd w:val="clear" w:color="auto" w:fill="auto"/>
                  <w:vAlign w:val="center"/>
                </w:tcPr>
                <w:p>
                  <w:pPr>
                    <w:pStyle w:val="35"/>
                  </w:pPr>
                  <w:r>
                    <w:rPr>
                      <w:rFonts w:hint="eastAsia"/>
                    </w:rPr>
                    <w:t>昼间</w:t>
                  </w:r>
                </w:p>
              </w:tc>
              <w:tc>
                <w:tcPr>
                  <w:tcW w:w="702" w:type="pct"/>
                  <w:shd w:val="clear" w:color="auto" w:fill="auto"/>
                  <w:vAlign w:val="center"/>
                </w:tcPr>
                <w:p>
                  <w:pPr>
                    <w:pStyle w:val="35"/>
                  </w:pPr>
                  <w:r>
                    <w:rPr>
                      <w:rFonts w:hint="eastAsia"/>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83" w:type="pct"/>
                  <w:shd w:val="clear" w:color="auto" w:fill="auto"/>
                  <w:vAlign w:val="center"/>
                </w:tcPr>
                <w:p>
                  <w:pPr>
                    <w:pStyle w:val="35"/>
                  </w:pPr>
                  <w:r>
                    <w:rPr>
                      <w:rFonts w:hint="eastAsia"/>
                    </w:rPr>
                    <w:t>东厂界</w:t>
                  </w:r>
                  <w:r>
                    <w:t>1m</w:t>
                  </w:r>
                  <w:r>
                    <w:rPr>
                      <w:rFonts w:hint="eastAsia"/>
                    </w:rPr>
                    <w:t>处</w:t>
                  </w:r>
                </w:p>
              </w:tc>
              <w:tc>
                <w:tcPr>
                  <w:tcW w:w="815" w:type="pct"/>
                  <w:shd w:val="clear" w:color="auto" w:fill="auto"/>
                  <w:vAlign w:val="center"/>
                </w:tcPr>
                <w:p>
                  <w:pPr>
                    <w:pStyle w:val="35"/>
                  </w:pPr>
                  <w:r>
                    <w:t xml:space="preserve">38.9 </w:t>
                  </w:r>
                </w:p>
              </w:tc>
              <w:tc>
                <w:tcPr>
                  <w:tcW w:w="863" w:type="pct"/>
                  <w:shd w:val="clear" w:color="auto" w:fill="auto"/>
                  <w:vAlign w:val="center"/>
                </w:tcPr>
                <w:p>
                  <w:pPr>
                    <w:pStyle w:val="35"/>
                  </w:pPr>
                  <w:r>
                    <w:rPr>
                      <w:rFonts w:hint="eastAsia"/>
                    </w:rPr>
                    <w:t>5</w:t>
                  </w:r>
                  <w:r>
                    <w:t>1.6</w:t>
                  </w:r>
                </w:p>
              </w:tc>
              <w:tc>
                <w:tcPr>
                  <w:tcW w:w="625" w:type="pct"/>
                  <w:shd w:val="clear" w:color="auto" w:fill="auto"/>
                  <w:vAlign w:val="center"/>
                </w:tcPr>
                <w:p>
                  <w:pPr>
                    <w:pStyle w:val="35"/>
                  </w:pPr>
                  <w:r>
                    <w:rPr>
                      <w:rFonts w:hint="eastAsia"/>
                    </w:rPr>
                    <w:t xml:space="preserve">51.8 </w:t>
                  </w:r>
                </w:p>
              </w:tc>
              <w:tc>
                <w:tcPr>
                  <w:tcW w:w="712" w:type="pct"/>
                  <w:shd w:val="clear" w:color="auto" w:fill="auto"/>
                </w:tcPr>
                <w:p>
                  <w:pPr>
                    <w:pStyle w:val="35"/>
                  </w:pPr>
                  <w:r>
                    <w:t>65</w:t>
                  </w:r>
                </w:p>
              </w:tc>
              <w:tc>
                <w:tcPr>
                  <w:tcW w:w="702" w:type="pct"/>
                  <w:shd w:val="clear" w:color="auto" w:fill="auto"/>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83" w:type="pct"/>
                  <w:shd w:val="clear" w:color="auto" w:fill="auto"/>
                  <w:vAlign w:val="center"/>
                </w:tcPr>
                <w:p>
                  <w:pPr>
                    <w:pStyle w:val="35"/>
                  </w:pPr>
                  <w:r>
                    <w:rPr>
                      <w:rFonts w:hint="eastAsia"/>
                    </w:rPr>
                    <w:t>南厂界</w:t>
                  </w:r>
                  <w:r>
                    <w:t>1m</w:t>
                  </w:r>
                  <w:r>
                    <w:rPr>
                      <w:rFonts w:hint="eastAsia"/>
                    </w:rPr>
                    <w:t>处</w:t>
                  </w:r>
                </w:p>
              </w:tc>
              <w:tc>
                <w:tcPr>
                  <w:tcW w:w="815" w:type="pct"/>
                  <w:shd w:val="clear" w:color="auto" w:fill="auto"/>
                  <w:vAlign w:val="center"/>
                </w:tcPr>
                <w:p>
                  <w:pPr>
                    <w:pStyle w:val="35"/>
                  </w:pPr>
                  <w:r>
                    <w:rPr>
                      <w:rFonts w:hint="eastAsia"/>
                    </w:rPr>
                    <w:t xml:space="preserve">34.5 </w:t>
                  </w:r>
                </w:p>
              </w:tc>
              <w:tc>
                <w:tcPr>
                  <w:tcW w:w="863" w:type="pct"/>
                  <w:shd w:val="clear" w:color="auto" w:fill="auto"/>
                  <w:vAlign w:val="center"/>
                </w:tcPr>
                <w:p>
                  <w:pPr>
                    <w:pStyle w:val="35"/>
                  </w:pPr>
                  <w:r>
                    <w:rPr>
                      <w:rFonts w:hint="eastAsia"/>
                    </w:rPr>
                    <w:t>5</w:t>
                  </w:r>
                  <w:r>
                    <w:t>0.7</w:t>
                  </w:r>
                </w:p>
              </w:tc>
              <w:tc>
                <w:tcPr>
                  <w:tcW w:w="625" w:type="pct"/>
                  <w:shd w:val="clear" w:color="auto" w:fill="auto"/>
                  <w:vAlign w:val="center"/>
                </w:tcPr>
                <w:p>
                  <w:pPr>
                    <w:pStyle w:val="35"/>
                  </w:pPr>
                  <w:r>
                    <w:rPr>
                      <w:rFonts w:hint="eastAsia"/>
                    </w:rPr>
                    <w:t xml:space="preserve">50.8 </w:t>
                  </w:r>
                </w:p>
              </w:tc>
              <w:tc>
                <w:tcPr>
                  <w:tcW w:w="712" w:type="pct"/>
                  <w:shd w:val="clear" w:color="auto" w:fill="auto"/>
                </w:tcPr>
                <w:p>
                  <w:pPr>
                    <w:pStyle w:val="35"/>
                  </w:pPr>
                  <w:r>
                    <w:t>65</w:t>
                  </w:r>
                </w:p>
              </w:tc>
              <w:tc>
                <w:tcPr>
                  <w:tcW w:w="702" w:type="pct"/>
                  <w:shd w:val="clear" w:color="auto" w:fill="auto"/>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83" w:type="pct"/>
                  <w:shd w:val="clear" w:color="auto" w:fill="auto"/>
                  <w:vAlign w:val="center"/>
                </w:tcPr>
                <w:p>
                  <w:pPr>
                    <w:pStyle w:val="35"/>
                  </w:pPr>
                  <w:r>
                    <w:rPr>
                      <w:rFonts w:hint="eastAsia"/>
                    </w:rPr>
                    <w:t>西厂界</w:t>
                  </w:r>
                  <w:r>
                    <w:t>1m</w:t>
                  </w:r>
                  <w:r>
                    <w:rPr>
                      <w:rFonts w:hint="eastAsia"/>
                    </w:rPr>
                    <w:t>处</w:t>
                  </w:r>
                </w:p>
              </w:tc>
              <w:tc>
                <w:tcPr>
                  <w:tcW w:w="815" w:type="pct"/>
                  <w:shd w:val="clear" w:color="auto" w:fill="auto"/>
                  <w:vAlign w:val="center"/>
                </w:tcPr>
                <w:p>
                  <w:pPr>
                    <w:pStyle w:val="35"/>
                  </w:pPr>
                  <w:r>
                    <w:rPr>
                      <w:rFonts w:hint="eastAsia"/>
                    </w:rPr>
                    <w:t xml:space="preserve">39.1 </w:t>
                  </w:r>
                </w:p>
              </w:tc>
              <w:tc>
                <w:tcPr>
                  <w:tcW w:w="863" w:type="pct"/>
                  <w:shd w:val="clear" w:color="auto" w:fill="auto"/>
                  <w:vAlign w:val="center"/>
                </w:tcPr>
                <w:p>
                  <w:pPr>
                    <w:pStyle w:val="35"/>
                  </w:pPr>
                  <w:r>
                    <w:rPr>
                      <w:rFonts w:hint="eastAsia"/>
                    </w:rPr>
                    <w:t>5</w:t>
                  </w:r>
                  <w:r>
                    <w:t>1.3</w:t>
                  </w:r>
                </w:p>
              </w:tc>
              <w:tc>
                <w:tcPr>
                  <w:tcW w:w="625" w:type="pct"/>
                  <w:shd w:val="clear" w:color="auto" w:fill="auto"/>
                  <w:vAlign w:val="center"/>
                </w:tcPr>
                <w:p>
                  <w:pPr>
                    <w:pStyle w:val="35"/>
                  </w:pPr>
                  <w:r>
                    <w:rPr>
                      <w:rFonts w:hint="eastAsia"/>
                    </w:rPr>
                    <w:t xml:space="preserve">51.6 </w:t>
                  </w:r>
                </w:p>
              </w:tc>
              <w:tc>
                <w:tcPr>
                  <w:tcW w:w="712" w:type="pct"/>
                  <w:shd w:val="clear" w:color="auto" w:fill="auto"/>
                </w:tcPr>
                <w:p>
                  <w:pPr>
                    <w:pStyle w:val="35"/>
                  </w:pPr>
                  <w:r>
                    <w:t>65</w:t>
                  </w:r>
                </w:p>
              </w:tc>
              <w:tc>
                <w:tcPr>
                  <w:tcW w:w="702" w:type="pct"/>
                  <w:shd w:val="clear" w:color="auto" w:fill="auto"/>
                  <w:vAlign w:val="center"/>
                </w:tcPr>
                <w:p>
                  <w:pPr>
                    <w:pStyle w:val="35"/>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83" w:type="pct"/>
                  <w:shd w:val="clear" w:color="auto" w:fill="auto"/>
                  <w:vAlign w:val="center"/>
                </w:tcPr>
                <w:p>
                  <w:pPr>
                    <w:pStyle w:val="35"/>
                  </w:pPr>
                  <w:r>
                    <w:rPr>
                      <w:rFonts w:hint="eastAsia"/>
                    </w:rPr>
                    <w:t>北厂界</w:t>
                  </w:r>
                  <w:r>
                    <w:t>1m</w:t>
                  </w:r>
                  <w:r>
                    <w:rPr>
                      <w:rFonts w:hint="eastAsia"/>
                    </w:rPr>
                    <w:t>处</w:t>
                  </w:r>
                </w:p>
              </w:tc>
              <w:tc>
                <w:tcPr>
                  <w:tcW w:w="815" w:type="pct"/>
                  <w:shd w:val="clear" w:color="auto" w:fill="auto"/>
                  <w:vAlign w:val="center"/>
                </w:tcPr>
                <w:p>
                  <w:pPr>
                    <w:pStyle w:val="35"/>
                  </w:pPr>
                  <w:r>
                    <w:rPr>
                      <w:rFonts w:hint="eastAsia"/>
                    </w:rPr>
                    <w:t xml:space="preserve">36.1 </w:t>
                  </w:r>
                </w:p>
              </w:tc>
              <w:tc>
                <w:tcPr>
                  <w:tcW w:w="863" w:type="pct"/>
                  <w:shd w:val="clear" w:color="auto" w:fill="auto"/>
                  <w:vAlign w:val="center"/>
                </w:tcPr>
                <w:p>
                  <w:pPr>
                    <w:pStyle w:val="35"/>
                  </w:pPr>
                  <w:r>
                    <w:rPr>
                      <w:rFonts w:hint="eastAsia"/>
                    </w:rPr>
                    <w:t>5</w:t>
                  </w:r>
                  <w:r>
                    <w:t>0.3</w:t>
                  </w:r>
                </w:p>
              </w:tc>
              <w:tc>
                <w:tcPr>
                  <w:tcW w:w="625" w:type="pct"/>
                  <w:shd w:val="clear" w:color="auto" w:fill="auto"/>
                  <w:vAlign w:val="center"/>
                </w:tcPr>
                <w:p>
                  <w:pPr>
                    <w:pStyle w:val="35"/>
                  </w:pPr>
                  <w:r>
                    <w:rPr>
                      <w:rFonts w:hint="eastAsia"/>
                    </w:rPr>
                    <w:t xml:space="preserve">50.5 </w:t>
                  </w:r>
                </w:p>
              </w:tc>
              <w:tc>
                <w:tcPr>
                  <w:tcW w:w="712" w:type="pct"/>
                  <w:shd w:val="clear" w:color="auto" w:fill="auto"/>
                </w:tcPr>
                <w:p>
                  <w:pPr>
                    <w:pStyle w:val="35"/>
                  </w:pPr>
                  <w:r>
                    <w:t>65</w:t>
                  </w:r>
                </w:p>
              </w:tc>
              <w:tc>
                <w:tcPr>
                  <w:tcW w:w="702" w:type="pct"/>
                  <w:shd w:val="clear" w:color="auto" w:fill="auto"/>
                  <w:vAlign w:val="center"/>
                </w:tcPr>
                <w:p>
                  <w:pPr>
                    <w:pStyle w:val="35"/>
                  </w:pPr>
                  <w:r>
                    <w:rPr>
                      <w:rFonts w:hint="eastAsia"/>
                    </w:rPr>
                    <w:t>达标</w:t>
                  </w:r>
                </w:p>
              </w:tc>
            </w:tr>
          </w:tbl>
          <w:p>
            <w:pPr>
              <w:pStyle w:val="29"/>
              <w:ind w:firstLine="480"/>
            </w:pPr>
            <w:r>
              <w:rPr>
                <w:rFonts w:hint="eastAsia"/>
              </w:rPr>
              <w:t>本项目夜间不生产，由上表可以看出，昼间厂界噪声未超过标准限值，因此本项目对厂区周围环境不会造成明显的噪声影响，各厂界噪声能够达到《工业企业厂界环境噪声排放标准》</w:t>
            </w:r>
            <w:r>
              <w:t>(GB12348-2008)</w:t>
            </w:r>
            <w:r>
              <w:rPr>
                <w:rFonts w:hint="eastAsia"/>
              </w:rPr>
              <w:t>的</w:t>
            </w:r>
            <w:r>
              <w:t>3</w:t>
            </w:r>
            <w:r>
              <w:rPr>
                <w:rFonts w:hint="eastAsia"/>
              </w:rPr>
              <w:t>类。</w:t>
            </w:r>
          </w:p>
          <w:p>
            <w:pPr>
              <w:pStyle w:val="29"/>
              <w:ind w:firstLine="480"/>
            </w:pPr>
            <w:r>
              <w:rPr>
                <w:rFonts w:hint="eastAsia"/>
              </w:rPr>
              <w:t>采取的具体措施如下：</w:t>
            </w:r>
          </w:p>
          <w:p>
            <w:pPr>
              <w:pStyle w:val="29"/>
              <w:ind w:firstLine="480"/>
            </w:pPr>
            <w:r>
              <w:rPr>
                <w:rFonts w:hint="eastAsia"/>
              </w:rPr>
              <w:t>（</w:t>
            </w:r>
            <w:r>
              <w:t>1</w:t>
            </w:r>
            <w:r>
              <w:rPr>
                <w:rFonts w:hint="eastAsia"/>
              </w:rPr>
              <w:t>）选用低噪声设备，同时在安装过程中采取了隔声、减振措施；</w:t>
            </w:r>
          </w:p>
          <w:p>
            <w:pPr>
              <w:pStyle w:val="29"/>
              <w:ind w:firstLine="480"/>
            </w:pPr>
            <w:r>
              <w:rPr>
                <w:rFonts w:hint="eastAsia"/>
              </w:rPr>
              <w:t>（</w:t>
            </w:r>
            <w:r>
              <w:t>2</w:t>
            </w:r>
            <w:r>
              <w:rPr>
                <w:rFonts w:hint="eastAsia"/>
              </w:rPr>
              <w:t>）合理布局，通过距离衰减降低对厂界的影响。</w:t>
            </w:r>
          </w:p>
          <w:p>
            <w:pPr>
              <w:pStyle w:val="29"/>
              <w:ind w:firstLine="480"/>
              <w:rPr>
                <w:bCs/>
              </w:rPr>
            </w:pPr>
            <w:r>
              <w:rPr>
                <w:rFonts w:hint="eastAsia"/>
              </w:rPr>
              <w:t>此外，本项目为不属于以噪声污染为主的工业企业，且采用的治理措施可行，并广泛应用于各行业的减噪领域，通过采用以上降低噪声源强及控制噪声声波传播途径、合理安排作业时间等噪声防治措施，能确保厂界噪声达到《工业企业厂界环境噪声排放标准》（</w:t>
            </w:r>
            <w:r>
              <w:t>GB12348-2008</w:t>
            </w:r>
            <w:r>
              <w:rPr>
                <w:rFonts w:hint="eastAsia"/>
              </w:rPr>
              <w:t>）</w:t>
            </w:r>
            <w:r>
              <w:t>3</w:t>
            </w:r>
            <w:r>
              <w:rPr>
                <w:rFonts w:hint="eastAsia"/>
              </w:rPr>
              <w:t>类标准。</w:t>
            </w:r>
          </w:p>
          <w:p>
            <w:pPr>
              <w:pStyle w:val="14"/>
            </w:pPr>
            <w:r>
              <w:t>3</w:t>
            </w:r>
            <w:r>
              <w:rPr>
                <w:rFonts w:hint="eastAsia"/>
              </w:rPr>
              <w:t>、监测计划</w:t>
            </w:r>
          </w:p>
          <w:p>
            <w:pPr>
              <w:pStyle w:val="29"/>
              <w:ind w:firstLine="480"/>
            </w:pPr>
            <w:r>
              <w:rPr>
                <w:rFonts w:hint="eastAsia"/>
              </w:rPr>
              <w:t>根据《排污单位自行监测技术指南</w:t>
            </w:r>
            <w:r>
              <w:t xml:space="preserve"> </w:t>
            </w:r>
            <w:r>
              <w:rPr>
                <w:rFonts w:hint="eastAsia"/>
              </w:rPr>
              <w:t>总则》（</w:t>
            </w:r>
            <w:r>
              <w:t>HJ819-2017</w:t>
            </w:r>
            <w:r>
              <w:rPr>
                <w:rFonts w:hint="eastAsia"/>
              </w:rPr>
              <w:t>），制定本项目噪声监测计划如下：</w:t>
            </w:r>
          </w:p>
          <w:p>
            <w:pPr>
              <w:pStyle w:val="12"/>
            </w:pPr>
            <w:r>
              <w:rPr>
                <w:rFonts w:hint="eastAsia"/>
              </w:rPr>
              <w:t>表</w:t>
            </w:r>
            <w:r>
              <w:t xml:space="preserve">4-18   </w:t>
            </w:r>
            <w:r>
              <w:rPr>
                <w:rFonts w:hint="eastAsia"/>
              </w:rPr>
              <w:t>项目噪声监测计划表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6"/>
              <w:gridCol w:w="20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250" w:type="pct"/>
                  <w:vAlign w:val="center"/>
                </w:tcPr>
                <w:p>
                  <w:pPr>
                    <w:pStyle w:val="35"/>
                  </w:pPr>
                  <w:r>
                    <w:rPr>
                      <w:rFonts w:hint="eastAsia"/>
                    </w:rPr>
                    <w:t>类别</w:t>
                  </w:r>
                </w:p>
              </w:tc>
              <w:tc>
                <w:tcPr>
                  <w:tcW w:w="1250" w:type="pct"/>
                  <w:vAlign w:val="center"/>
                </w:tcPr>
                <w:p>
                  <w:pPr>
                    <w:pStyle w:val="35"/>
                  </w:pPr>
                  <w:r>
                    <w:rPr>
                      <w:rFonts w:hint="eastAsia"/>
                    </w:rPr>
                    <w:t>监测点位</w:t>
                  </w:r>
                </w:p>
              </w:tc>
              <w:tc>
                <w:tcPr>
                  <w:tcW w:w="1250" w:type="pct"/>
                  <w:vAlign w:val="center"/>
                </w:tcPr>
                <w:p>
                  <w:pPr>
                    <w:pStyle w:val="35"/>
                  </w:pPr>
                  <w:r>
                    <w:rPr>
                      <w:rFonts w:hint="eastAsia"/>
                    </w:rPr>
                    <w:t>监测项目</w:t>
                  </w:r>
                </w:p>
              </w:tc>
              <w:tc>
                <w:tcPr>
                  <w:tcW w:w="1250" w:type="pct"/>
                  <w:vAlign w:val="center"/>
                </w:tcPr>
                <w:p>
                  <w:pPr>
                    <w:pStyle w:val="35"/>
                  </w:pPr>
                  <w:r>
                    <w:rPr>
                      <w:rFonts w:hint="eastAsia"/>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pPr>
                    <w:pStyle w:val="35"/>
                  </w:pPr>
                  <w:r>
                    <w:rPr>
                      <w:rFonts w:hint="eastAsia"/>
                    </w:rPr>
                    <w:t>厂界噪声</w:t>
                  </w:r>
                </w:p>
              </w:tc>
              <w:tc>
                <w:tcPr>
                  <w:tcW w:w="1250" w:type="pct"/>
                  <w:vAlign w:val="center"/>
                </w:tcPr>
                <w:p>
                  <w:pPr>
                    <w:pStyle w:val="35"/>
                  </w:pPr>
                  <w:r>
                    <w:rPr>
                      <w:rFonts w:hint="eastAsia"/>
                    </w:rPr>
                    <w:t>厂界</w:t>
                  </w:r>
                </w:p>
              </w:tc>
              <w:tc>
                <w:tcPr>
                  <w:tcW w:w="1250" w:type="pct"/>
                  <w:vAlign w:val="center"/>
                </w:tcPr>
                <w:p>
                  <w:pPr>
                    <w:pStyle w:val="35"/>
                  </w:pPr>
                  <w:r>
                    <w:rPr>
                      <w:rFonts w:hint="eastAsia"/>
                    </w:rPr>
                    <w:t>等效连续</w:t>
                  </w:r>
                  <w:r>
                    <w:t>A</w:t>
                  </w:r>
                  <w:r>
                    <w:rPr>
                      <w:rFonts w:hint="eastAsia"/>
                    </w:rPr>
                    <w:t>声级</w:t>
                  </w:r>
                </w:p>
              </w:tc>
              <w:tc>
                <w:tcPr>
                  <w:tcW w:w="1250" w:type="pct"/>
                  <w:vAlign w:val="center"/>
                </w:tcPr>
                <w:p>
                  <w:pPr>
                    <w:pStyle w:val="35"/>
                  </w:pPr>
                  <w:r>
                    <w:t>1</w:t>
                  </w:r>
                  <w:r>
                    <w:rPr>
                      <w:rFonts w:hint="eastAsia"/>
                    </w:rPr>
                    <w:t>次</w:t>
                  </w:r>
                  <w:r>
                    <w:t>/</w:t>
                  </w:r>
                  <w:r>
                    <w:rPr>
                      <w:rFonts w:hint="eastAsia"/>
                    </w:rPr>
                    <w:t>季度</w:t>
                  </w:r>
                </w:p>
              </w:tc>
            </w:tr>
          </w:tbl>
          <w:p>
            <w:pPr>
              <w:pStyle w:val="14"/>
            </w:pPr>
            <w:r>
              <w:rPr>
                <w:rFonts w:hint="eastAsia"/>
              </w:rPr>
              <w:t>（四）固体废物</w:t>
            </w:r>
          </w:p>
          <w:p>
            <w:pPr>
              <w:pStyle w:val="14"/>
            </w:pPr>
            <w:r>
              <w:t>1</w:t>
            </w:r>
            <w:r>
              <w:rPr>
                <w:rFonts w:hint="eastAsia"/>
              </w:rPr>
              <w:t>、固体废弃物产生情况</w:t>
            </w:r>
          </w:p>
          <w:p>
            <w:pPr>
              <w:pStyle w:val="29"/>
              <w:ind w:firstLine="480"/>
            </w:pPr>
            <w:r>
              <w:rPr>
                <w:rFonts w:hint="eastAsia"/>
              </w:rPr>
              <w:t>本项目产生的固体废物主要为一般固废、危险废物和生活垃圾。</w:t>
            </w:r>
          </w:p>
          <w:p>
            <w:pPr>
              <w:pStyle w:val="29"/>
              <w:ind w:firstLine="480"/>
            </w:pPr>
            <w:r>
              <w:rPr>
                <w:rFonts w:hint="eastAsia"/>
              </w:rPr>
              <w:t>（</w:t>
            </w:r>
            <w:r>
              <w:t>1</w:t>
            </w:r>
            <w:r>
              <w:rPr>
                <w:rFonts w:hint="eastAsia"/>
              </w:rPr>
              <w:t>）一般固体废物</w:t>
            </w:r>
          </w:p>
          <w:p>
            <w:pPr>
              <w:pStyle w:val="29"/>
              <w:ind w:firstLine="480"/>
            </w:pPr>
            <w:r>
              <w:rPr>
                <w:rFonts w:hint="eastAsia"/>
              </w:rPr>
              <w:t>项目产生的一般固体废物主要为</w:t>
            </w:r>
            <w:r>
              <w:rPr>
                <w:rFonts w:hint="eastAsia"/>
                <w:lang w:eastAsia="zh-CN"/>
              </w:rPr>
              <w:t>组装过程中产生的废包装材料、焊接过程中产生的焊渣及检测过程中产生的不合格品</w:t>
            </w:r>
            <w:r>
              <w:rPr>
                <w:rFonts w:hint="eastAsia"/>
              </w:rPr>
              <w:t>。</w:t>
            </w:r>
          </w:p>
          <w:p>
            <w:pPr>
              <w:pStyle w:val="29"/>
              <w:numPr>
                <w:ilvl w:val="0"/>
                <w:numId w:val="0"/>
              </w:numPr>
              <w:ind w:left="480" w:leftChars="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lang w:eastAsia="zh-CN"/>
              </w:rPr>
              <w:t>废包装材料</w:t>
            </w:r>
            <w:r>
              <w:rPr>
                <w:rFonts w:hint="eastAsia"/>
              </w:rPr>
              <w:t>：</w:t>
            </w:r>
            <w:r>
              <w:rPr>
                <w:rFonts w:hint="eastAsia"/>
                <w:lang w:eastAsia="zh-CN"/>
              </w:rPr>
              <w:t>待加工物件的外包装壳</w:t>
            </w:r>
            <w:r>
              <w:rPr>
                <w:rFonts w:hint="eastAsia"/>
              </w:rPr>
              <w:t>，产生量约为</w:t>
            </w:r>
            <w:r>
              <w:t>0.</w:t>
            </w:r>
            <w:r>
              <w:rPr>
                <w:rFonts w:hint="eastAsia"/>
                <w:lang w:val="en-US" w:eastAsia="zh-CN"/>
              </w:rPr>
              <w:t>5</w:t>
            </w:r>
            <w:r>
              <w:t>t/a</w:t>
            </w:r>
            <w:r>
              <w:rPr>
                <w:rFonts w:hint="eastAsia"/>
              </w:rPr>
              <w:t>。</w:t>
            </w:r>
          </w:p>
          <w:p>
            <w:pPr>
              <w:pStyle w:val="29"/>
              <w:ind w:firstLine="480"/>
              <w:rPr>
                <w:rFonts w:hint="eastAsia"/>
              </w:rPr>
            </w:pPr>
            <w:r>
              <w:rPr>
                <w:rFonts w:hint="eastAsia" w:ascii="宋体" w:hAnsi="宋体" w:cs="宋体"/>
              </w:rPr>
              <w:t>②</w:t>
            </w:r>
            <w:r>
              <w:rPr>
                <w:rFonts w:hint="eastAsia"/>
                <w:lang w:eastAsia="zh-CN"/>
              </w:rPr>
              <w:t>焊渣</w:t>
            </w:r>
            <w:r>
              <w:rPr>
                <w:rFonts w:hint="eastAsia"/>
              </w:rPr>
              <w:t>：本项目</w:t>
            </w:r>
            <w:r>
              <w:rPr>
                <w:rFonts w:hint="eastAsia"/>
                <w:lang w:eastAsia="zh-CN"/>
              </w:rPr>
              <w:t>点焊工段会产生焊渣</w:t>
            </w:r>
            <w:r>
              <w:rPr>
                <w:rFonts w:hint="eastAsia"/>
              </w:rPr>
              <w:t>，</w:t>
            </w:r>
            <w:r>
              <w:rPr>
                <w:rFonts w:hint="eastAsia"/>
                <w:lang w:eastAsia="zh-CN"/>
              </w:rPr>
              <w:t>产生量</w:t>
            </w:r>
            <w:r>
              <w:rPr>
                <w:rFonts w:hint="eastAsia"/>
              </w:rPr>
              <w:t>约0</w:t>
            </w:r>
            <w:r>
              <w:t>.02t/a</w:t>
            </w:r>
            <w:r>
              <w:rPr>
                <w:rFonts w:hint="eastAsia"/>
              </w:rPr>
              <w:t>。</w:t>
            </w:r>
          </w:p>
          <w:p>
            <w:pPr>
              <w:pStyle w:val="29"/>
              <w:ind w:firstLine="480"/>
              <w:rPr>
                <w:rFonts w:hint="eastAsia" w:eastAsia="宋体"/>
                <w:lang w:val="en-US" w:eastAsia="zh-CN"/>
              </w:rPr>
            </w:pPr>
            <w:r>
              <w:rPr>
                <w:rFonts w:hint="eastAsia"/>
              </w:rPr>
              <w:t>③</w:t>
            </w:r>
            <w:r>
              <w:rPr>
                <w:rFonts w:hint="eastAsia"/>
                <w:lang w:eastAsia="zh-CN"/>
              </w:rPr>
              <w:t>不合格品：项目使用拉力试验机、影像测量仪等对产品进行检测，该过程会产生不合格品，产生量约</w:t>
            </w:r>
            <w:r>
              <w:rPr>
                <w:rFonts w:hint="eastAsia"/>
                <w:lang w:val="en-US" w:eastAsia="zh-CN"/>
              </w:rPr>
              <w:t>1</w:t>
            </w:r>
            <w:r>
              <w:t>t/a</w:t>
            </w:r>
            <w:r>
              <w:rPr>
                <w:rFonts w:hint="eastAsia"/>
                <w:lang w:eastAsia="zh-CN"/>
              </w:rPr>
              <w:t>。</w:t>
            </w:r>
          </w:p>
          <w:p>
            <w:pPr>
              <w:pStyle w:val="29"/>
              <w:ind w:firstLine="480"/>
            </w:pPr>
            <w:r>
              <w:rPr>
                <w:rFonts w:hint="eastAsia"/>
              </w:rPr>
              <w:t>（</w:t>
            </w:r>
            <w:r>
              <w:t>2</w:t>
            </w:r>
            <w:r>
              <w:rPr>
                <w:rFonts w:hint="eastAsia"/>
              </w:rPr>
              <w:t>）危险废物</w:t>
            </w:r>
          </w:p>
          <w:p>
            <w:pPr>
              <w:pStyle w:val="29"/>
              <w:ind w:firstLine="480"/>
            </w:pPr>
            <w:r>
              <w:rPr>
                <w:rFonts w:hint="eastAsia"/>
              </w:rPr>
              <w:t>项目产生的危险废物主要为</w:t>
            </w:r>
            <w:r>
              <w:rPr>
                <w:rFonts w:hint="eastAsia"/>
                <w:lang w:eastAsia="zh-CN"/>
              </w:rPr>
              <w:t>废清洗液、酒精包装瓶、废活性炭</w:t>
            </w:r>
            <w:r>
              <w:rPr>
                <w:rFonts w:hint="eastAsia"/>
              </w:rPr>
              <w:t>。</w:t>
            </w:r>
          </w:p>
          <w:p>
            <w:pPr>
              <w:ind w:firstLine="480" w:firstLineChars="20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lang w:eastAsia="zh-CN"/>
              </w:rPr>
              <w:t>废清洗液</w:t>
            </w:r>
            <w:r>
              <w:rPr>
                <w:rFonts w:hint="eastAsia"/>
              </w:rPr>
              <w:t>：</w:t>
            </w:r>
            <w:r>
              <w:rPr>
                <w:rFonts w:hint="eastAsia"/>
                <w:lang w:eastAsia="zh-CN"/>
              </w:rPr>
              <w:t>项目使用酒精清洗过程中会产生废清洗液</w:t>
            </w:r>
            <w:r>
              <w:rPr>
                <w:rFonts w:hint="eastAsia"/>
              </w:rPr>
              <w:t>，产生量约为</w:t>
            </w:r>
            <w:r>
              <w:t>0.</w:t>
            </w:r>
            <w:r>
              <w:rPr>
                <w:rFonts w:hint="eastAsia"/>
                <w:lang w:val="en-US" w:eastAsia="zh-CN"/>
              </w:rPr>
              <w:t>1</w:t>
            </w:r>
            <w:r>
              <w:t>t/a</w:t>
            </w:r>
            <w:r>
              <w:rPr>
                <w:rFonts w:hint="eastAsia"/>
              </w:rPr>
              <w:t>。</w:t>
            </w:r>
          </w:p>
          <w:p>
            <w:pPr>
              <w:ind w:left="480"/>
            </w:pPr>
            <w:r>
              <w:rPr>
                <w:rFonts w:hint="eastAsia" w:ascii="宋体" w:hAnsi="宋体" w:cs="宋体"/>
              </w:rPr>
              <w:t>②</w:t>
            </w:r>
            <w:r>
              <w:rPr>
                <w:rFonts w:hint="eastAsia" w:ascii="宋体" w:hAnsi="宋体" w:cs="宋体"/>
                <w:lang w:eastAsia="zh-CN"/>
              </w:rPr>
              <w:t>酒精包装瓶</w:t>
            </w:r>
            <w:r>
              <w:rPr>
                <w:rFonts w:hint="eastAsia" w:ascii="宋体" w:hAnsi="宋体" w:cs="宋体"/>
              </w:rPr>
              <w:t>：</w:t>
            </w:r>
            <w:r>
              <w:rPr>
                <w:rFonts w:hint="eastAsia"/>
                <w:lang w:eastAsia="zh-CN"/>
              </w:rPr>
              <w:t>用于包装酒精的容器瓶</w:t>
            </w:r>
            <w:r>
              <w:rPr>
                <w:rFonts w:hint="eastAsia"/>
              </w:rPr>
              <w:t>，产生量约</w:t>
            </w:r>
            <w:r>
              <w:t>0.01t/a</w:t>
            </w:r>
            <w:r>
              <w:rPr>
                <w:rFonts w:hint="eastAsia"/>
              </w:rPr>
              <w:t>。</w:t>
            </w:r>
          </w:p>
          <w:p>
            <w:pPr>
              <w:pStyle w:val="29"/>
              <w:ind w:firstLine="48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废活性炭：</w:t>
            </w:r>
            <w:bookmarkStart w:id="11" w:name="_Hlk103949674"/>
            <w:r>
              <w:rPr>
                <w:rFonts w:hint="eastAsia"/>
              </w:rPr>
              <w:t>根据《省生态环境厅关于将排污单位活性炭使用更换纳入排污许可管理的通知》（苏环办〔2021〕218号），并参考活性炭性能证明文件（翰蓝环保科技（上海）有限公司出具的检测报告，编号为a</w:t>
            </w:r>
            <w:r>
              <w:t>20210225-02a</w:t>
            </w:r>
            <w:r>
              <w:rPr>
                <w:rFonts w:hint="eastAsia"/>
              </w:rPr>
              <w:t>，江苏鑫昌活性炭有限公司送样的活性炭碘吸附值8</w:t>
            </w:r>
            <w:r>
              <w:t>17mg/g</w:t>
            </w:r>
            <w:r>
              <w:rPr>
                <w:rFonts w:hint="eastAsia"/>
              </w:rPr>
              <w:t>、苯吸附率3</w:t>
            </w:r>
            <w:r>
              <w:t>5.67%</w:t>
            </w:r>
            <w:r>
              <w:rPr>
                <w:rFonts w:hint="eastAsia"/>
              </w:rPr>
              <w:t>、四氯化碳吸附率5</w:t>
            </w:r>
            <w:r>
              <w:t>4.09%</w:t>
            </w:r>
            <w:r>
              <w:rPr>
                <w:rFonts w:hint="eastAsia"/>
              </w:rPr>
              <w:t>），本项目按照活性炭吸附量</w:t>
            </w:r>
            <w:r>
              <w:t>30%</w:t>
            </w:r>
            <w:r>
              <w:rPr>
                <w:rFonts w:hint="eastAsia"/>
              </w:rPr>
              <w:t>计算，</w:t>
            </w:r>
            <w:bookmarkEnd w:id="11"/>
            <w:r>
              <w:rPr>
                <w:rFonts w:hint="eastAsia"/>
              </w:rPr>
              <w:t>本项目有机废气吸附处理量约</w:t>
            </w:r>
            <w:r>
              <w:t>0.82t/a</w:t>
            </w:r>
            <w:r>
              <w:rPr>
                <w:rFonts w:hint="eastAsia"/>
              </w:rPr>
              <w:t>，因此活性炭使用量理论计算量约</w:t>
            </w:r>
            <w:r>
              <w:t>2.8t/a</w:t>
            </w:r>
            <w:r>
              <w:rPr>
                <w:rFonts w:hint="eastAsia"/>
              </w:rPr>
              <w:t>。本项目废气装置以活性炭的装填量约为</w:t>
            </w:r>
            <w:r>
              <w:t>0.7</w:t>
            </w:r>
            <w:r>
              <w:rPr>
                <w:rFonts w:hint="eastAsia"/>
              </w:rPr>
              <w:t>吨计算，则每季度更换一次，则产生废活性炭约</w:t>
            </w:r>
            <w:r>
              <w:t>3.62t/a</w:t>
            </w:r>
            <w:r>
              <w:rPr>
                <w:rFonts w:hint="eastAsia"/>
              </w:rPr>
              <w:t>。</w:t>
            </w:r>
          </w:p>
          <w:p>
            <w:pPr>
              <w:pStyle w:val="29"/>
              <w:ind w:firstLine="480"/>
            </w:pPr>
            <w:r>
              <w:rPr>
                <w:rFonts w:hint="eastAsia"/>
              </w:rPr>
              <w:t>（</w:t>
            </w:r>
            <w:r>
              <w:t>3</w:t>
            </w:r>
            <w:r>
              <w:rPr>
                <w:rFonts w:hint="eastAsia"/>
              </w:rPr>
              <w:t>）生活垃圾</w:t>
            </w:r>
          </w:p>
          <w:p>
            <w:pPr>
              <w:pStyle w:val="29"/>
              <w:ind w:firstLine="480"/>
            </w:pPr>
            <w:r>
              <w:rPr>
                <w:rFonts w:hint="eastAsia"/>
              </w:rPr>
              <w:t>本项目新增定员</w:t>
            </w:r>
            <w:r>
              <w:rPr>
                <w:rFonts w:hint="eastAsia"/>
                <w:lang w:val="en-US" w:eastAsia="zh-CN"/>
              </w:rPr>
              <w:t>5</w:t>
            </w:r>
            <w:r>
              <w:t>0</w:t>
            </w:r>
            <w:r>
              <w:rPr>
                <w:rFonts w:hint="eastAsia"/>
              </w:rPr>
              <w:t>人，产生量按</w:t>
            </w:r>
            <w:r>
              <w:t>0.5kg/d•</w:t>
            </w:r>
            <w:r>
              <w:rPr>
                <w:rFonts w:hint="eastAsia"/>
              </w:rPr>
              <w:t>人计，年工作天数按</w:t>
            </w:r>
            <w:r>
              <w:t>2</w:t>
            </w:r>
            <w:r>
              <w:rPr>
                <w:rFonts w:hint="eastAsia"/>
                <w:lang w:val="en-US" w:eastAsia="zh-CN"/>
              </w:rPr>
              <w:t>25</w:t>
            </w:r>
            <w:r>
              <w:rPr>
                <w:rFonts w:hint="eastAsia"/>
              </w:rPr>
              <w:t>天计，则生活垃圾的产生量为</w:t>
            </w:r>
            <w:r>
              <w:rPr>
                <w:rFonts w:hint="eastAsia"/>
                <w:lang w:val="en-US" w:eastAsia="zh-CN"/>
              </w:rPr>
              <w:t>5.625</w:t>
            </w:r>
            <w:r>
              <w:t>t/a</w:t>
            </w:r>
            <w:r>
              <w:rPr>
                <w:rFonts w:hint="eastAsia"/>
              </w:rPr>
              <w:t>。</w:t>
            </w:r>
          </w:p>
          <w:p>
            <w:pPr>
              <w:pStyle w:val="29"/>
              <w:ind w:firstLine="480"/>
              <w:rPr>
                <w:bCs/>
              </w:rPr>
            </w:pPr>
            <w:r>
              <w:rPr>
                <w:rFonts w:hint="eastAsia"/>
              </w:rPr>
              <w:t>根据《固体废物鉴别标准 通则》等规定，判断其是否属于固体废物，具体判定依据及结果见表</w:t>
            </w:r>
            <w:r>
              <w:t>4-19</w:t>
            </w:r>
            <w:r>
              <w:rPr>
                <w:rFonts w:hint="eastAsia"/>
              </w:rPr>
              <w:t>。</w:t>
            </w:r>
          </w:p>
          <w:p>
            <w:pPr>
              <w:pStyle w:val="12"/>
            </w:pPr>
            <w:r>
              <w:rPr>
                <w:rFonts w:hint="eastAsia"/>
              </w:rPr>
              <w:t>表</w:t>
            </w:r>
            <w:r>
              <w:t xml:space="preserve">4-19   </w:t>
            </w:r>
            <w:r>
              <w:rPr>
                <w:rFonts w:hint="eastAsia"/>
              </w:rPr>
              <w:t>建设项目副产物产生情况汇总表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1415"/>
              <w:gridCol w:w="1028"/>
              <w:gridCol w:w="766"/>
              <w:gridCol w:w="1002"/>
              <w:gridCol w:w="985"/>
              <w:gridCol w:w="888"/>
              <w:gridCol w:w="788"/>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vAlign w:val="center"/>
                </w:tcPr>
                <w:p>
                  <w:pPr>
                    <w:pStyle w:val="35"/>
                  </w:pPr>
                  <w:r>
                    <w:rPr>
                      <w:rFonts w:hint="eastAsia"/>
                    </w:rPr>
                    <w:t>序号</w:t>
                  </w:r>
                </w:p>
              </w:tc>
              <w:tc>
                <w:tcPr>
                  <w:tcW w:w="860" w:type="pct"/>
                  <w:vMerge w:val="restart"/>
                  <w:vAlign w:val="center"/>
                </w:tcPr>
                <w:p>
                  <w:pPr>
                    <w:pStyle w:val="35"/>
                  </w:pPr>
                  <w:r>
                    <w:rPr>
                      <w:rFonts w:hint="eastAsia"/>
                    </w:rPr>
                    <w:t>副产物名称</w:t>
                  </w:r>
                </w:p>
              </w:tc>
              <w:tc>
                <w:tcPr>
                  <w:tcW w:w="625" w:type="pct"/>
                  <w:vMerge w:val="restart"/>
                  <w:vAlign w:val="center"/>
                </w:tcPr>
                <w:p>
                  <w:pPr>
                    <w:pStyle w:val="35"/>
                  </w:pPr>
                  <w:r>
                    <w:rPr>
                      <w:rFonts w:hint="eastAsia"/>
                    </w:rPr>
                    <w:t>产生工序</w:t>
                  </w:r>
                </w:p>
              </w:tc>
              <w:tc>
                <w:tcPr>
                  <w:tcW w:w="465" w:type="pct"/>
                  <w:vMerge w:val="restart"/>
                  <w:vAlign w:val="center"/>
                </w:tcPr>
                <w:p>
                  <w:pPr>
                    <w:pStyle w:val="35"/>
                  </w:pPr>
                  <w:r>
                    <w:rPr>
                      <w:rFonts w:hint="eastAsia"/>
                    </w:rPr>
                    <w:t>形态</w:t>
                  </w:r>
                </w:p>
              </w:tc>
              <w:tc>
                <w:tcPr>
                  <w:tcW w:w="609" w:type="pct"/>
                  <w:vMerge w:val="restart"/>
                  <w:vAlign w:val="center"/>
                </w:tcPr>
                <w:p>
                  <w:pPr>
                    <w:pStyle w:val="35"/>
                  </w:pPr>
                  <w:r>
                    <w:rPr>
                      <w:rFonts w:hint="eastAsia"/>
                    </w:rPr>
                    <w:t>主要成分</w:t>
                  </w:r>
                </w:p>
              </w:tc>
              <w:tc>
                <w:tcPr>
                  <w:tcW w:w="598" w:type="pct"/>
                  <w:vMerge w:val="restart"/>
                  <w:vAlign w:val="center"/>
                </w:tcPr>
                <w:p>
                  <w:pPr>
                    <w:pStyle w:val="35"/>
                  </w:pPr>
                  <w:r>
                    <w:rPr>
                      <w:rFonts w:hint="eastAsia"/>
                    </w:rPr>
                    <w:t>预测产生量（</w:t>
                  </w:r>
                  <w:r>
                    <w:t>t/a</w:t>
                  </w:r>
                  <w:r>
                    <w:rPr>
                      <w:rFonts w:hint="eastAsia"/>
                    </w:rPr>
                    <w:t>）</w:t>
                  </w:r>
                </w:p>
              </w:tc>
              <w:tc>
                <w:tcPr>
                  <w:tcW w:w="1527" w:type="pct"/>
                  <w:gridSpan w:val="3"/>
                  <w:vAlign w:val="center"/>
                </w:tcPr>
                <w:p>
                  <w:pPr>
                    <w:pStyle w:val="35"/>
                  </w:pPr>
                  <w:r>
                    <w:rPr>
                      <w:rFonts w:hint="eastAsia"/>
                    </w:rP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pPr>
                    <w:pStyle w:val="35"/>
                  </w:pPr>
                </w:p>
              </w:tc>
              <w:tc>
                <w:tcPr>
                  <w:tcW w:w="860" w:type="pct"/>
                  <w:vMerge w:val="continue"/>
                  <w:vAlign w:val="center"/>
                </w:tcPr>
                <w:p>
                  <w:pPr>
                    <w:pStyle w:val="35"/>
                  </w:pPr>
                </w:p>
              </w:tc>
              <w:tc>
                <w:tcPr>
                  <w:tcW w:w="625" w:type="pct"/>
                  <w:vMerge w:val="continue"/>
                  <w:vAlign w:val="center"/>
                </w:tcPr>
                <w:p>
                  <w:pPr>
                    <w:pStyle w:val="35"/>
                  </w:pPr>
                </w:p>
              </w:tc>
              <w:tc>
                <w:tcPr>
                  <w:tcW w:w="465" w:type="pct"/>
                  <w:vMerge w:val="continue"/>
                  <w:vAlign w:val="center"/>
                </w:tcPr>
                <w:p>
                  <w:pPr>
                    <w:pStyle w:val="35"/>
                  </w:pPr>
                </w:p>
              </w:tc>
              <w:tc>
                <w:tcPr>
                  <w:tcW w:w="609" w:type="pct"/>
                  <w:vMerge w:val="continue"/>
                  <w:vAlign w:val="center"/>
                </w:tcPr>
                <w:p>
                  <w:pPr>
                    <w:pStyle w:val="35"/>
                  </w:pPr>
                </w:p>
              </w:tc>
              <w:tc>
                <w:tcPr>
                  <w:tcW w:w="598" w:type="pct"/>
                  <w:vMerge w:val="continue"/>
                  <w:vAlign w:val="center"/>
                </w:tcPr>
                <w:p>
                  <w:pPr>
                    <w:pStyle w:val="35"/>
                  </w:pPr>
                </w:p>
              </w:tc>
              <w:tc>
                <w:tcPr>
                  <w:tcW w:w="539" w:type="pct"/>
                  <w:vAlign w:val="center"/>
                </w:tcPr>
                <w:p>
                  <w:pPr>
                    <w:pStyle w:val="35"/>
                  </w:pPr>
                  <w:r>
                    <w:rPr>
                      <w:rFonts w:hint="eastAsia"/>
                    </w:rPr>
                    <w:t>固体废物</w:t>
                  </w:r>
                </w:p>
              </w:tc>
              <w:tc>
                <w:tcPr>
                  <w:tcW w:w="479" w:type="pct"/>
                  <w:vAlign w:val="center"/>
                </w:tcPr>
                <w:p>
                  <w:pPr>
                    <w:pStyle w:val="35"/>
                  </w:pPr>
                  <w:r>
                    <w:rPr>
                      <w:rFonts w:hint="eastAsia"/>
                    </w:rPr>
                    <w:t>副产品</w:t>
                  </w:r>
                </w:p>
              </w:tc>
              <w:tc>
                <w:tcPr>
                  <w:tcW w:w="508" w:type="pct"/>
                  <w:vAlign w:val="center"/>
                </w:tcPr>
                <w:p>
                  <w:pPr>
                    <w:pStyle w:val="35"/>
                  </w:pPr>
                  <w:r>
                    <w:rPr>
                      <w:rFonts w:hint="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pPr>
                  <w:r>
                    <w:t>1</w:t>
                  </w:r>
                </w:p>
              </w:tc>
              <w:tc>
                <w:tcPr>
                  <w:tcW w:w="860" w:type="pct"/>
                  <w:vAlign w:val="center"/>
                </w:tcPr>
                <w:p>
                  <w:pPr>
                    <w:pStyle w:val="35"/>
                    <w:rPr>
                      <w:rFonts w:hint="eastAsia" w:eastAsia="宋体"/>
                      <w:lang w:eastAsia="zh-CN"/>
                    </w:rPr>
                  </w:pPr>
                  <w:r>
                    <w:rPr>
                      <w:rFonts w:hint="eastAsia"/>
                      <w:lang w:eastAsia="zh-CN"/>
                    </w:rPr>
                    <w:t>废包装材料</w:t>
                  </w:r>
                </w:p>
              </w:tc>
              <w:tc>
                <w:tcPr>
                  <w:tcW w:w="625" w:type="pct"/>
                  <w:vAlign w:val="center"/>
                </w:tcPr>
                <w:p>
                  <w:pPr>
                    <w:pStyle w:val="35"/>
                    <w:rPr>
                      <w:rFonts w:hint="eastAsia" w:eastAsia="宋体"/>
                      <w:lang w:eastAsia="zh-CN"/>
                    </w:rPr>
                  </w:pPr>
                  <w:r>
                    <w:rPr>
                      <w:rFonts w:hint="eastAsia"/>
                      <w:lang w:eastAsia="zh-CN"/>
                    </w:rPr>
                    <w:t>组装</w:t>
                  </w:r>
                </w:p>
              </w:tc>
              <w:tc>
                <w:tcPr>
                  <w:tcW w:w="465"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kern w:val="0"/>
                    </w:rPr>
                    <w:t>固态</w:t>
                  </w:r>
                </w:p>
              </w:tc>
              <w:tc>
                <w:tcPr>
                  <w:tcW w:w="609" w:type="pct"/>
                  <w:vAlign w:val="center"/>
                </w:tcPr>
                <w:p>
                  <w:pPr>
                    <w:pStyle w:val="35"/>
                    <w:rPr>
                      <w:rFonts w:hint="eastAsia" w:eastAsia="宋体"/>
                      <w:lang w:eastAsia="zh-CN"/>
                    </w:rPr>
                  </w:pPr>
                  <w:r>
                    <w:rPr>
                      <w:rFonts w:hint="eastAsia"/>
                      <w:lang w:eastAsia="zh-CN"/>
                    </w:rPr>
                    <w:t>纸箱、塑料等</w:t>
                  </w:r>
                </w:p>
              </w:tc>
              <w:tc>
                <w:tcPr>
                  <w:tcW w:w="598" w:type="pct"/>
                  <w:vAlign w:val="center"/>
                </w:tcPr>
                <w:p>
                  <w:pPr>
                    <w:pStyle w:val="35"/>
                    <w:rPr>
                      <w:rFonts w:hint="default" w:eastAsia="宋体"/>
                      <w:lang w:val="en-US" w:eastAsia="zh-CN"/>
                    </w:rPr>
                  </w:pPr>
                  <w:r>
                    <w:rPr>
                      <w:rFonts w:hint="eastAsia"/>
                      <w:lang w:val="en-US" w:eastAsia="zh-CN"/>
                    </w:rPr>
                    <w:t>0.5</w:t>
                  </w:r>
                </w:p>
              </w:tc>
              <w:tc>
                <w:tcPr>
                  <w:tcW w:w="539" w:type="pct"/>
                  <w:vAlign w:val="center"/>
                </w:tcPr>
                <w:p>
                  <w:pPr>
                    <w:pStyle w:val="35"/>
                    <w:rPr>
                      <w:rFonts w:ascii="Times New Roman" w:hAnsi="Times New Roman" w:eastAsia="宋体" w:cs="Times New Roman"/>
                      <w:kern w:val="2"/>
                      <w:sz w:val="21"/>
                      <w:szCs w:val="24"/>
                      <w:lang w:val="en-US" w:eastAsia="zh-CN" w:bidi="ar-SA"/>
                    </w:rPr>
                  </w:pPr>
                  <w:r>
                    <w:t>√</w:t>
                  </w:r>
                </w:p>
              </w:tc>
              <w:tc>
                <w:tcPr>
                  <w:tcW w:w="479" w:type="pct"/>
                  <w:vAlign w:val="center"/>
                </w:tcPr>
                <w:p>
                  <w:pPr>
                    <w:pStyle w:val="35"/>
                    <w:rPr>
                      <w:rFonts w:ascii="Times New Roman" w:hAnsi="Times New Roman" w:eastAsia="宋体" w:cs="Times New Roman"/>
                      <w:kern w:val="2"/>
                      <w:sz w:val="21"/>
                      <w:szCs w:val="24"/>
                      <w:lang w:val="en-US" w:eastAsia="zh-CN" w:bidi="ar-SA"/>
                    </w:rPr>
                  </w:pPr>
                  <w:r>
                    <w:t>/</w:t>
                  </w:r>
                </w:p>
              </w:tc>
              <w:tc>
                <w:tcPr>
                  <w:tcW w:w="508" w:type="pct"/>
                  <w:vMerge w:val="restart"/>
                  <w:vAlign w:val="center"/>
                </w:tcPr>
                <w:p>
                  <w:pPr>
                    <w:pStyle w:val="35"/>
                  </w:pPr>
                  <w:r>
                    <w:rPr>
                      <w:rFonts w:hint="eastAsia"/>
                    </w:rPr>
                    <w:t>《固体废物鉴别标准</w:t>
                  </w:r>
                  <w:r>
                    <w:t xml:space="preserve"> </w:t>
                  </w:r>
                  <w:r>
                    <w:rPr>
                      <w:rFonts w:hint="eastAsia"/>
                    </w:rPr>
                    <w:t>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pPr>
                  <w:r>
                    <w:t>2</w:t>
                  </w:r>
                </w:p>
              </w:tc>
              <w:tc>
                <w:tcPr>
                  <w:tcW w:w="860"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焊</w:t>
                  </w:r>
                  <w:r>
                    <w:rPr>
                      <w:rFonts w:hint="eastAsia"/>
                    </w:rPr>
                    <w:t>渣</w:t>
                  </w:r>
                </w:p>
              </w:tc>
              <w:tc>
                <w:tcPr>
                  <w:tcW w:w="625"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焊接</w:t>
                  </w:r>
                </w:p>
              </w:tc>
              <w:tc>
                <w:tcPr>
                  <w:tcW w:w="465"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固态</w:t>
                  </w:r>
                </w:p>
              </w:tc>
              <w:tc>
                <w:tcPr>
                  <w:tcW w:w="60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金属</w:t>
                  </w:r>
                </w:p>
              </w:tc>
              <w:tc>
                <w:tcPr>
                  <w:tcW w:w="598" w:type="pct"/>
                  <w:vAlign w:val="center"/>
                </w:tcPr>
                <w:p>
                  <w:pPr>
                    <w:pStyle w:val="35"/>
                    <w:rPr>
                      <w:rFonts w:ascii="Times New Roman" w:hAnsi="Times New Roman" w:eastAsia="宋体" w:cs="Times New Roman"/>
                      <w:kern w:val="2"/>
                      <w:sz w:val="21"/>
                      <w:szCs w:val="24"/>
                      <w:lang w:val="en-US" w:eastAsia="zh-CN" w:bidi="ar-SA"/>
                    </w:rPr>
                  </w:pPr>
                  <w:r>
                    <w:t>0.01</w:t>
                  </w:r>
                </w:p>
              </w:tc>
              <w:tc>
                <w:tcPr>
                  <w:tcW w:w="539" w:type="pct"/>
                  <w:vAlign w:val="center"/>
                </w:tcPr>
                <w:p>
                  <w:pPr>
                    <w:pStyle w:val="35"/>
                    <w:rPr>
                      <w:rFonts w:ascii="Times New Roman" w:hAnsi="Times New Roman" w:eastAsia="宋体" w:cs="Times New Roman"/>
                      <w:kern w:val="2"/>
                      <w:sz w:val="21"/>
                      <w:szCs w:val="24"/>
                      <w:lang w:val="en-US" w:eastAsia="zh-CN" w:bidi="ar-SA"/>
                    </w:rPr>
                  </w:pPr>
                  <w:r>
                    <w:t>√</w:t>
                  </w:r>
                </w:p>
              </w:tc>
              <w:tc>
                <w:tcPr>
                  <w:tcW w:w="479" w:type="pct"/>
                  <w:vAlign w:val="center"/>
                </w:tcPr>
                <w:p>
                  <w:pPr>
                    <w:pStyle w:val="35"/>
                    <w:rPr>
                      <w:rFonts w:ascii="Times New Roman" w:hAnsi="Times New Roman" w:eastAsia="宋体" w:cs="Times New Roman"/>
                      <w:kern w:val="2"/>
                      <w:sz w:val="21"/>
                      <w:szCs w:val="24"/>
                      <w:lang w:val="en-US" w:eastAsia="zh-CN" w:bidi="ar-SA"/>
                    </w:rPr>
                  </w:pPr>
                  <w:r>
                    <w:t>/</w:t>
                  </w:r>
                </w:p>
              </w:tc>
              <w:tc>
                <w:tcPr>
                  <w:tcW w:w="508" w:type="pct"/>
                  <w:vMerge w:val="continue"/>
                  <w:vAlign w:val="center"/>
                </w:tcPr>
                <w:p>
                  <w:pPr>
                    <w:pStyle w:val="35"/>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rPr>
                      <w:rFonts w:ascii="Times New Roman" w:hAnsi="Times New Roman" w:eastAsia="宋体" w:cs="Times New Roman"/>
                      <w:kern w:val="2"/>
                      <w:sz w:val="21"/>
                      <w:szCs w:val="24"/>
                      <w:lang w:val="en-US" w:eastAsia="zh-CN" w:bidi="ar-SA"/>
                    </w:rPr>
                  </w:pPr>
                  <w:r>
                    <w:t>3</w:t>
                  </w:r>
                </w:p>
              </w:tc>
              <w:tc>
                <w:tcPr>
                  <w:tcW w:w="860" w:type="pct"/>
                  <w:vAlign w:val="center"/>
                </w:tcPr>
                <w:p>
                  <w:pPr>
                    <w:pStyle w:val="35"/>
                    <w:rPr>
                      <w:rFonts w:ascii="Times New Roman" w:hAnsi="Times New Roman" w:eastAsia="宋体" w:cs="Times New Roman"/>
                      <w:kern w:val="2"/>
                      <w:sz w:val="21"/>
                      <w:szCs w:val="24"/>
                      <w:lang w:val="en-US" w:eastAsia="zh-CN" w:bidi="ar-SA"/>
                    </w:rPr>
                  </w:pPr>
                  <w:r>
                    <w:rPr>
                      <w:rFonts w:hint="eastAsia"/>
                    </w:rPr>
                    <w:t>不合格品</w:t>
                  </w:r>
                </w:p>
              </w:tc>
              <w:tc>
                <w:tcPr>
                  <w:tcW w:w="625" w:type="pct"/>
                  <w:vAlign w:val="center"/>
                </w:tcPr>
                <w:p>
                  <w:pPr>
                    <w:pStyle w:val="35"/>
                    <w:rPr>
                      <w:rFonts w:ascii="Times New Roman" w:hAnsi="Times New Roman" w:eastAsia="宋体" w:cs="Times New Roman"/>
                      <w:kern w:val="2"/>
                      <w:sz w:val="21"/>
                      <w:szCs w:val="24"/>
                      <w:lang w:val="en-US" w:eastAsia="zh-CN" w:bidi="ar-SA"/>
                    </w:rPr>
                  </w:pPr>
                  <w:r>
                    <w:rPr>
                      <w:rFonts w:hint="eastAsia"/>
                    </w:rPr>
                    <w:t>检验</w:t>
                  </w:r>
                </w:p>
              </w:tc>
              <w:tc>
                <w:tcPr>
                  <w:tcW w:w="465" w:type="pct"/>
                  <w:vAlign w:val="center"/>
                </w:tcPr>
                <w:p>
                  <w:pPr>
                    <w:pStyle w:val="35"/>
                    <w:rPr>
                      <w:rFonts w:ascii="Times New Roman" w:hAnsi="Times New Roman" w:eastAsia="宋体" w:cs="Times New Roman"/>
                      <w:kern w:val="2"/>
                      <w:sz w:val="21"/>
                      <w:szCs w:val="24"/>
                      <w:lang w:val="en-US" w:eastAsia="zh-CN" w:bidi="ar-SA"/>
                    </w:rPr>
                  </w:pPr>
                  <w:r>
                    <w:rPr>
                      <w:rFonts w:hint="eastAsia"/>
                    </w:rPr>
                    <w:t>固态</w:t>
                  </w:r>
                </w:p>
              </w:tc>
              <w:tc>
                <w:tcPr>
                  <w:tcW w:w="60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金属</w:t>
                  </w:r>
                </w:p>
              </w:tc>
              <w:tc>
                <w:tcPr>
                  <w:tcW w:w="59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val="en-US" w:eastAsia="zh-CN"/>
                    </w:rPr>
                    <w:t>1</w:t>
                  </w:r>
                </w:p>
              </w:tc>
              <w:tc>
                <w:tcPr>
                  <w:tcW w:w="539" w:type="pct"/>
                  <w:vAlign w:val="center"/>
                </w:tcPr>
                <w:p>
                  <w:pPr>
                    <w:pStyle w:val="35"/>
                    <w:rPr>
                      <w:rFonts w:ascii="Times New Roman" w:hAnsi="Times New Roman" w:eastAsia="宋体" w:cs="Times New Roman"/>
                      <w:kern w:val="2"/>
                      <w:sz w:val="21"/>
                      <w:szCs w:val="24"/>
                      <w:lang w:val="en-US" w:eastAsia="zh-CN" w:bidi="ar-SA"/>
                    </w:rPr>
                  </w:pPr>
                  <w:r>
                    <w:t>√</w:t>
                  </w:r>
                </w:p>
              </w:tc>
              <w:tc>
                <w:tcPr>
                  <w:tcW w:w="479" w:type="pct"/>
                  <w:vAlign w:val="center"/>
                </w:tcPr>
                <w:p>
                  <w:pPr>
                    <w:pStyle w:val="35"/>
                    <w:rPr>
                      <w:rFonts w:ascii="Times New Roman" w:hAnsi="Times New Roman" w:eastAsia="宋体" w:cs="Times New Roman"/>
                      <w:kern w:val="2"/>
                      <w:sz w:val="21"/>
                      <w:szCs w:val="24"/>
                      <w:lang w:val="en-US" w:eastAsia="zh-CN" w:bidi="ar-SA"/>
                    </w:rPr>
                  </w:pPr>
                  <w:r>
                    <w:t>/</w:t>
                  </w:r>
                </w:p>
              </w:tc>
              <w:tc>
                <w:tcPr>
                  <w:tcW w:w="508"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rPr>
                      <w:rFonts w:hint="eastAsia" w:eastAsia="宋体"/>
                      <w:lang w:val="en-US" w:eastAsia="zh-CN"/>
                    </w:rPr>
                  </w:pPr>
                  <w:r>
                    <w:rPr>
                      <w:rFonts w:hint="eastAsia"/>
                      <w:lang w:val="en-US" w:eastAsia="zh-CN"/>
                    </w:rPr>
                    <w:t>4</w:t>
                  </w:r>
                </w:p>
              </w:tc>
              <w:tc>
                <w:tcPr>
                  <w:tcW w:w="860" w:type="pct"/>
                  <w:vAlign w:val="center"/>
                </w:tcPr>
                <w:p>
                  <w:pPr>
                    <w:pStyle w:val="35"/>
                    <w:rPr>
                      <w:rFonts w:hint="eastAsia" w:eastAsia="宋体"/>
                      <w:lang w:eastAsia="zh-CN"/>
                    </w:rPr>
                  </w:pPr>
                  <w:r>
                    <w:rPr>
                      <w:rFonts w:hint="eastAsia"/>
                      <w:lang w:eastAsia="zh-CN"/>
                    </w:rPr>
                    <w:t>废清洗液</w:t>
                  </w:r>
                </w:p>
              </w:tc>
              <w:tc>
                <w:tcPr>
                  <w:tcW w:w="625" w:type="pct"/>
                  <w:vAlign w:val="center"/>
                </w:tcPr>
                <w:p>
                  <w:pPr>
                    <w:pStyle w:val="35"/>
                    <w:rPr>
                      <w:rFonts w:hint="eastAsia" w:eastAsia="宋体"/>
                      <w:lang w:eastAsia="zh-CN"/>
                    </w:rPr>
                  </w:pPr>
                  <w:r>
                    <w:rPr>
                      <w:rFonts w:hint="eastAsia"/>
                      <w:lang w:eastAsia="zh-CN"/>
                    </w:rPr>
                    <w:t>清洗</w:t>
                  </w:r>
                </w:p>
              </w:tc>
              <w:tc>
                <w:tcPr>
                  <w:tcW w:w="465" w:type="pct"/>
                  <w:vAlign w:val="center"/>
                </w:tcPr>
                <w:p>
                  <w:pPr>
                    <w:pStyle w:val="35"/>
                    <w:rPr>
                      <w:rFonts w:hint="eastAsia" w:eastAsia="宋体"/>
                      <w:lang w:eastAsia="zh-CN"/>
                    </w:rPr>
                  </w:pPr>
                  <w:r>
                    <w:rPr>
                      <w:rFonts w:hint="eastAsia"/>
                      <w:lang w:eastAsia="zh-CN"/>
                    </w:rPr>
                    <w:t>液态</w:t>
                  </w:r>
                </w:p>
              </w:tc>
              <w:tc>
                <w:tcPr>
                  <w:tcW w:w="609" w:type="pct"/>
                  <w:vAlign w:val="center"/>
                </w:tcPr>
                <w:p>
                  <w:pPr>
                    <w:pStyle w:val="35"/>
                    <w:rPr>
                      <w:rFonts w:hint="eastAsia" w:eastAsia="宋体"/>
                      <w:lang w:eastAsia="zh-CN"/>
                    </w:rPr>
                  </w:pPr>
                  <w:r>
                    <w:rPr>
                      <w:rFonts w:hint="eastAsia"/>
                      <w:lang w:eastAsia="zh-CN"/>
                    </w:rPr>
                    <w:t>酒精</w:t>
                  </w:r>
                </w:p>
              </w:tc>
              <w:tc>
                <w:tcPr>
                  <w:tcW w:w="598" w:type="pct"/>
                  <w:vAlign w:val="center"/>
                </w:tcPr>
                <w:p>
                  <w:pPr>
                    <w:pStyle w:val="35"/>
                    <w:rPr>
                      <w:rFonts w:hint="default" w:eastAsia="宋体"/>
                      <w:lang w:val="en-US" w:eastAsia="zh-CN"/>
                    </w:rPr>
                  </w:pPr>
                  <w:r>
                    <w:rPr>
                      <w:rFonts w:hint="eastAsia"/>
                      <w:lang w:val="en-US" w:eastAsia="zh-CN"/>
                    </w:rPr>
                    <w:t>0.1</w:t>
                  </w:r>
                </w:p>
              </w:tc>
              <w:tc>
                <w:tcPr>
                  <w:tcW w:w="539" w:type="pct"/>
                  <w:vAlign w:val="center"/>
                </w:tcPr>
                <w:p>
                  <w:pPr>
                    <w:pStyle w:val="35"/>
                  </w:pPr>
                </w:p>
              </w:tc>
              <w:tc>
                <w:tcPr>
                  <w:tcW w:w="479" w:type="pct"/>
                  <w:vAlign w:val="center"/>
                </w:tcPr>
                <w:p>
                  <w:pPr>
                    <w:pStyle w:val="35"/>
                  </w:pPr>
                </w:p>
              </w:tc>
              <w:tc>
                <w:tcPr>
                  <w:tcW w:w="508"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rPr>
                      <w:rFonts w:hint="eastAsia" w:eastAsia="宋体"/>
                      <w:lang w:val="en-US" w:eastAsia="zh-CN"/>
                    </w:rPr>
                  </w:pPr>
                  <w:r>
                    <w:rPr>
                      <w:rFonts w:hint="eastAsia"/>
                      <w:lang w:val="en-US" w:eastAsia="zh-CN"/>
                    </w:rPr>
                    <w:t>5</w:t>
                  </w:r>
                </w:p>
              </w:tc>
              <w:tc>
                <w:tcPr>
                  <w:tcW w:w="860" w:type="pct"/>
                  <w:vAlign w:val="center"/>
                </w:tcPr>
                <w:p>
                  <w:pPr>
                    <w:pStyle w:val="35"/>
                    <w:rPr>
                      <w:rFonts w:hint="eastAsia" w:eastAsia="宋体"/>
                      <w:lang w:eastAsia="zh-CN"/>
                    </w:rPr>
                  </w:pPr>
                  <w:r>
                    <w:rPr>
                      <w:rFonts w:hint="eastAsia"/>
                      <w:lang w:eastAsia="zh-CN"/>
                    </w:rPr>
                    <w:t>废酒精包装瓶</w:t>
                  </w:r>
                </w:p>
              </w:tc>
              <w:tc>
                <w:tcPr>
                  <w:tcW w:w="625" w:type="pct"/>
                  <w:vAlign w:val="center"/>
                </w:tcPr>
                <w:p>
                  <w:pPr>
                    <w:pStyle w:val="35"/>
                    <w:rPr>
                      <w:rFonts w:hint="eastAsia" w:eastAsia="宋体"/>
                      <w:lang w:val="en-US" w:eastAsia="zh-CN"/>
                    </w:rPr>
                  </w:pPr>
                  <w:r>
                    <w:rPr>
                      <w:rFonts w:hint="eastAsia"/>
                      <w:lang w:val="en-US" w:eastAsia="zh-CN"/>
                    </w:rPr>
                    <w:t>/</w:t>
                  </w:r>
                </w:p>
              </w:tc>
              <w:tc>
                <w:tcPr>
                  <w:tcW w:w="465" w:type="pct"/>
                  <w:vAlign w:val="center"/>
                </w:tcPr>
                <w:p>
                  <w:pPr>
                    <w:pStyle w:val="35"/>
                    <w:rPr>
                      <w:rFonts w:hint="eastAsia" w:eastAsia="宋体"/>
                      <w:lang w:eastAsia="zh-CN"/>
                    </w:rPr>
                  </w:pPr>
                  <w:r>
                    <w:rPr>
                      <w:rFonts w:hint="eastAsia"/>
                      <w:lang w:eastAsia="zh-CN"/>
                    </w:rPr>
                    <w:t>固态</w:t>
                  </w:r>
                </w:p>
              </w:tc>
              <w:tc>
                <w:tcPr>
                  <w:tcW w:w="609" w:type="pct"/>
                  <w:vAlign w:val="center"/>
                </w:tcPr>
                <w:p>
                  <w:pPr>
                    <w:pStyle w:val="35"/>
                    <w:rPr>
                      <w:rFonts w:hint="eastAsia" w:eastAsia="宋体"/>
                      <w:lang w:eastAsia="zh-CN"/>
                    </w:rPr>
                  </w:pPr>
                  <w:r>
                    <w:rPr>
                      <w:rFonts w:hint="eastAsia"/>
                      <w:lang w:eastAsia="zh-CN"/>
                    </w:rPr>
                    <w:t>酒精、包装瓶</w:t>
                  </w:r>
                </w:p>
              </w:tc>
              <w:tc>
                <w:tcPr>
                  <w:tcW w:w="598" w:type="pct"/>
                  <w:vAlign w:val="center"/>
                </w:tcPr>
                <w:p>
                  <w:pPr>
                    <w:pStyle w:val="35"/>
                    <w:rPr>
                      <w:rFonts w:hint="default" w:eastAsia="宋体"/>
                      <w:lang w:val="en-US" w:eastAsia="zh-CN"/>
                    </w:rPr>
                  </w:pPr>
                  <w:r>
                    <w:rPr>
                      <w:rFonts w:hint="eastAsia"/>
                      <w:lang w:val="en-US" w:eastAsia="zh-CN"/>
                    </w:rPr>
                    <w:t>0.01</w:t>
                  </w:r>
                </w:p>
              </w:tc>
              <w:tc>
                <w:tcPr>
                  <w:tcW w:w="539" w:type="pct"/>
                  <w:vAlign w:val="center"/>
                </w:tcPr>
                <w:p>
                  <w:pPr>
                    <w:pStyle w:val="35"/>
                  </w:pPr>
                  <w:r>
                    <w:t>√</w:t>
                  </w:r>
                </w:p>
              </w:tc>
              <w:tc>
                <w:tcPr>
                  <w:tcW w:w="479" w:type="pct"/>
                  <w:vAlign w:val="center"/>
                </w:tcPr>
                <w:p>
                  <w:pPr>
                    <w:pStyle w:val="35"/>
                  </w:pPr>
                  <w:r>
                    <w:t>/</w:t>
                  </w:r>
                </w:p>
              </w:tc>
              <w:tc>
                <w:tcPr>
                  <w:tcW w:w="508"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rPr>
                      <w:rFonts w:hint="default" w:eastAsia="宋体"/>
                      <w:lang w:val="en-US" w:eastAsia="zh-CN"/>
                    </w:rPr>
                  </w:pPr>
                  <w:r>
                    <w:rPr>
                      <w:rFonts w:hint="eastAsia"/>
                      <w:lang w:val="en-US" w:eastAsia="zh-CN"/>
                    </w:rPr>
                    <w:t>6</w:t>
                  </w:r>
                </w:p>
              </w:tc>
              <w:tc>
                <w:tcPr>
                  <w:tcW w:w="860" w:type="pct"/>
                  <w:vAlign w:val="center"/>
                </w:tcPr>
                <w:p>
                  <w:pPr>
                    <w:pStyle w:val="35"/>
                    <w:rPr>
                      <w:rFonts w:hint="eastAsia" w:eastAsia="宋体"/>
                      <w:lang w:eastAsia="zh-CN"/>
                    </w:rPr>
                  </w:pPr>
                  <w:r>
                    <w:rPr>
                      <w:rFonts w:hint="eastAsia"/>
                      <w:lang w:eastAsia="zh-CN"/>
                    </w:rPr>
                    <w:t>废活性炭</w:t>
                  </w:r>
                </w:p>
              </w:tc>
              <w:tc>
                <w:tcPr>
                  <w:tcW w:w="625" w:type="pct"/>
                  <w:vAlign w:val="center"/>
                </w:tcPr>
                <w:p>
                  <w:pPr>
                    <w:pStyle w:val="35"/>
                    <w:rPr>
                      <w:rFonts w:hint="eastAsia" w:eastAsia="宋体"/>
                      <w:lang w:eastAsia="zh-CN"/>
                    </w:rPr>
                  </w:pPr>
                  <w:r>
                    <w:rPr>
                      <w:rFonts w:hint="eastAsia"/>
                      <w:lang w:eastAsia="zh-CN"/>
                    </w:rPr>
                    <w:t>废气处理</w:t>
                  </w:r>
                </w:p>
              </w:tc>
              <w:tc>
                <w:tcPr>
                  <w:tcW w:w="465" w:type="pct"/>
                  <w:vAlign w:val="center"/>
                </w:tcPr>
                <w:p>
                  <w:pPr>
                    <w:pStyle w:val="35"/>
                    <w:rPr>
                      <w:rFonts w:hint="eastAsia" w:eastAsia="宋体"/>
                      <w:lang w:eastAsia="zh-CN"/>
                    </w:rPr>
                  </w:pPr>
                  <w:r>
                    <w:rPr>
                      <w:rFonts w:hint="eastAsia"/>
                      <w:lang w:eastAsia="zh-CN"/>
                    </w:rPr>
                    <w:t>固态</w:t>
                  </w:r>
                </w:p>
              </w:tc>
              <w:tc>
                <w:tcPr>
                  <w:tcW w:w="609" w:type="pct"/>
                  <w:vAlign w:val="center"/>
                </w:tcPr>
                <w:p>
                  <w:pPr>
                    <w:pStyle w:val="35"/>
                    <w:rPr>
                      <w:rFonts w:hint="eastAsia" w:eastAsia="宋体"/>
                      <w:lang w:eastAsia="zh-CN"/>
                    </w:rPr>
                  </w:pPr>
                  <w:r>
                    <w:rPr>
                      <w:rFonts w:hint="eastAsia"/>
                      <w:lang w:eastAsia="zh-CN"/>
                    </w:rPr>
                    <w:t>活性炭、有机物</w:t>
                  </w:r>
                </w:p>
              </w:tc>
              <w:tc>
                <w:tcPr>
                  <w:tcW w:w="598" w:type="pct"/>
                  <w:vAlign w:val="center"/>
                </w:tcPr>
                <w:p>
                  <w:pPr>
                    <w:pStyle w:val="35"/>
                    <w:rPr>
                      <w:rFonts w:hint="default" w:eastAsia="宋体"/>
                      <w:lang w:val="en-US" w:eastAsia="zh-CN"/>
                    </w:rPr>
                  </w:pPr>
                  <w:r>
                    <w:rPr>
                      <w:rFonts w:hint="eastAsia"/>
                      <w:lang w:val="en-US" w:eastAsia="zh-CN"/>
                    </w:rPr>
                    <w:t>3.62</w:t>
                  </w:r>
                </w:p>
              </w:tc>
              <w:tc>
                <w:tcPr>
                  <w:tcW w:w="539" w:type="pct"/>
                  <w:vAlign w:val="center"/>
                </w:tcPr>
                <w:p>
                  <w:pPr>
                    <w:pStyle w:val="35"/>
                  </w:pPr>
                  <w:r>
                    <w:t>√</w:t>
                  </w:r>
                </w:p>
              </w:tc>
              <w:tc>
                <w:tcPr>
                  <w:tcW w:w="479" w:type="pct"/>
                  <w:vAlign w:val="center"/>
                </w:tcPr>
                <w:p>
                  <w:pPr>
                    <w:pStyle w:val="35"/>
                  </w:pPr>
                  <w:r>
                    <w:t>/</w:t>
                  </w:r>
                </w:p>
              </w:tc>
              <w:tc>
                <w:tcPr>
                  <w:tcW w:w="508"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pStyle w:val="35"/>
                    <w:rPr>
                      <w:rFonts w:hint="eastAsia" w:eastAsia="宋体"/>
                      <w:lang w:val="en-US" w:eastAsia="zh-CN"/>
                    </w:rPr>
                  </w:pPr>
                  <w:r>
                    <w:rPr>
                      <w:rFonts w:hint="eastAsia"/>
                      <w:lang w:val="en-US" w:eastAsia="zh-CN"/>
                    </w:rPr>
                    <w:t>7</w:t>
                  </w:r>
                </w:p>
              </w:tc>
              <w:tc>
                <w:tcPr>
                  <w:tcW w:w="860" w:type="pct"/>
                  <w:vAlign w:val="center"/>
                </w:tcPr>
                <w:p>
                  <w:pPr>
                    <w:pStyle w:val="35"/>
                    <w:rPr>
                      <w:rFonts w:hint="eastAsia" w:eastAsia="宋体"/>
                      <w:lang w:eastAsia="zh-CN"/>
                    </w:rPr>
                  </w:pPr>
                  <w:r>
                    <w:rPr>
                      <w:rFonts w:hint="eastAsia"/>
                      <w:lang w:eastAsia="zh-CN"/>
                    </w:rPr>
                    <w:t>生活垃圾</w:t>
                  </w:r>
                </w:p>
              </w:tc>
              <w:tc>
                <w:tcPr>
                  <w:tcW w:w="625" w:type="pct"/>
                  <w:vAlign w:val="center"/>
                </w:tcPr>
                <w:p>
                  <w:pPr>
                    <w:pStyle w:val="35"/>
                    <w:rPr>
                      <w:rFonts w:hint="eastAsia" w:eastAsia="宋体"/>
                      <w:lang w:eastAsia="zh-CN"/>
                    </w:rPr>
                  </w:pPr>
                  <w:r>
                    <w:rPr>
                      <w:rFonts w:hint="eastAsia"/>
                      <w:lang w:eastAsia="zh-CN"/>
                    </w:rPr>
                    <w:t>员工日常</w:t>
                  </w:r>
                </w:p>
              </w:tc>
              <w:tc>
                <w:tcPr>
                  <w:tcW w:w="465" w:type="pct"/>
                  <w:vAlign w:val="center"/>
                </w:tcPr>
                <w:p>
                  <w:pPr>
                    <w:pStyle w:val="35"/>
                    <w:rPr>
                      <w:rFonts w:hint="eastAsia" w:eastAsia="宋体"/>
                      <w:lang w:eastAsia="zh-CN"/>
                    </w:rPr>
                  </w:pPr>
                  <w:r>
                    <w:rPr>
                      <w:rFonts w:hint="eastAsia"/>
                      <w:lang w:eastAsia="zh-CN"/>
                    </w:rPr>
                    <w:t>固态</w:t>
                  </w:r>
                </w:p>
              </w:tc>
              <w:tc>
                <w:tcPr>
                  <w:tcW w:w="609" w:type="pct"/>
                  <w:vAlign w:val="center"/>
                </w:tcPr>
                <w:p>
                  <w:pPr>
                    <w:pStyle w:val="35"/>
                    <w:rPr>
                      <w:rFonts w:hint="eastAsia" w:eastAsia="宋体"/>
                      <w:lang w:val="en-US" w:eastAsia="zh-CN"/>
                    </w:rPr>
                  </w:pPr>
                  <w:r>
                    <w:rPr>
                      <w:rFonts w:hint="eastAsia"/>
                      <w:lang w:val="en-US" w:eastAsia="zh-CN"/>
                    </w:rPr>
                    <w:t>/</w:t>
                  </w:r>
                </w:p>
              </w:tc>
              <w:tc>
                <w:tcPr>
                  <w:tcW w:w="598" w:type="pct"/>
                  <w:vAlign w:val="center"/>
                </w:tcPr>
                <w:p>
                  <w:pPr>
                    <w:pStyle w:val="35"/>
                    <w:rPr>
                      <w:rFonts w:hint="default" w:eastAsia="宋体"/>
                      <w:lang w:val="en-US" w:eastAsia="zh-CN"/>
                    </w:rPr>
                  </w:pPr>
                  <w:r>
                    <w:rPr>
                      <w:rFonts w:hint="eastAsia"/>
                      <w:lang w:val="en-US" w:eastAsia="zh-CN"/>
                    </w:rPr>
                    <w:t>5.625</w:t>
                  </w:r>
                </w:p>
              </w:tc>
              <w:tc>
                <w:tcPr>
                  <w:tcW w:w="539" w:type="pct"/>
                  <w:vAlign w:val="center"/>
                </w:tcPr>
                <w:p>
                  <w:pPr>
                    <w:pStyle w:val="35"/>
                  </w:pPr>
                  <w:r>
                    <w:t>√</w:t>
                  </w:r>
                </w:p>
              </w:tc>
              <w:tc>
                <w:tcPr>
                  <w:tcW w:w="479" w:type="pct"/>
                  <w:vAlign w:val="center"/>
                </w:tcPr>
                <w:p>
                  <w:pPr>
                    <w:pStyle w:val="35"/>
                  </w:pPr>
                  <w:r>
                    <w:t>/</w:t>
                  </w:r>
                </w:p>
              </w:tc>
              <w:tc>
                <w:tcPr>
                  <w:tcW w:w="508" w:type="pct"/>
                  <w:vMerge w:val="continue"/>
                  <w:vAlign w:val="center"/>
                </w:tcPr>
                <w:p>
                  <w:pPr>
                    <w:pStyle w:val="35"/>
                  </w:pPr>
                </w:p>
              </w:tc>
            </w:tr>
          </w:tbl>
          <w:p>
            <w:pPr>
              <w:pStyle w:val="29"/>
              <w:ind w:firstLine="480"/>
            </w:pPr>
            <w:r>
              <w:rPr>
                <w:rFonts w:hint="eastAsia"/>
              </w:rPr>
              <w:t>根据《国家危险废物名录》（</w:t>
            </w:r>
            <w:r>
              <w:t>2021</w:t>
            </w:r>
            <w:r>
              <w:rPr>
                <w:rFonts w:hint="eastAsia"/>
              </w:rPr>
              <w:t>年）以及危险废物鉴别标准，判定本项目产生的固废是否属于危险废物。具体判定结果见表</w:t>
            </w:r>
            <w:r>
              <w:t>4-20</w:t>
            </w:r>
            <w:r>
              <w:rPr>
                <w:rFonts w:hint="eastAsia"/>
              </w:rPr>
              <w:t>。</w:t>
            </w:r>
          </w:p>
          <w:p>
            <w:pPr>
              <w:pStyle w:val="12"/>
            </w:pPr>
            <w:r>
              <w:rPr>
                <w:rFonts w:hint="eastAsia"/>
              </w:rPr>
              <w:t>表</w:t>
            </w:r>
            <w:r>
              <w:t xml:space="preserve">4-20   </w:t>
            </w:r>
            <w:r>
              <w:rPr>
                <w:rFonts w:hint="eastAsia"/>
              </w:rPr>
              <w:t>营运期固体废物分析结果汇总表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9"/>
              <w:gridCol w:w="1196"/>
              <w:gridCol w:w="887"/>
              <w:gridCol w:w="788"/>
              <w:gridCol w:w="493"/>
              <w:gridCol w:w="984"/>
              <w:gridCol w:w="492"/>
              <w:gridCol w:w="493"/>
              <w:gridCol w:w="788"/>
              <w:gridCol w:w="492"/>
              <w:gridCol w:w="701"/>
              <w:gridCol w:w="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pPr>
                  <w:r>
                    <w:rPr>
                      <w:rFonts w:hint="eastAsia"/>
                    </w:rPr>
                    <w:t>序号</w:t>
                  </w:r>
                </w:p>
              </w:tc>
              <w:tc>
                <w:tcPr>
                  <w:tcW w:w="727" w:type="pct"/>
                  <w:vAlign w:val="center"/>
                </w:tcPr>
                <w:p>
                  <w:pPr>
                    <w:pStyle w:val="35"/>
                  </w:pPr>
                  <w:r>
                    <w:rPr>
                      <w:rFonts w:hint="eastAsia"/>
                    </w:rPr>
                    <w:t>固废名称</w:t>
                  </w:r>
                </w:p>
              </w:tc>
              <w:tc>
                <w:tcPr>
                  <w:tcW w:w="539" w:type="pct"/>
                  <w:vAlign w:val="center"/>
                </w:tcPr>
                <w:p>
                  <w:pPr>
                    <w:pStyle w:val="35"/>
                  </w:pPr>
                  <w:r>
                    <w:rPr>
                      <w:rFonts w:hint="eastAsia"/>
                    </w:rPr>
                    <w:t>属性</w:t>
                  </w:r>
                </w:p>
              </w:tc>
              <w:tc>
                <w:tcPr>
                  <w:tcW w:w="479" w:type="pct"/>
                  <w:tcMar>
                    <w:top w:w="0" w:type="dxa"/>
                    <w:left w:w="28" w:type="dxa"/>
                    <w:bottom w:w="0" w:type="dxa"/>
                    <w:right w:w="28" w:type="dxa"/>
                  </w:tcMar>
                  <w:vAlign w:val="center"/>
                </w:tcPr>
                <w:p>
                  <w:pPr>
                    <w:pStyle w:val="35"/>
                  </w:pPr>
                  <w:r>
                    <w:rPr>
                      <w:rFonts w:hint="eastAsia"/>
                    </w:rPr>
                    <w:t>产生工序</w:t>
                  </w:r>
                </w:p>
              </w:tc>
              <w:tc>
                <w:tcPr>
                  <w:tcW w:w="299" w:type="pct"/>
                  <w:vAlign w:val="center"/>
                </w:tcPr>
                <w:p>
                  <w:pPr>
                    <w:pStyle w:val="35"/>
                  </w:pPr>
                  <w:r>
                    <w:rPr>
                      <w:rFonts w:hint="eastAsia"/>
                    </w:rPr>
                    <w:t>形态</w:t>
                  </w:r>
                </w:p>
              </w:tc>
              <w:tc>
                <w:tcPr>
                  <w:tcW w:w="598" w:type="pct"/>
                  <w:vAlign w:val="center"/>
                </w:tcPr>
                <w:p>
                  <w:pPr>
                    <w:pStyle w:val="35"/>
                  </w:pPr>
                  <w:r>
                    <w:rPr>
                      <w:rFonts w:hint="eastAsia"/>
                    </w:rPr>
                    <w:t>危险特性</w:t>
                  </w:r>
                </w:p>
                <w:p>
                  <w:pPr>
                    <w:pStyle w:val="35"/>
                  </w:pPr>
                  <w:r>
                    <w:rPr>
                      <w:rFonts w:hint="eastAsia"/>
                    </w:rPr>
                    <w:t>鉴别方法</w:t>
                  </w:r>
                </w:p>
              </w:tc>
              <w:tc>
                <w:tcPr>
                  <w:tcW w:w="299" w:type="pct"/>
                  <w:vAlign w:val="center"/>
                </w:tcPr>
                <w:p>
                  <w:pPr>
                    <w:pStyle w:val="35"/>
                  </w:pPr>
                  <w:r>
                    <w:rPr>
                      <w:rFonts w:hint="eastAsia"/>
                    </w:rPr>
                    <w:t>危险</w:t>
                  </w:r>
                </w:p>
                <w:p>
                  <w:pPr>
                    <w:pStyle w:val="35"/>
                  </w:pPr>
                  <w:r>
                    <w:rPr>
                      <w:rFonts w:hint="eastAsia"/>
                    </w:rPr>
                    <w:t>特性</w:t>
                  </w:r>
                </w:p>
              </w:tc>
              <w:tc>
                <w:tcPr>
                  <w:tcW w:w="299" w:type="pct"/>
                  <w:vAlign w:val="center"/>
                </w:tcPr>
                <w:p>
                  <w:pPr>
                    <w:pStyle w:val="35"/>
                  </w:pPr>
                  <w:r>
                    <w:rPr>
                      <w:rFonts w:hint="eastAsia"/>
                    </w:rPr>
                    <w:t>废物</w:t>
                  </w:r>
                </w:p>
                <w:p>
                  <w:pPr>
                    <w:pStyle w:val="35"/>
                  </w:pPr>
                  <w:r>
                    <w:rPr>
                      <w:rFonts w:hint="eastAsia"/>
                    </w:rPr>
                    <w:t>类别</w:t>
                  </w:r>
                </w:p>
              </w:tc>
              <w:tc>
                <w:tcPr>
                  <w:tcW w:w="479" w:type="pct"/>
                  <w:vAlign w:val="center"/>
                </w:tcPr>
                <w:p>
                  <w:pPr>
                    <w:pStyle w:val="35"/>
                  </w:pPr>
                  <w:r>
                    <w:rPr>
                      <w:rFonts w:hint="eastAsia"/>
                    </w:rPr>
                    <w:t>废物</w:t>
                  </w:r>
                </w:p>
                <w:p>
                  <w:pPr>
                    <w:pStyle w:val="35"/>
                  </w:pPr>
                  <w:r>
                    <w:rPr>
                      <w:rFonts w:hint="eastAsia"/>
                    </w:rPr>
                    <w:t>代码</w:t>
                  </w:r>
                </w:p>
              </w:tc>
              <w:tc>
                <w:tcPr>
                  <w:tcW w:w="299" w:type="pct"/>
                  <w:vAlign w:val="center"/>
                </w:tcPr>
                <w:p>
                  <w:pPr>
                    <w:pStyle w:val="35"/>
                  </w:pPr>
                  <w:r>
                    <w:rPr>
                      <w:rFonts w:hint="eastAsia"/>
                    </w:rPr>
                    <w:t>产生量</w:t>
                  </w:r>
                </w:p>
                <w:p>
                  <w:pPr>
                    <w:pStyle w:val="35"/>
                  </w:pPr>
                  <w:r>
                    <w:rPr>
                      <w:rFonts w:hint="eastAsia"/>
                    </w:rPr>
                    <w:t>（</w:t>
                  </w:r>
                  <w:r>
                    <w:t>t/a</w:t>
                  </w:r>
                  <w:r>
                    <w:rPr>
                      <w:rFonts w:hint="eastAsia"/>
                    </w:rPr>
                    <w:t>）</w:t>
                  </w:r>
                </w:p>
              </w:tc>
              <w:tc>
                <w:tcPr>
                  <w:tcW w:w="426" w:type="pct"/>
                  <w:vAlign w:val="center"/>
                </w:tcPr>
                <w:p>
                  <w:pPr>
                    <w:pStyle w:val="35"/>
                  </w:pPr>
                  <w:r>
                    <w:rPr>
                      <w:rFonts w:hint="eastAsia"/>
                    </w:rPr>
                    <w:t>处置利用方式</w:t>
                  </w:r>
                </w:p>
              </w:tc>
              <w:tc>
                <w:tcPr>
                  <w:tcW w:w="322" w:type="pct"/>
                  <w:vAlign w:val="center"/>
                </w:tcPr>
                <w:p>
                  <w:pPr>
                    <w:pStyle w:val="35"/>
                  </w:pPr>
                  <w:r>
                    <w:rPr>
                      <w:rFonts w:hint="eastAsia"/>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kern w:val="0"/>
                    </w:rPr>
                    <w:t>1</w:t>
                  </w:r>
                </w:p>
              </w:tc>
              <w:tc>
                <w:tcPr>
                  <w:tcW w:w="727"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废包装材料</w:t>
                  </w:r>
                </w:p>
              </w:tc>
              <w:tc>
                <w:tcPr>
                  <w:tcW w:w="539" w:type="pct"/>
                  <w:vMerge w:val="restart"/>
                  <w:vAlign w:val="center"/>
                </w:tcPr>
                <w:p>
                  <w:pPr>
                    <w:pStyle w:val="35"/>
                  </w:pPr>
                  <w:r>
                    <w:rPr>
                      <w:rFonts w:hint="eastAsia"/>
                    </w:rPr>
                    <w:t>一般废物</w:t>
                  </w:r>
                </w:p>
              </w:tc>
              <w:tc>
                <w:tcPr>
                  <w:tcW w:w="479" w:type="pct"/>
                  <w:tcMar>
                    <w:top w:w="0" w:type="dxa"/>
                    <w:left w:w="28" w:type="dxa"/>
                    <w:bottom w:w="0" w:type="dxa"/>
                    <w:right w:w="28" w:type="dxa"/>
                  </w:tcMar>
                  <w:vAlign w:val="center"/>
                </w:tcPr>
                <w:p>
                  <w:pPr>
                    <w:pStyle w:val="35"/>
                    <w:rPr>
                      <w:kern w:val="0"/>
                    </w:rPr>
                  </w:pPr>
                  <w:r>
                    <w:rPr>
                      <w:rFonts w:hint="eastAsia"/>
                      <w:lang w:eastAsia="zh-CN"/>
                    </w:rPr>
                    <w:t>组装</w:t>
                  </w:r>
                </w:p>
              </w:tc>
              <w:tc>
                <w:tcPr>
                  <w:tcW w:w="299" w:type="pct"/>
                  <w:vAlign w:val="center"/>
                </w:tcPr>
                <w:p>
                  <w:pPr>
                    <w:pStyle w:val="35"/>
                    <w:rPr>
                      <w:kern w:val="0"/>
                    </w:rPr>
                  </w:pPr>
                  <w:r>
                    <w:rPr>
                      <w:rFonts w:hint="eastAsia"/>
                      <w:kern w:val="0"/>
                    </w:rPr>
                    <w:t>固态</w:t>
                  </w:r>
                </w:p>
              </w:tc>
              <w:tc>
                <w:tcPr>
                  <w:tcW w:w="598" w:type="pct"/>
                  <w:vMerge w:val="restart"/>
                  <w:vAlign w:val="center"/>
                </w:tcPr>
                <w:p>
                  <w:pPr>
                    <w:pStyle w:val="35"/>
                  </w:pPr>
                  <w:r>
                    <w:rPr>
                      <w:rFonts w:hint="eastAsia"/>
                    </w:rPr>
                    <w:t>《国家危险废物名录》</w:t>
                  </w:r>
                </w:p>
                <w:p>
                  <w:pPr>
                    <w:pStyle w:val="35"/>
                    <w:rPr>
                      <w:rFonts w:ascii="Times New Roman" w:hAnsi="Times New Roman" w:eastAsia="宋体" w:cs="Times New Roman"/>
                      <w:kern w:val="2"/>
                      <w:sz w:val="21"/>
                      <w:szCs w:val="24"/>
                      <w:lang w:val="en-US" w:eastAsia="zh-CN" w:bidi="ar-SA"/>
                    </w:rPr>
                  </w:pPr>
                  <w:r>
                    <w:rPr>
                      <w:rFonts w:hint="eastAsia"/>
                    </w:rPr>
                    <w:t>（</w:t>
                  </w:r>
                  <w:r>
                    <w:t>2021</w:t>
                  </w:r>
                  <w:r>
                    <w:rPr>
                      <w:rFonts w:hint="eastAsia"/>
                    </w:rPr>
                    <w:t>年）</w:t>
                  </w:r>
                </w:p>
                <w:p>
                  <w:pPr>
                    <w:pStyle w:val="35"/>
                  </w:pPr>
                </w:p>
              </w:tc>
              <w:tc>
                <w:tcPr>
                  <w:tcW w:w="299" w:type="pct"/>
                  <w:vAlign w:val="center"/>
                </w:tcPr>
                <w:p>
                  <w:pPr>
                    <w:pStyle w:val="35"/>
                    <w:rPr>
                      <w:kern w:val="0"/>
                      <w:sz w:val="18"/>
                      <w:szCs w:val="18"/>
                    </w:rPr>
                  </w:pPr>
                  <w:r>
                    <w:rPr>
                      <w:kern w:val="0"/>
                    </w:rPr>
                    <w:t>—</w:t>
                  </w:r>
                </w:p>
              </w:tc>
              <w:tc>
                <w:tcPr>
                  <w:tcW w:w="299" w:type="pct"/>
                  <w:vAlign w:val="center"/>
                </w:tcPr>
                <w:p>
                  <w:pPr>
                    <w:pStyle w:val="35"/>
                    <w:rPr>
                      <w:kern w:val="0"/>
                      <w:sz w:val="18"/>
                      <w:szCs w:val="18"/>
                    </w:rPr>
                  </w:pPr>
                  <w:r>
                    <w:rPr>
                      <w:bCs/>
                    </w:rPr>
                    <w:t>99</w:t>
                  </w:r>
                </w:p>
              </w:tc>
              <w:tc>
                <w:tcPr>
                  <w:tcW w:w="479" w:type="pct"/>
                  <w:vAlign w:val="center"/>
                </w:tcPr>
                <w:p>
                  <w:pPr>
                    <w:pStyle w:val="35"/>
                    <w:rPr>
                      <w:kern w:val="0"/>
                      <w:sz w:val="18"/>
                      <w:szCs w:val="18"/>
                    </w:rPr>
                  </w:pPr>
                  <w:r>
                    <w:t>900-999-99</w:t>
                  </w:r>
                </w:p>
              </w:tc>
              <w:tc>
                <w:tcPr>
                  <w:tcW w:w="299" w:type="pct"/>
                  <w:vAlign w:val="center"/>
                </w:tcPr>
                <w:p>
                  <w:pPr>
                    <w:pStyle w:val="35"/>
                    <w:rPr>
                      <w:rFonts w:hint="eastAsia" w:eastAsia="宋体"/>
                      <w:kern w:val="0"/>
                      <w:lang w:val="en-US" w:eastAsia="zh-CN"/>
                    </w:rPr>
                  </w:pPr>
                  <w:r>
                    <w:t>0.</w:t>
                  </w:r>
                  <w:r>
                    <w:rPr>
                      <w:rFonts w:hint="eastAsia"/>
                      <w:lang w:val="en-US" w:eastAsia="zh-CN"/>
                    </w:rPr>
                    <w:t>5</w:t>
                  </w:r>
                </w:p>
              </w:tc>
              <w:tc>
                <w:tcPr>
                  <w:tcW w:w="426" w:type="pct"/>
                  <w:vAlign w:val="center"/>
                </w:tcPr>
                <w:p>
                  <w:pPr>
                    <w:pStyle w:val="35"/>
                    <w:rPr>
                      <w:kern w:val="0"/>
                    </w:rPr>
                  </w:pPr>
                  <w:r>
                    <w:rPr>
                      <w:kern w:val="0"/>
                    </w:rPr>
                    <w:t>/</w:t>
                  </w:r>
                </w:p>
              </w:tc>
              <w:tc>
                <w:tcPr>
                  <w:tcW w:w="322" w:type="pct"/>
                  <w:vMerge w:val="restart"/>
                  <w:vAlign w:val="center"/>
                </w:tcPr>
                <w:p>
                  <w:pPr>
                    <w:pStyle w:val="35"/>
                    <w:rPr>
                      <w:kern w:val="0"/>
                    </w:rPr>
                  </w:pPr>
                  <w:r>
                    <w:rPr>
                      <w:rFonts w:hint="eastAsia"/>
                      <w:kern w:val="0"/>
                    </w:rPr>
                    <w:t>委外处理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kern w:val="0"/>
                    </w:rPr>
                    <w:t>2</w:t>
                  </w:r>
                </w:p>
              </w:tc>
              <w:tc>
                <w:tcPr>
                  <w:tcW w:w="727"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焊</w:t>
                  </w:r>
                  <w:r>
                    <w:rPr>
                      <w:rFonts w:hint="eastAsia"/>
                    </w:rPr>
                    <w:t>渣</w:t>
                  </w:r>
                </w:p>
              </w:tc>
              <w:tc>
                <w:tcPr>
                  <w:tcW w:w="539" w:type="pct"/>
                  <w:vMerge w:val="continue"/>
                  <w:vAlign w:val="center"/>
                </w:tcPr>
                <w:p>
                  <w:pPr>
                    <w:pStyle w:val="35"/>
                  </w:pPr>
                </w:p>
              </w:tc>
              <w:tc>
                <w:tcPr>
                  <w:tcW w:w="479" w:type="pct"/>
                  <w:tcMar>
                    <w:top w:w="0" w:type="dxa"/>
                    <w:left w:w="28" w:type="dxa"/>
                    <w:bottom w:w="0" w:type="dxa"/>
                    <w:right w:w="28" w:type="dxa"/>
                  </w:tcMar>
                  <w:vAlign w:val="center"/>
                </w:tcPr>
                <w:p>
                  <w:pPr>
                    <w:pStyle w:val="35"/>
                  </w:pPr>
                  <w:r>
                    <w:rPr>
                      <w:rFonts w:hint="eastAsia"/>
                      <w:lang w:eastAsia="zh-CN"/>
                    </w:rPr>
                    <w:t>焊接</w:t>
                  </w:r>
                </w:p>
              </w:tc>
              <w:tc>
                <w:tcPr>
                  <w:tcW w:w="299" w:type="pct"/>
                  <w:vAlign w:val="center"/>
                </w:tcPr>
                <w:p>
                  <w:pPr>
                    <w:pStyle w:val="35"/>
                    <w:rPr>
                      <w:kern w:val="0"/>
                    </w:rPr>
                  </w:pPr>
                  <w:r>
                    <w:rPr>
                      <w:rFonts w:hint="eastAsia"/>
                      <w:kern w:val="0"/>
                    </w:rPr>
                    <w:t>固态</w:t>
                  </w:r>
                </w:p>
              </w:tc>
              <w:tc>
                <w:tcPr>
                  <w:tcW w:w="598" w:type="pct"/>
                  <w:vMerge w:val="continue"/>
                  <w:vAlign w:val="center"/>
                </w:tcPr>
                <w:p>
                  <w:pPr>
                    <w:pStyle w:val="35"/>
                  </w:pPr>
                </w:p>
              </w:tc>
              <w:tc>
                <w:tcPr>
                  <w:tcW w:w="299" w:type="pct"/>
                  <w:vAlign w:val="center"/>
                </w:tcPr>
                <w:p>
                  <w:pPr>
                    <w:pStyle w:val="35"/>
                    <w:rPr>
                      <w:kern w:val="0"/>
                    </w:rPr>
                  </w:pPr>
                  <w:r>
                    <w:rPr>
                      <w:kern w:val="0"/>
                    </w:rPr>
                    <w:t>—</w:t>
                  </w:r>
                </w:p>
              </w:tc>
              <w:tc>
                <w:tcPr>
                  <w:tcW w:w="299" w:type="pct"/>
                  <w:vAlign w:val="center"/>
                </w:tcPr>
                <w:p>
                  <w:pPr>
                    <w:pStyle w:val="35"/>
                    <w:rPr>
                      <w:bCs/>
                    </w:rPr>
                  </w:pPr>
                  <w:r>
                    <w:rPr>
                      <w:bCs/>
                    </w:rPr>
                    <w:t>99</w:t>
                  </w:r>
                </w:p>
              </w:tc>
              <w:tc>
                <w:tcPr>
                  <w:tcW w:w="479" w:type="pct"/>
                  <w:vAlign w:val="center"/>
                </w:tcPr>
                <w:p>
                  <w:pPr>
                    <w:pStyle w:val="35"/>
                  </w:pPr>
                  <w:r>
                    <w:t>900-999-99</w:t>
                  </w:r>
                </w:p>
              </w:tc>
              <w:tc>
                <w:tcPr>
                  <w:tcW w:w="299" w:type="pct"/>
                  <w:vAlign w:val="center"/>
                </w:tcPr>
                <w:p>
                  <w:pPr>
                    <w:pStyle w:val="35"/>
                    <w:rPr>
                      <w:rFonts w:hint="eastAsia" w:eastAsia="宋体"/>
                      <w:kern w:val="0"/>
                      <w:lang w:val="en-US" w:eastAsia="zh-CN"/>
                    </w:rPr>
                  </w:pPr>
                  <w:r>
                    <w:rPr>
                      <w:rFonts w:hint="eastAsia"/>
                    </w:rPr>
                    <w:t>0</w:t>
                  </w:r>
                  <w:r>
                    <w:t>.0</w:t>
                  </w:r>
                  <w:r>
                    <w:rPr>
                      <w:rFonts w:hint="eastAsia"/>
                      <w:lang w:val="en-US" w:eastAsia="zh-CN"/>
                    </w:rPr>
                    <w:t>1</w:t>
                  </w:r>
                </w:p>
              </w:tc>
              <w:tc>
                <w:tcPr>
                  <w:tcW w:w="426" w:type="pct"/>
                  <w:vAlign w:val="center"/>
                </w:tcPr>
                <w:p>
                  <w:pPr>
                    <w:pStyle w:val="35"/>
                    <w:rPr>
                      <w:kern w:val="0"/>
                    </w:rPr>
                  </w:pPr>
                  <w:r>
                    <w:rPr>
                      <w:kern w:val="0"/>
                    </w:rPr>
                    <w:t>/</w:t>
                  </w:r>
                </w:p>
              </w:tc>
              <w:tc>
                <w:tcPr>
                  <w:tcW w:w="322" w:type="pct"/>
                  <w:vMerge w:val="continue"/>
                  <w:vAlign w:val="center"/>
                </w:tcPr>
                <w:p>
                  <w:pPr>
                    <w:pStyle w:val="35"/>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kern w:val="0"/>
                    </w:rPr>
                    <w:t>3</w:t>
                  </w:r>
                </w:p>
              </w:tc>
              <w:tc>
                <w:tcPr>
                  <w:tcW w:w="727" w:type="pct"/>
                  <w:vAlign w:val="center"/>
                </w:tcPr>
                <w:p>
                  <w:pPr>
                    <w:pStyle w:val="35"/>
                    <w:rPr>
                      <w:rFonts w:ascii="Times New Roman" w:hAnsi="Times New Roman" w:eastAsia="宋体" w:cs="Times New Roman"/>
                      <w:kern w:val="2"/>
                      <w:sz w:val="21"/>
                      <w:szCs w:val="24"/>
                      <w:lang w:val="en-US" w:eastAsia="zh-CN" w:bidi="ar-SA"/>
                    </w:rPr>
                  </w:pPr>
                  <w:r>
                    <w:rPr>
                      <w:rFonts w:hint="eastAsia"/>
                    </w:rPr>
                    <w:t>不合格品</w:t>
                  </w:r>
                </w:p>
              </w:tc>
              <w:tc>
                <w:tcPr>
                  <w:tcW w:w="539" w:type="pct"/>
                  <w:vMerge w:val="continue"/>
                  <w:vAlign w:val="center"/>
                </w:tcPr>
                <w:p>
                  <w:pPr>
                    <w:pStyle w:val="35"/>
                  </w:pPr>
                </w:p>
              </w:tc>
              <w:tc>
                <w:tcPr>
                  <w:tcW w:w="479" w:type="pct"/>
                  <w:tcMar>
                    <w:top w:w="0" w:type="dxa"/>
                    <w:left w:w="28" w:type="dxa"/>
                    <w:bottom w:w="0" w:type="dxa"/>
                    <w:right w:w="28" w:type="dxa"/>
                  </w:tcMar>
                  <w:vAlign w:val="center"/>
                </w:tcPr>
                <w:p>
                  <w:pPr>
                    <w:pStyle w:val="35"/>
                    <w:rPr>
                      <w:kern w:val="0"/>
                    </w:rPr>
                  </w:pPr>
                  <w:r>
                    <w:rPr>
                      <w:rFonts w:hint="eastAsia"/>
                    </w:rPr>
                    <w:t>检验</w:t>
                  </w:r>
                </w:p>
              </w:tc>
              <w:tc>
                <w:tcPr>
                  <w:tcW w:w="299" w:type="pct"/>
                  <w:vAlign w:val="center"/>
                </w:tcPr>
                <w:p>
                  <w:pPr>
                    <w:pStyle w:val="35"/>
                    <w:rPr>
                      <w:kern w:val="0"/>
                    </w:rPr>
                  </w:pPr>
                  <w:r>
                    <w:rPr>
                      <w:rFonts w:hint="eastAsia"/>
                      <w:kern w:val="0"/>
                    </w:rPr>
                    <w:t>固态</w:t>
                  </w:r>
                </w:p>
              </w:tc>
              <w:tc>
                <w:tcPr>
                  <w:tcW w:w="598" w:type="pct"/>
                  <w:vMerge w:val="continue"/>
                  <w:vAlign w:val="center"/>
                </w:tcPr>
                <w:p>
                  <w:pPr>
                    <w:pStyle w:val="35"/>
                  </w:pPr>
                </w:p>
              </w:tc>
              <w:tc>
                <w:tcPr>
                  <w:tcW w:w="299" w:type="pct"/>
                  <w:vAlign w:val="center"/>
                </w:tcPr>
                <w:p>
                  <w:pPr>
                    <w:pStyle w:val="35"/>
                    <w:rPr>
                      <w:kern w:val="0"/>
                      <w:sz w:val="18"/>
                      <w:szCs w:val="18"/>
                    </w:rPr>
                  </w:pPr>
                  <w:r>
                    <w:rPr>
                      <w:kern w:val="0"/>
                    </w:rPr>
                    <w:t>—</w:t>
                  </w:r>
                </w:p>
              </w:tc>
              <w:tc>
                <w:tcPr>
                  <w:tcW w:w="299" w:type="pct"/>
                  <w:vAlign w:val="center"/>
                </w:tcPr>
                <w:p>
                  <w:pPr>
                    <w:pStyle w:val="35"/>
                    <w:rPr>
                      <w:kern w:val="0"/>
                      <w:sz w:val="18"/>
                      <w:szCs w:val="18"/>
                    </w:rPr>
                  </w:pPr>
                  <w:r>
                    <w:rPr>
                      <w:bCs/>
                    </w:rPr>
                    <w:t>99</w:t>
                  </w:r>
                </w:p>
              </w:tc>
              <w:tc>
                <w:tcPr>
                  <w:tcW w:w="479" w:type="pct"/>
                  <w:vAlign w:val="center"/>
                </w:tcPr>
                <w:p>
                  <w:pPr>
                    <w:pStyle w:val="35"/>
                    <w:rPr>
                      <w:kern w:val="0"/>
                      <w:sz w:val="18"/>
                      <w:szCs w:val="18"/>
                    </w:rPr>
                  </w:pPr>
                  <w:r>
                    <w:t>900-999-99</w:t>
                  </w:r>
                </w:p>
              </w:tc>
              <w:tc>
                <w:tcPr>
                  <w:tcW w:w="299" w:type="pct"/>
                  <w:vAlign w:val="center"/>
                </w:tcPr>
                <w:p>
                  <w:pPr>
                    <w:pStyle w:val="35"/>
                    <w:rPr>
                      <w:rFonts w:hint="eastAsia" w:eastAsia="宋体"/>
                      <w:kern w:val="0"/>
                      <w:lang w:val="en-US" w:eastAsia="zh-CN"/>
                    </w:rPr>
                  </w:pPr>
                  <w:r>
                    <w:rPr>
                      <w:rFonts w:hint="eastAsia"/>
                      <w:kern w:val="0"/>
                      <w:lang w:val="en-US" w:eastAsia="zh-CN"/>
                    </w:rPr>
                    <w:t>1</w:t>
                  </w:r>
                </w:p>
              </w:tc>
              <w:tc>
                <w:tcPr>
                  <w:tcW w:w="426" w:type="pct"/>
                  <w:vAlign w:val="center"/>
                </w:tcPr>
                <w:p>
                  <w:pPr>
                    <w:pStyle w:val="35"/>
                    <w:rPr>
                      <w:kern w:val="0"/>
                    </w:rPr>
                  </w:pPr>
                  <w:r>
                    <w:rPr>
                      <w:kern w:val="0"/>
                    </w:rPr>
                    <w:t>/</w:t>
                  </w:r>
                </w:p>
              </w:tc>
              <w:tc>
                <w:tcPr>
                  <w:tcW w:w="322" w:type="pct"/>
                  <w:vMerge w:val="restart"/>
                  <w:vAlign w:val="center"/>
                </w:tcPr>
                <w:p>
                  <w:pPr>
                    <w:pStyle w:val="35"/>
                    <w:rPr>
                      <w:kern w:val="0"/>
                    </w:rPr>
                  </w:pPr>
                  <w:r>
                    <w:rPr>
                      <w:rFonts w:hint="eastAsia"/>
                      <w:kern w:val="0"/>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kern w:val="0"/>
                    </w:rPr>
                    <w:t>4</w:t>
                  </w:r>
                </w:p>
              </w:tc>
              <w:tc>
                <w:tcPr>
                  <w:tcW w:w="727"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清洗废液</w:t>
                  </w:r>
                </w:p>
              </w:tc>
              <w:tc>
                <w:tcPr>
                  <w:tcW w:w="539" w:type="pct"/>
                  <w:vMerge w:val="restart"/>
                  <w:vAlign w:val="center"/>
                </w:tcPr>
                <w:p>
                  <w:pPr>
                    <w:pStyle w:val="35"/>
                    <w:rPr>
                      <w:rFonts w:ascii="Times New Roman" w:hAnsi="Times New Roman" w:eastAsia="宋体" w:cs="Times New Roman"/>
                      <w:kern w:val="2"/>
                      <w:sz w:val="21"/>
                      <w:szCs w:val="24"/>
                      <w:lang w:val="en-US" w:eastAsia="zh-CN" w:bidi="ar-SA"/>
                    </w:rPr>
                  </w:pPr>
                  <w:r>
                    <w:rPr>
                      <w:rFonts w:hint="eastAsia"/>
                    </w:rPr>
                    <w:t>危险废物</w:t>
                  </w:r>
                </w:p>
              </w:tc>
              <w:tc>
                <w:tcPr>
                  <w:tcW w:w="479" w:type="pct"/>
                  <w:tcMar>
                    <w:top w:w="0" w:type="dxa"/>
                    <w:left w:w="28" w:type="dxa"/>
                    <w:bottom w:w="0" w:type="dxa"/>
                    <w:right w:w="28" w:type="dxa"/>
                  </w:tcMar>
                  <w:vAlign w:val="center"/>
                </w:tcPr>
                <w:p>
                  <w:pPr>
                    <w:pStyle w:val="35"/>
                    <w:rPr>
                      <w:rFonts w:ascii="Times New Roman" w:hAnsi="Times New Roman" w:eastAsia="宋体" w:cs="Times New Roman"/>
                      <w:kern w:val="0"/>
                      <w:sz w:val="21"/>
                      <w:szCs w:val="24"/>
                      <w:lang w:val="en-US" w:eastAsia="zh-CN" w:bidi="ar-SA"/>
                    </w:rPr>
                  </w:pPr>
                  <w:r>
                    <w:rPr>
                      <w:rFonts w:hint="eastAsia"/>
                    </w:rPr>
                    <w:t>清洗</w:t>
                  </w:r>
                </w:p>
              </w:tc>
              <w:tc>
                <w:tcPr>
                  <w:tcW w:w="299"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液态</w:t>
                  </w:r>
                </w:p>
              </w:tc>
              <w:tc>
                <w:tcPr>
                  <w:tcW w:w="598" w:type="pct"/>
                  <w:vMerge w:val="continue"/>
                  <w:vAlign w:val="center"/>
                </w:tcPr>
                <w:p>
                  <w:pPr>
                    <w:pStyle w:val="35"/>
                  </w:pPr>
                </w:p>
              </w:tc>
              <w:tc>
                <w:tcPr>
                  <w:tcW w:w="299" w:type="pct"/>
                  <w:vAlign w:val="center"/>
                </w:tcPr>
                <w:p>
                  <w:pPr>
                    <w:pStyle w:val="35"/>
                    <w:rPr>
                      <w:rFonts w:ascii="Times New Roman" w:hAnsi="Times New Roman" w:eastAsia="宋体" w:cs="Times New Roman"/>
                      <w:kern w:val="2"/>
                      <w:sz w:val="21"/>
                      <w:szCs w:val="24"/>
                      <w:lang w:val="en-US" w:eastAsia="zh-CN" w:bidi="ar-SA"/>
                    </w:rPr>
                  </w:pPr>
                  <w:r>
                    <w:t>T/I/R</w:t>
                  </w:r>
                </w:p>
              </w:tc>
              <w:tc>
                <w:tcPr>
                  <w:tcW w:w="299" w:type="pct"/>
                  <w:vAlign w:val="center"/>
                </w:tcPr>
                <w:p>
                  <w:pPr>
                    <w:pStyle w:val="35"/>
                    <w:rPr>
                      <w:rFonts w:ascii="Times New Roman" w:hAnsi="Times New Roman" w:eastAsia="宋体" w:cs="Times New Roman"/>
                      <w:kern w:val="2"/>
                      <w:sz w:val="21"/>
                      <w:szCs w:val="24"/>
                      <w:lang w:val="en-US" w:eastAsia="zh-CN" w:bidi="ar-SA"/>
                    </w:rPr>
                  </w:pPr>
                  <w:r>
                    <w:t>HW06</w:t>
                  </w:r>
                </w:p>
              </w:tc>
              <w:tc>
                <w:tcPr>
                  <w:tcW w:w="479" w:type="pct"/>
                  <w:vAlign w:val="center"/>
                </w:tcPr>
                <w:p>
                  <w:pPr>
                    <w:pStyle w:val="35"/>
                    <w:rPr>
                      <w:rFonts w:ascii="Times New Roman" w:hAnsi="Times New Roman" w:eastAsia="宋体" w:cs="Times New Roman"/>
                      <w:kern w:val="2"/>
                      <w:sz w:val="21"/>
                      <w:szCs w:val="24"/>
                      <w:lang w:val="en-US" w:eastAsia="zh-CN" w:bidi="ar-SA"/>
                    </w:rPr>
                  </w:pPr>
                  <w:r>
                    <w:t>900-402-06</w:t>
                  </w:r>
                </w:p>
              </w:tc>
              <w:tc>
                <w:tcPr>
                  <w:tcW w:w="299" w:type="pct"/>
                  <w:vAlign w:val="center"/>
                </w:tcPr>
                <w:p>
                  <w:pPr>
                    <w:pStyle w:val="35"/>
                    <w:rPr>
                      <w:rFonts w:hint="eastAsia" w:ascii="Times New Roman" w:hAnsi="Times New Roman" w:eastAsia="宋体" w:cs="Times New Roman"/>
                      <w:kern w:val="0"/>
                      <w:sz w:val="21"/>
                      <w:szCs w:val="24"/>
                      <w:lang w:val="en-US" w:eastAsia="zh-CN" w:bidi="ar-SA"/>
                    </w:rPr>
                  </w:pPr>
                  <w:r>
                    <w:t>0.</w:t>
                  </w:r>
                  <w:r>
                    <w:rPr>
                      <w:rFonts w:hint="eastAsia"/>
                      <w:lang w:val="en-US" w:eastAsia="zh-CN"/>
                    </w:rPr>
                    <w:t>1</w:t>
                  </w:r>
                </w:p>
              </w:tc>
              <w:tc>
                <w:tcPr>
                  <w:tcW w:w="426" w:type="pct"/>
                  <w:vAlign w:val="center"/>
                </w:tcPr>
                <w:p>
                  <w:pPr>
                    <w:pStyle w:val="35"/>
                    <w:rPr>
                      <w:rFonts w:ascii="Times New Roman" w:hAnsi="Times New Roman" w:eastAsia="宋体" w:cs="Times New Roman"/>
                      <w:kern w:val="0"/>
                      <w:sz w:val="21"/>
                      <w:szCs w:val="24"/>
                      <w:lang w:val="en-US" w:eastAsia="zh-CN" w:bidi="ar-SA"/>
                    </w:rPr>
                  </w:pPr>
                  <w:r>
                    <w:rPr>
                      <w:kern w:val="0"/>
                    </w:rPr>
                    <w:t>D10</w:t>
                  </w:r>
                </w:p>
              </w:tc>
              <w:tc>
                <w:tcPr>
                  <w:tcW w:w="322" w:type="pct"/>
                  <w:vMerge w:val="continue"/>
                  <w:vAlign w:val="center"/>
                </w:tcPr>
                <w:p>
                  <w:pPr>
                    <w:pStyle w:val="35"/>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rFonts w:hint="eastAsia"/>
                      <w:kern w:val="0"/>
                    </w:rPr>
                    <w:t>5</w:t>
                  </w:r>
                </w:p>
              </w:tc>
              <w:tc>
                <w:tcPr>
                  <w:tcW w:w="727" w:type="pct"/>
                  <w:vAlign w:val="center"/>
                </w:tcPr>
                <w:p>
                  <w:pPr>
                    <w:pStyle w:val="35"/>
                    <w:rPr>
                      <w:rFonts w:hint="eastAsia" w:ascii="Times New Roman" w:hAnsi="Times New Roman" w:eastAsia="宋体" w:cs="Times New Roman"/>
                      <w:kern w:val="0"/>
                      <w:sz w:val="21"/>
                      <w:szCs w:val="24"/>
                      <w:lang w:val="en-US" w:eastAsia="zh-CN" w:bidi="ar-SA"/>
                    </w:rPr>
                  </w:pPr>
                  <w:r>
                    <w:rPr>
                      <w:rFonts w:hint="eastAsia"/>
                      <w:kern w:val="0"/>
                    </w:rPr>
                    <w:t>废</w:t>
                  </w:r>
                  <w:r>
                    <w:rPr>
                      <w:rFonts w:hint="eastAsia"/>
                      <w:kern w:val="0"/>
                      <w:lang w:eastAsia="zh-CN"/>
                    </w:rPr>
                    <w:t>酒精包装瓶</w:t>
                  </w:r>
                </w:p>
              </w:tc>
              <w:tc>
                <w:tcPr>
                  <w:tcW w:w="539" w:type="pct"/>
                  <w:vMerge w:val="continue"/>
                  <w:vAlign w:val="center"/>
                </w:tcPr>
                <w:p>
                  <w:pPr>
                    <w:pStyle w:val="35"/>
                    <w:rPr>
                      <w:rFonts w:ascii="Times New Roman" w:hAnsi="Times New Roman" w:eastAsia="宋体" w:cs="Times New Roman"/>
                      <w:kern w:val="2"/>
                      <w:sz w:val="21"/>
                      <w:szCs w:val="24"/>
                      <w:lang w:val="en-US" w:eastAsia="zh-CN" w:bidi="ar-SA"/>
                    </w:rPr>
                  </w:pPr>
                </w:p>
              </w:tc>
              <w:tc>
                <w:tcPr>
                  <w:tcW w:w="479" w:type="pct"/>
                  <w:tcMar>
                    <w:top w:w="0" w:type="dxa"/>
                    <w:left w:w="28" w:type="dxa"/>
                    <w:bottom w:w="0" w:type="dxa"/>
                    <w:right w:w="28" w:type="dxa"/>
                  </w:tcMar>
                  <w:vAlign w:val="center"/>
                </w:tcPr>
                <w:p>
                  <w:pPr>
                    <w:pStyle w:val="35"/>
                    <w:rPr>
                      <w:rFonts w:ascii="Times New Roman" w:hAnsi="Times New Roman" w:eastAsia="宋体" w:cs="Times New Roman"/>
                      <w:kern w:val="0"/>
                      <w:sz w:val="21"/>
                      <w:szCs w:val="24"/>
                      <w:lang w:val="en-US" w:eastAsia="zh-CN" w:bidi="ar-SA"/>
                    </w:rPr>
                  </w:pPr>
                  <w:r>
                    <w:rPr>
                      <w:rFonts w:hint="eastAsia"/>
                      <w:kern w:val="0"/>
                    </w:rPr>
                    <w:t>包装</w:t>
                  </w:r>
                </w:p>
              </w:tc>
              <w:tc>
                <w:tcPr>
                  <w:tcW w:w="299" w:type="pct"/>
                  <w:vAlign w:val="center"/>
                </w:tcPr>
                <w:p>
                  <w:pPr>
                    <w:pStyle w:val="35"/>
                    <w:rPr>
                      <w:rFonts w:ascii="Times New Roman" w:hAnsi="Times New Roman" w:eastAsia="宋体" w:cs="Times New Roman"/>
                      <w:kern w:val="0"/>
                      <w:sz w:val="21"/>
                      <w:szCs w:val="24"/>
                      <w:lang w:val="en-US" w:eastAsia="zh-CN" w:bidi="ar-SA"/>
                    </w:rPr>
                  </w:pPr>
                  <w:r>
                    <w:rPr>
                      <w:rFonts w:hint="eastAsia"/>
                    </w:rPr>
                    <w:t>固态</w:t>
                  </w:r>
                </w:p>
              </w:tc>
              <w:tc>
                <w:tcPr>
                  <w:tcW w:w="598" w:type="pct"/>
                  <w:vMerge w:val="continue"/>
                  <w:vAlign w:val="center"/>
                </w:tcPr>
                <w:p>
                  <w:pPr>
                    <w:pStyle w:val="35"/>
                  </w:pPr>
                </w:p>
              </w:tc>
              <w:tc>
                <w:tcPr>
                  <w:tcW w:w="299" w:type="pct"/>
                  <w:vAlign w:val="center"/>
                </w:tcPr>
                <w:p>
                  <w:pPr>
                    <w:pStyle w:val="35"/>
                    <w:rPr>
                      <w:rFonts w:ascii="Times New Roman" w:hAnsi="Times New Roman" w:eastAsia="宋体" w:cs="Times New Roman"/>
                      <w:kern w:val="2"/>
                      <w:sz w:val="21"/>
                      <w:szCs w:val="24"/>
                      <w:lang w:val="en-US" w:eastAsia="zh-CN" w:bidi="ar-SA"/>
                    </w:rPr>
                  </w:pPr>
                  <w:r>
                    <w:rPr>
                      <w:kern w:val="0"/>
                    </w:rPr>
                    <w:t>T/In</w:t>
                  </w:r>
                </w:p>
              </w:tc>
              <w:tc>
                <w:tcPr>
                  <w:tcW w:w="299" w:type="pct"/>
                  <w:vAlign w:val="center"/>
                </w:tcPr>
                <w:p>
                  <w:pPr>
                    <w:pStyle w:val="35"/>
                    <w:rPr>
                      <w:rFonts w:ascii="Times New Roman" w:hAnsi="Times New Roman" w:eastAsia="宋体" w:cs="Times New Roman"/>
                      <w:kern w:val="2"/>
                      <w:sz w:val="21"/>
                      <w:szCs w:val="24"/>
                      <w:lang w:val="en-US" w:eastAsia="zh-CN" w:bidi="ar-SA"/>
                    </w:rPr>
                  </w:pPr>
                  <w:r>
                    <w:rPr>
                      <w:kern w:val="0"/>
                    </w:rPr>
                    <w:t>HW49</w:t>
                  </w:r>
                </w:p>
              </w:tc>
              <w:tc>
                <w:tcPr>
                  <w:tcW w:w="479" w:type="pct"/>
                  <w:vAlign w:val="center"/>
                </w:tcPr>
                <w:p>
                  <w:pPr>
                    <w:pStyle w:val="35"/>
                    <w:rPr>
                      <w:rFonts w:ascii="Times New Roman" w:hAnsi="Times New Roman" w:eastAsia="宋体" w:cs="Times New Roman"/>
                      <w:kern w:val="2"/>
                      <w:sz w:val="21"/>
                      <w:szCs w:val="24"/>
                      <w:lang w:val="en-US" w:eastAsia="zh-CN" w:bidi="ar-SA"/>
                    </w:rPr>
                  </w:pPr>
                  <w:r>
                    <w:rPr>
                      <w:kern w:val="0"/>
                    </w:rPr>
                    <w:t>900-041-49</w:t>
                  </w:r>
                </w:p>
              </w:tc>
              <w:tc>
                <w:tcPr>
                  <w:tcW w:w="299" w:type="pct"/>
                  <w:vAlign w:val="center"/>
                </w:tcPr>
                <w:p>
                  <w:pPr>
                    <w:pStyle w:val="35"/>
                    <w:rPr>
                      <w:rFonts w:hint="eastAsia" w:ascii="Times New Roman" w:hAnsi="Times New Roman" w:eastAsia="宋体" w:cs="Times New Roman"/>
                      <w:kern w:val="0"/>
                      <w:sz w:val="21"/>
                      <w:szCs w:val="24"/>
                      <w:lang w:val="en-US" w:eastAsia="zh-CN" w:bidi="ar-SA"/>
                    </w:rPr>
                  </w:pPr>
                  <w:r>
                    <w:t>0.0</w:t>
                  </w:r>
                  <w:r>
                    <w:rPr>
                      <w:rFonts w:hint="eastAsia"/>
                      <w:lang w:val="en-US" w:eastAsia="zh-CN"/>
                    </w:rPr>
                    <w:t>1</w:t>
                  </w:r>
                </w:p>
              </w:tc>
              <w:tc>
                <w:tcPr>
                  <w:tcW w:w="426" w:type="pct"/>
                  <w:vAlign w:val="center"/>
                </w:tcPr>
                <w:p>
                  <w:pPr>
                    <w:pStyle w:val="35"/>
                    <w:rPr>
                      <w:rFonts w:ascii="Times New Roman" w:hAnsi="Times New Roman" w:eastAsia="宋体" w:cs="Times New Roman"/>
                      <w:kern w:val="0"/>
                      <w:sz w:val="21"/>
                      <w:szCs w:val="24"/>
                      <w:lang w:val="en-US" w:eastAsia="zh-CN" w:bidi="ar-SA"/>
                    </w:rPr>
                  </w:pPr>
                  <w:r>
                    <w:rPr>
                      <w:kern w:val="0"/>
                    </w:rPr>
                    <w:t>C3</w:t>
                  </w:r>
                </w:p>
              </w:tc>
              <w:tc>
                <w:tcPr>
                  <w:tcW w:w="322" w:type="pct"/>
                  <w:vMerge w:val="continue"/>
                  <w:vAlign w:val="center"/>
                </w:tcPr>
                <w:p>
                  <w:pPr>
                    <w:pStyle w:val="35"/>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30" w:type="pct"/>
                  <w:tcMar>
                    <w:top w:w="0" w:type="dxa"/>
                    <w:left w:w="28" w:type="dxa"/>
                    <w:bottom w:w="0" w:type="dxa"/>
                    <w:right w:w="28" w:type="dxa"/>
                  </w:tcMar>
                  <w:vAlign w:val="center"/>
                </w:tcPr>
                <w:p>
                  <w:pPr>
                    <w:pStyle w:val="35"/>
                    <w:rPr>
                      <w:kern w:val="0"/>
                    </w:rPr>
                  </w:pPr>
                  <w:r>
                    <w:rPr>
                      <w:rFonts w:hint="eastAsia"/>
                      <w:kern w:val="0"/>
                    </w:rPr>
                    <w:t>6</w:t>
                  </w:r>
                </w:p>
              </w:tc>
              <w:tc>
                <w:tcPr>
                  <w:tcW w:w="727"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废活性炭</w:t>
                  </w:r>
                </w:p>
              </w:tc>
              <w:tc>
                <w:tcPr>
                  <w:tcW w:w="539" w:type="pct"/>
                  <w:vMerge w:val="continue"/>
                  <w:vAlign w:val="center"/>
                </w:tcPr>
                <w:p>
                  <w:pPr>
                    <w:pStyle w:val="35"/>
                    <w:rPr>
                      <w:rFonts w:ascii="Times New Roman" w:hAnsi="Times New Roman" w:eastAsia="宋体" w:cs="Times New Roman"/>
                      <w:kern w:val="2"/>
                      <w:sz w:val="21"/>
                      <w:szCs w:val="24"/>
                      <w:lang w:val="en-US" w:eastAsia="zh-CN" w:bidi="ar-SA"/>
                    </w:rPr>
                  </w:pPr>
                </w:p>
              </w:tc>
              <w:tc>
                <w:tcPr>
                  <w:tcW w:w="479" w:type="pct"/>
                  <w:tcMar>
                    <w:top w:w="0" w:type="dxa"/>
                    <w:left w:w="28" w:type="dxa"/>
                    <w:bottom w:w="0" w:type="dxa"/>
                    <w:right w:w="28" w:type="dxa"/>
                  </w:tcMar>
                  <w:vAlign w:val="center"/>
                </w:tcPr>
                <w:p>
                  <w:pPr>
                    <w:pStyle w:val="35"/>
                    <w:rPr>
                      <w:rFonts w:ascii="Times New Roman" w:hAnsi="Times New Roman" w:eastAsia="宋体" w:cs="Times New Roman"/>
                      <w:kern w:val="2"/>
                      <w:sz w:val="21"/>
                      <w:szCs w:val="24"/>
                      <w:lang w:val="en-US" w:eastAsia="zh-CN" w:bidi="ar-SA"/>
                    </w:rPr>
                  </w:pPr>
                  <w:r>
                    <w:rPr>
                      <w:rFonts w:hint="eastAsia"/>
                    </w:rPr>
                    <w:t>废气处理</w:t>
                  </w:r>
                </w:p>
              </w:tc>
              <w:tc>
                <w:tcPr>
                  <w:tcW w:w="299"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固态</w:t>
                  </w:r>
                </w:p>
              </w:tc>
              <w:tc>
                <w:tcPr>
                  <w:tcW w:w="598" w:type="pct"/>
                  <w:vMerge w:val="continue"/>
                  <w:vAlign w:val="center"/>
                </w:tcPr>
                <w:p>
                  <w:pPr>
                    <w:pStyle w:val="35"/>
                  </w:pPr>
                </w:p>
              </w:tc>
              <w:tc>
                <w:tcPr>
                  <w:tcW w:w="299" w:type="pct"/>
                  <w:vAlign w:val="center"/>
                </w:tcPr>
                <w:p>
                  <w:pPr>
                    <w:pStyle w:val="35"/>
                    <w:rPr>
                      <w:rFonts w:ascii="Times New Roman" w:hAnsi="Times New Roman" w:eastAsia="宋体" w:cs="Times New Roman"/>
                      <w:kern w:val="2"/>
                      <w:sz w:val="21"/>
                      <w:szCs w:val="24"/>
                      <w:lang w:val="en-US" w:eastAsia="zh-CN" w:bidi="ar-SA"/>
                    </w:rPr>
                  </w:pPr>
                  <w:r>
                    <w:rPr>
                      <w:kern w:val="0"/>
                    </w:rPr>
                    <w:t>T</w:t>
                  </w:r>
                </w:p>
              </w:tc>
              <w:tc>
                <w:tcPr>
                  <w:tcW w:w="299" w:type="pct"/>
                  <w:vAlign w:val="center"/>
                </w:tcPr>
                <w:p>
                  <w:pPr>
                    <w:pStyle w:val="35"/>
                    <w:rPr>
                      <w:rFonts w:ascii="Times New Roman" w:hAnsi="Times New Roman" w:eastAsia="宋体" w:cs="Times New Roman"/>
                      <w:kern w:val="2"/>
                      <w:sz w:val="21"/>
                      <w:szCs w:val="24"/>
                      <w:lang w:val="en-US" w:eastAsia="zh-CN" w:bidi="ar-SA"/>
                    </w:rPr>
                  </w:pPr>
                  <w:r>
                    <w:rPr>
                      <w:kern w:val="0"/>
                    </w:rPr>
                    <w:t>HW49</w:t>
                  </w:r>
                </w:p>
              </w:tc>
              <w:tc>
                <w:tcPr>
                  <w:tcW w:w="479" w:type="pct"/>
                  <w:vAlign w:val="center"/>
                </w:tcPr>
                <w:p>
                  <w:pPr>
                    <w:pStyle w:val="35"/>
                    <w:rPr>
                      <w:rFonts w:ascii="Times New Roman" w:hAnsi="Times New Roman" w:eastAsia="宋体" w:cs="Times New Roman"/>
                      <w:kern w:val="2"/>
                      <w:sz w:val="21"/>
                      <w:szCs w:val="24"/>
                      <w:lang w:val="en-US" w:eastAsia="zh-CN" w:bidi="ar-SA"/>
                    </w:rPr>
                  </w:pPr>
                  <w:r>
                    <w:rPr>
                      <w:kern w:val="0"/>
                    </w:rPr>
                    <w:t>900-039-49</w:t>
                  </w:r>
                </w:p>
              </w:tc>
              <w:tc>
                <w:tcPr>
                  <w:tcW w:w="299" w:type="pct"/>
                  <w:vAlign w:val="center"/>
                </w:tcPr>
                <w:p>
                  <w:pPr>
                    <w:pStyle w:val="35"/>
                    <w:rPr>
                      <w:rFonts w:ascii="Times New Roman" w:hAnsi="Times New Roman" w:eastAsia="宋体" w:cs="Times New Roman"/>
                      <w:kern w:val="0"/>
                      <w:sz w:val="21"/>
                      <w:szCs w:val="24"/>
                      <w:lang w:val="en-US" w:eastAsia="zh-CN" w:bidi="ar-SA"/>
                    </w:rPr>
                  </w:pPr>
                  <w:r>
                    <w:t>3.62</w:t>
                  </w:r>
                </w:p>
              </w:tc>
              <w:tc>
                <w:tcPr>
                  <w:tcW w:w="426" w:type="pct"/>
                  <w:vAlign w:val="center"/>
                </w:tcPr>
                <w:p>
                  <w:pPr>
                    <w:pStyle w:val="35"/>
                    <w:rPr>
                      <w:rFonts w:ascii="Times New Roman" w:hAnsi="Times New Roman" w:eastAsia="宋体" w:cs="Times New Roman"/>
                      <w:kern w:val="0"/>
                      <w:sz w:val="21"/>
                      <w:szCs w:val="24"/>
                      <w:lang w:val="en-US" w:eastAsia="zh-CN" w:bidi="ar-SA"/>
                    </w:rPr>
                  </w:pPr>
                  <w:r>
                    <w:rPr>
                      <w:kern w:val="0"/>
                    </w:rPr>
                    <w:t>D10</w:t>
                  </w:r>
                </w:p>
              </w:tc>
              <w:tc>
                <w:tcPr>
                  <w:tcW w:w="322" w:type="pct"/>
                  <w:vMerge w:val="continue"/>
                  <w:vAlign w:val="center"/>
                </w:tcPr>
                <w:p>
                  <w:pPr>
                    <w:pStyle w:val="35"/>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230" w:type="pct"/>
                  <w:tcMar>
                    <w:top w:w="0" w:type="dxa"/>
                    <w:left w:w="28" w:type="dxa"/>
                    <w:bottom w:w="0" w:type="dxa"/>
                    <w:right w:w="28" w:type="dxa"/>
                  </w:tcMar>
                  <w:vAlign w:val="center"/>
                </w:tcPr>
                <w:p>
                  <w:pPr>
                    <w:pStyle w:val="35"/>
                    <w:rPr>
                      <w:rFonts w:hint="eastAsia" w:eastAsia="宋体"/>
                      <w:kern w:val="0"/>
                      <w:lang w:val="en-US" w:eastAsia="zh-CN"/>
                    </w:rPr>
                  </w:pPr>
                  <w:r>
                    <w:rPr>
                      <w:rFonts w:hint="eastAsia"/>
                      <w:kern w:val="0"/>
                      <w:lang w:val="en-US" w:eastAsia="zh-CN"/>
                    </w:rPr>
                    <w:t>7</w:t>
                  </w:r>
                </w:p>
              </w:tc>
              <w:tc>
                <w:tcPr>
                  <w:tcW w:w="727"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生活垃圾</w:t>
                  </w:r>
                </w:p>
              </w:tc>
              <w:tc>
                <w:tcPr>
                  <w:tcW w:w="539" w:type="pct"/>
                  <w:vAlign w:val="center"/>
                </w:tcPr>
                <w:p>
                  <w:pPr>
                    <w:pStyle w:val="35"/>
                    <w:rPr>
                      <w:rFonts w:ascii="Times New Roman" w:hAnsi="Times New Roman" w:eastAsia="宋体" w:cs="Times New Roman"/>
                      <w:kern w:val="0"/>
                      <w:sz w:val="21"/>
                      <w:szCs w:val="24"/>
                      <w:lang w:val="en-US" w:eastAsia="zh-CN" w:bidi="ar-SA"/>
                    </w:rPr>
                  </w:pPr>
                  <w:r>
                    <w:rPr>
                      <w:rFonts w:hint="eastAsia"/>
                    </w:rPr>
                    <w:t>一般废物</w:t>
                  </w:r>
                </w:p>
              </w:tc>
              <w:tc>
                <w:tcPr>
                  <w:tcW w:w="479" w:type="pct"/>
                  <w:tcMar>
                    <w:top w:w="0" w:type="dxa"/>
                    <w:left w:w="28" w:type="dxa"/>
                    <w:bottom w:w="0" w:type="dxa"/>
                    <w:right w:w="28" w:type="dxa"/>
                  </w:tcMar>
                  <w:vAlign w:val="center"/>
                </w:tcPr>
                <w:p>
                  <w:pPr>
                    <w:pStyle w:val="35"/>
                    <w:rPr>
                      <w:rFonts w:ascii="Times New Roman" w:hAnsi="Times New Roman" w:eastAsia="宋体" w:cs="Times New Roman"/>
                      <w:kern w:val="0"/>
                      <w:sz w:val="21"/>
                      <w:szCs w:val="24"/>
                      <w:lang w:val="en-US" w:eastAsia="zh-CN" w:bidi="ar-SA"/>
                    </w:rPr>
                  </w:pPr>
                  <w:r>
                    <w:rPr>
                      <w:rFonts w:hint="eastAsia"/>
                      <w:kern w:val="0"/>
                    </w:rPr>
                    <w:t>职工生活</w:t>
                  </w:r>
                </w:p>
              </w:tc>
              <w:tc>
                <w:tcPr>
                  <w:tcW w:w="299" w:type="pct"/>
                  <w:vAlign w:val="center"/>
                </w:tcPr>
                <w:p>
                  <w:pPr>
                    <w:pStyle w:val="35"/>
                    <w:rPr>
                      <w:rFonts w:ascii="Times New Roman" w:hAnsi="Times New Roman" w:eastAsia="宋体" w:cs="Times New Roman"/>
                      <w:kern w:val="2"/>
                      <w:sz w:val="21"/>
                      <w:szCs w:val="24"/>
                      <w:lang w:val="en-US" w:eastAsia="zh-CN" w:bidi="ar-SA"/>
                    </w:rPr>
                  </w:pPr>
                  <w:r>
                    <w:rPr>
                      <w:rFonts w:hint="eastAsia"/>
                    </w:rPr>
                    <w:t>固态</w:t>
                  </w:r>
                </w:p>
              </w:tc>
              <w:tc>
                <w:tcPr>
                  <w:tcW w:w="598" w:type="pct"/>
                  <w:vMerge w:val="continue"/>
                  <w:vAlign w:val="center"/>
                </w:tcPr>
                <w:p>
                  <w:pPr>
                    <w:pStyle w:val="35"/>
                    <w:rPr>
                      <w:rFonts w:ascii="Times New Roman" w:hAnsi="Times New Roman" w:eastAsia="宋体" w:cs="Times New Roman"/>
                      <w:kern w:val="2"/>
                      <w:sz w:val="21"/>
                      <w:szCs w:val="24"/>
                      <w:lang w:val="en-US" w:eastAsia="zh-CN" w:bidi="ar-SA"/>
                    </w:rPr>
                  </w:pPr>
                </w:p>
              </w:tc>
              <w:tc>
                <w:tcPr>
                  <w:tcW w:w="299" w:type="pct"/>
                  <w:vAlign w:val="center"/>
                </w:tcPr>
                <w:p>
                  <w:pPr>
                    <w:pStyle w:val="35"/>
                    <w:rPr>
                      <w:rFonts w:ascii="Times New Roman" w:hAnsi="Times New Roman" w:eastAsia="宋体" w:cs="Times New Roman"/>
                      <w:kern w:val="2"/>
                      <w:sz w:val="21"/>
                      <w:szCs w:val="24"/>
                      <w:lang w:val="en-US" w:eastAsia="zh-CN" w:bidi="ar-SA"/>
                    </w:rPr>
                  </w:pPr>
                  <w:r>
                    <w:t>—</w:t>
                  </w:r>
                </w:p>
              </w:tc>
              <w:tc>
                <w:tcPr>
                  <w:tcW w:w="299" w:type="pct"/>
                  <w:vAlign w:val="center"/>
                </w:tcPr>
                <w:p>
                  <w:pPr>
                    <w:pStyle w:val="35"/>
                    <w:rPr>
                      <w:rFonts w:ascii="Times New Roman" w:hAnsi="Times New Roman" w:eastAsia="宋体" w:cs="Times New Roman"/>
                      <w:kern w:val="2"/>
                      <w:sz w:val="21"/>
                      <w:szCs w:val="24"/>
                      <w:lang w:val="en-US" w:eastAsia="zh-CN" w:bidi="ar-SA"/>
                    </w:rPr>
                  </w:pPr>
                  <w:r>
                    <w:t>99</w:t>
                  </w:r>
                </w:p>
              </w:tc>
              <w:tc>
                <w:tcPr>
                  <w:tcW w:w="479" w:type="pct"/>
                  <w:vAlign w:val="center"/>
                </w:tcPr>
                <w:p>
                  <w:pPr>
                    <w:pStyle w:val="35"/>
                    <w:rPr>
                      <w:rFonts w:ascii="Times New Roman" w:hAnsi="Times New Roman" w:eastAsia="宋体" w:cs="Times New Roman"/>
                      <w:kern w:val="2"/>
                      <w:sz w:val="21"/>
                      <w:szCs w:val="24"/>
                      <w:lang w:val="en-US" w:eastAsia="zh-CN" w:bidi="ar-SA"/>
                    </w:rPr>
                  </w:pPr>
                  <w:r>
                    <w:t>900-999-99</w:t>
                  </w:r>
                </w:p>
              </w:tc>
              <w:tc>
                <w:tcPr>
                  <w:tcW w:w="299" w:type="pct"/>
                  <w:vAlign w:val="center"/>
                </w:tcPr>
                <w:p>
                  <w:pPr>
                    <w:pStyle w:val="35"/>
                    <w:rPr>
                      <w:rFonts w:ascii="Times New Roman" w:hAnsi="Times New Roman" w:eastAsia="宋体" w:cs="Times New Roman"/>
                      <w:kern w:val="0"/>
                      <w:sz w:val="21"/>
                      <w:szCs w:val="24"/>
                      <w:lang w:val="en-US" w:eastAsia="zh-CN" w:bidi="ar-SA"/>
                    </w:rPr>
                  </w:pPr>
                  <w:r>
                    <w:rPr>
                      <w:kern w:val="0"/>
                    </w:rPr>
                    <w:t>3.75</w:t>
                  </w:r>
                </w:p>
              </w:tc>
              <w:tc>
                <w:tcPr>
                  <w:tcW w:w="426" w:type="pct"/>
                  <w:vAlign w:val="center"/>
                </w:tcPr>
                <w:p>
                  <w:pPr>
                    <w:pStyle w:val="35"/>
                    <w:rPr>
                      <w:rFonts w:ascii="Times New Roman" w:hAnsi="Times New Roman" w:eastAsia="宋体" w:cs="Times New Roman"/>
                      <w:kern w:val="0"/>
                      <w:sz w:val="21"/>
                      <w:szCs w:val="24"/>
                      <w:lang w:val="en-US" w:eastAsia="zh-CN" w:bidi="ar-SA"/>
                    </w:rPr>
                  </w:pPr>
                  <w:r>
                    <w:rPr>
                      <w:kern w:val="0"/>
                    </w:rPr>
                    <w:t>/</w:t>
                  </w:r>
                </w:p>
              </w:tc>
              <w:tc>
                <w:tcPr>
                  <w:tcW w:w="322" w:type="pct"/>
                  <w:vAlign w:val="center"/>
                </w:tcPr>
                <w:p>
                  <w:pPr>
                    <w:pStyle w:val="35"/>
                    <w:rPr>
                      <w:kern w:val="0"/>
                    </w:rPr>
                  </w:pPr>
                  <w:r>
                    <w:rPr>
                      <w:rFonts w:hint="eastAsia"/>
                      <w:kern w:val="0"/>
                    </w:rPr>
                    <w:t>环卫清运</w:t>
                  </w:r>
                </w:p>
              </w:tc>
            </w:tr>
          </w:tbl>
          <w:p>
            <w:pPr>
              <w:spacing w:line="240" w:lineRule="auto"/>
              <w:jc w:val="left"/>
            </w:pPr>
            <w:r>
              <w:rPr>
                <w:rFonts w:hint="eastAsia"/>
                <w:sz w:val="21"/>
                <w:szCs w:val="21"/>
              </w:rPr>
              <w:t>注：危险特性包括毒性（</w:t>
            </w:r>
            <w:r>
              <w:rPr>
                <w:sz w:val="21"/>
                <w:szCs w:val="21"/>
              </w:rPr>
              <w:t>Toxicity, T</w:t>
            </w:r>
            <w:r>
              <w:rPr>
                <w:rFonts w:hint="eastAsia"/>
                <w:sz w:val="21"/>
                <w:szCs w:val="21"/>
              </w:rPr>
              <w:t>）、腐蚀性（</w:t>
            </w:r>
            <w:r>
              <w:rPr>
                <w:sz w:val="21"/>
                <w:szCs w:val="21"/>
              </w:rPr>
              <w:t>Corrosivity, C</w:t>
            </w:r>
            <w:r>
              <w:rPr>
                <w:rFonts w:hint="eastAsia"/>
                <w:sz w:val="21"/>
                <w:szCs w:val="21"/>
              </w:rPr>
              <w:t>）、易燃性（</w:t>
            </w:r>
            <w:r>
              <w:rPr>
                <w:sz w:val="21"/>
                <w:szCs w:val="21"/>
              </w:rPr>
              <w:t>Ignitability, I</w:t>
            </w:r>
            <w:r>
              <w:rPr>
                <w:rFonts w:hint="eastAsia"/>
                <w:sz w:val="21"/>
                <w:szCs w:val="21"/>
              </w:rPr>
              <w:t>）、反应性（</w:t>
            </w:r>
            <w:r>
              <w:rPr>
                <w:sz w:val="21"/>
                <w:szCs w:val="21"/>
              </w:rPr>
              <w:t>Reactivity, R</w:t>
            </w:r>
            <w:r>
              <w:rPr>
                <w:rFonts w:hint="eastAsia"/>
                <w:sz w:val="21"/>
                <w:szCs w:val="21"/>
              </w:rPr>
              <w:t>）和感染性（</w:t>
            </w:r>
            <w:r>
              <w:rPr>
                <w:sz w:val="21"/>
                <w:szCs w:val="21"/>
              </w:rPr>
              <w:t>Infectivity, In</w:t>
            </w:r>
            <w:r>
              <w:rPr>
                <w:rFonts w:hint="eastAsia"/>
                <w:sz w:val="21"/>
                <w:szCs w:val="21"/>
              </w:rPr>
              <w:t>）。</w:t>
            </w:r>
          </w:p>
          <w:p>
            <w:pPr>
              <w:pStyle w:val="29"/>
              <w:ind w:firstLine="480"/>
              <w:rPr>
                <w:color w:val="auto"/>
              </w:rPr>
            </w:pPr>
          </w:p>
          <w:p>
            <w:pPr>
              <w:pStyle w:val="29"/>
              <w:ind w:firstLine="480"/>
              <w:rPr>
                <w:color w:val="auto"/>
              </w:rPr>
            </w:pPr>
            <w:r>
              <w:rPr>
                <w:rFonts w:hint="eastAsia"/>
                <w:color w:val="auto"/>
              </w:rPr>
              <w:t>本项目各类固废处置去向具体见表</w:t>
            </w:r>
            <w:r>
              <w:rPr>
                <w:color w:val="auto"/>
              </w:rPr>
              <w:t>4-21</w:t>
            </w:r>
            <w:r>
              <w:rPr>
                <w:rFonts w:hint="eastAsia"/>
                <w:color w:val="auto"/>
              </w:rPr>
              <w:t>。</w:t>
            </w:r>
          </w:p>
          <w:p>
            <w:pPr>
              <w:pStyle w:val="12"/>
              <w:rPr>
                <w:color w:val="auto"/>
              </w:rPr>
            </w:pPr>
            <w:r>
              <w:rPr>
                <w:rFonts w:hint="eastAsia"/>
                <w:color w:val="auto"/>
              </w:rPr>
              <w:t>表</w:t>
            </w:r>
            <w:r>
              <w:rPr>
                <w:color w:val="auto"/>
              </w:rPr>
              <w:t xml:space="preserve">4-21   </w:t>
            </w:r>
            <w:r>
              <w:rPr>
                <w:rFonts w:hint="eastAsia"/>
                <w:color w:val="auto"/>
              </w:rPr>
              <w:t>项目固体废物综合利用及处置措施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002"/>
              <w:gridCol w:w="688"/>
              <w:gridCol w:w="831"/>
              <w:gridCol w:w="584"/>
              <w:gridCol w:w="786"/>
              <w:gridCol w:w="586"/>
              <w:gridCol w:w="885"/>
              <w:gridCol w:w="684"/>
              <w:gridCol w:w="567"/>
              <w:gridCol w:w="510"/>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281" w:type="pct"/>
                  <w:vAlign w:val="center"/>
                </w:tcPr>
                <w:p>
                  <w:pPr>
                    <w:pStyle w:val="35"/>
                    <w:rPr>
                      <w:bCs/>
                    </w:rPr>
                  </w:pPr>
                  <w:r>
                    <w:rPr>
                      <w:rFonts w:hint="eastAsia"/>
                      <w:bCs/>
                    </w:rPr>
                    <w:t>序号</w:t>
                  </w:r>
                </w:p>
              </w:tc>
              <w:tc>
                <w:tcPr>
                  <w:tcW w:w="609" w:type="pct"/>
                  <w:vAlign w:val="center"/>
                </w:tcPr>
                <w:p>
                  <w:pPr>
                    <w:pStyle w:val="35"/>
                  </w:pPr>
                  <w:r>
                    <w:rPr>
                      <w:rFonts w:hint="eastAsia"/>
                    </w:rPr>
                    <w:t>废物名称</w:t>
                  </w:r>
                </w:p>
              </w:tc>
              <w:tc>
                <w:tcPr>
                  <w:tcW w:w="418" w:type="pct"/>
                  <w:vAlign w:val="center"/>
                </w:tcPr>
                <w:p>
                  <w:pPr>
                    <w:pStyle w:val="35"/>
                  </w:pPr>
                  <w:r>
                    <w:rPr>
                      <w:rFonts w:hint="eastAsia"/>
                    </w:rPr>
                    <w:t>废物类别</w:t>
                  </w:r>
                </w:p>
              </w:tc>
              <w:tc>
                <w:tcPr>
                  <w:tcW w:w="505" w:type="pct"/>
                  <w:vAlign w:val="center"/>
                </w:tcPr>
                <w:p>
                  <w:pPr>
                    <w:pStyle w:val="35"/>
                  </w:pPr>
                  <w:r>
                    <w:rPr>
                      <w:rFonts w:hint="eastAsia"/>
                    </w:rPr>
                    <w:t>废物代码</w:t>
                  </w:r>
                </w:p>
              </w:tc>
              <w:tc>
                <w:tcPr>
                  <w:tcW w:w="355" w:type="pct"/>
                  <w:vAlign w:val="center"/>
                </w:tcPr>
                <w:p>
                  <w:pPr>
                    <w:pStyle w:val="35"/>
                  </w:pPr>
                  <w:r>
                    <w:rPr>
                      <w:rFonts w:hint="eastAsia"/>
                    </w:rPr>
                    <w:t>产生量</w:t>
                  </w:r>
                  <w:r>
                    <w:t>(t/a)</w:t>
                  </w:r>
                </w:p>
              </w:tc>
              <w:tc>
                <w:tcPr>
                  <w:tcW w:w="477" w:type="pct"/>
                  <w:vAlign w:val="center"/>
                </w:tcPr>
                <w:p>
                  <w:pPr>
                    <w:pStyle w:val="35"/>
                  </w:pPr>
                  <w:r>
                    <w:rPr>
                      <w:rFonts w:hint="eastAsia"/>
                    </w:rPr>
                    <w:t>产生工序</w:t>
                  </w:r>
                </w:p>
              </w:tc>
              <w:tc>
                <w:tcPr>
                  <w:tcW w:w="356" w:type="pct"/>
                  <w:vAlign w:val="center"/>
                </w:tcPr>
                <w:p>
                  <w:pPr>
                    <w:pStyle w:val="35"/>
                  </w:pPr>
                  <w:r>
                    <w:rPr>
                      <w:rFonts w:hint="eastAsia"/>
                    </w:rPr>
                    <w:t>形态</w:t>
                  </w:r>
                </w:p>
              </w:tc>
              <w:tc>
                <w:tcPr>
                  <w:tcW w:w="538" w:type="pct"/>
                  <w:vAlign w:val="center"/>
                </w:tcPr>
                <w:p>
                  <w:pPr>
                    <w:pStyle w:val="35"/>
                  </w:pPr>
                  <w:r>
                    <w:rPr>
                      <w:rFonts w:hint="eastAsia"/>
                    </w:rPr>
                    <w:t>主要成分</w:t>
                  </w:r>
                </w:p>
              </w:tc>
              <w:tc>
                <w:tcPr>
                  <w:tcW w:w="415" w:type="pct"/>
                  <w:vAlign w:val="center"/>
                </w:tcPr>
                <w:p>
                  <w:pPr>
                    <w:pStyle w:val="35"/>
                  </w:pPr>
                  <w:r>
                    <w:rPr>
                      <w:rFonts w:hint="eastAsia"/>
                    </w:rPr>
                    <w:t>有害成分</w:t>
                  </w:r>
                </w:p>
              </w:tc>
              <w:tc>
                <w:tcPr>
                  <w:tcW w:w="344" w:type="pct"/>
                  <w:vAlign w:val="center"/>
                </w:tcPr>
                <w:p>
                  <w:pPr>
                    <w:pStyle w:val="35"/>
                  </w:pPr>
                  <w:r>
                    <w:rPr>
                      <w:rFonts w:hint="eastAsia"/>
                    </w:rPr>
                    <w:t>产生周期</w:t>
                  </w:r>
                </w:p>
              </w:tc>
              <w:tc>
                <w:tcPr>
                  <w:tcW w:w="310" w:type="pct"/>
                  <w:vAlign w:val="center"/>
                </w:tcPr>
                <w:p>
                  <w:pPr>
                    <w:pStyle w:val="35"/>
                  </w:pPr>
                  <w:r>
                    <w:rPr>
                      <w:rFonts w:hint="eastAsia"/>
                    </w:rPr>
                    <w:t>危险特性</w:t>
                  </w:r>
                </w:p>
              </w:tc>
              <w:tc>
                <w:tcPr>
                  <w:tcW w:w="387" w:type="pct"/>
                  <w:vAlign w:val="center"/>
                </w:tcPr>
                <w:p>
                  <w:pPr>
                    <w:pStyle w:val="35"/>
                  </w:pPr>
                  <w:r>
                    <w:rPr>
                      <w:rFonts w:hint="eastAsia"/>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281" w:type="pct"/>
                  <w:vAlign w:val="center"/>
                </w:tcPr>
                <w:p>
                  <w:pPr>
                    <w:pStyle w:val="35"/>
                    <w:rPr>
                      <w:bCs/>
                    </w:rPr>
                  </w:pPr>
                  <w:r>
                    <w:rPr>
                      <w:bCs/>
                    </w:rPr>
                    <w:t>1</w:t>
                  </w:r>
                </w:p>
              </w:tc>
              <w:tc>
                <w:tcPr>
                  <w:tcW w:w="609" w:type="pct"/>
                  <w:vAlign w:val="center"/>
                </w:tcPr>
                <w:p>
                  <w:pPr>
                    <w:pStyle w:val="35"/>
                    <w:rPr>
                      <w:rFonts w:hint="default" w:eastAsia="宋体"/>
                      <w:lang w:val="en-US" w:eastAsia="zh-CN"/>
                    </w:rPr>
                  </w:pPr>
                  <w:r>
                    <w:rPr>
                      <w:rFonts w:hint="eastAsia"/>
                      <w:lang w:eastAsia="zh-CN"/>
                    </w:rPr>
                    <w:t>废包装材料</w:t>
                  </w:r>
                </w:p>
              </w:tc>
              <w:tc>
                <w:tcPr>
                  <w:tcW w:w="418" w:type="pct"/>
                  <w:vAlign w:val="center"/>
                </w:tcPr>
                <w:p>
                  <w:pPr>
                    <w:pStyle w:val="35"/>
                    <w:rPr>
                      <w:sz w:val="18"/>
                      <w:szCs w:val="18"/>
                    </w:rPr>
                  </w:pPr>
                  <w:r>
                    <w:rPr>
                      <w:bCs/>
                    </w:rPr>
                    <w:t>99</w:t>
                  </w:r>
                </w:p>
              </w:tc>
              <w:tc>
                <w:tcPr>
                  <w:tcW w:w="505" w:type="pct"/>
                  <w:vAlign w:val="center"/>
                </w:tcPr>
                <w:p>
                  <w:pPr>
                    <w:pStyle w:val="35"/>
                    <w:rPr>
                      <w:sz w:val="18"/>
                      <w:szCs w:val="18"/>
                    </w:rPr>
                  </w:pPr>
                  <w:r>
                    <w:t>900-999-99</w:t>
                  </w:r>
                </w:p>
              </w:tc>
              <w:tc>
                <w:tcPr>
                  <w:tcW w:w="355" w:type="pct"/>
                  <w:vAlign w:val="center"/>
                </w:tcPr>
                <w:p>
                  <w:pPr>
                    <w:pStyle w:val="35"/>
                  </w:pPr>
                  <w:r>
                    <w:t>0.</w:t>
                  </w:r>
                  <w:r>
                    <w:rPr>
                      <w:rFonts w:hint="eastAsia"/>
                      <w:lang w:val="en-US" w:eastAsia="zh-CN"/>
                    </w:rPr>
                    <w:t>5</w:t>
                  </w:r>
                </w:p>
              </w:tc>
              <w:tc>
                <w:tcPr>
                  <w:tcW w:w="477" w:type="pct"/>
                  <w:vAlign w:val="center"/>
                </w:tcPr>
                <w:p>
                  <w:pPr>
                    <w:pStyle w:val="35"/>
                  </w:pPr>
                  <w:r>
                    <w:rPr>
                      <w:rFonts w:hint="eastAsia"/>
                      <w:lang w:eastAsia="zh-CN"/>
                    </w:rPr>
                    <w:t>组装</w:t>
                  </w:r>
                </w:p>
              </w:tc>
              <w:tc>
                <w:tcPr>
                  <w:tcW w:w="356" w:type="pct"/>
                  <w:vAlign w:val="center"/>
                </w:tcPr>
                <w:p>
                  <w:pPr>
                    <w:pStyle w:val="35"/>
                  </w:pPr>
                  <w:r>
                    <w:rPr>
                      <w:rFonts w:hint="eastAsia"/>
                      <w:kern w:val="0"/>
                    </w:rPr>
                    <w:t>固态</w:t>
                  </w:r>
                </w:p>
              </w:tc>
              <w:tc>
                <w:tcPr>
                  <w:tcW w:w="53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纸箱、塑料等</w:t>
                  </w:r>
                </w:p>
              </w:tc>
              <w:tc>
                <w:tcPr>
                  <w:tcW w:w="415" w:type="pct"/>
                  <w:vAlign w:val="center"/>
                </w:tcPr>
                <w:p>
                  <w:pPr>
                    <w:pStyle w:val="35"/>
                    <w:rPr>
                      <w:sz w:val="18"/>
                      <w:szCs w:val="18"/>
                    </w:rPr>
                  </w:pPr>
                  <w:r>
                    <w:t>—</w:t>
                  </w:r>
                </w:p>
              </w:tc>
              <w:tc>
                <w:tcPr>
                  <w:tcW w:w="344" w:type="pct"/>
                  <w:vAlign w:val="center"/>
                </w:tcPr>
                <w:p>
                  <w:pPr>
                    <w:pStyle w:val="35"/>
                  </w:pPr>
                  <w:r>
                    <w:rPr>
                      <w:rFonts w:hint="eastAsia"/>
                    </w:rPr>
                    <w:t>每天</w:t>
                  </w:r>
                </w:p>
              </w:tc>
              <w:tc>
                <w:tcPr>
                  <w:tcW w:w="310" w:type="pct"/>
                  <w:vAlign w:val="center"/>
                </w:tcPr>
                <w:p>
                  <w:pPr>
                    <w:pStyle w:val="35"/>
                    <w:rPr>
                      <w:sz w:val="18"/>
                      <w:szCs w:val="18"/>
                    </w:rPr>
                  </w:pPr>
                  <w:r>
                    <w:t>—</w:t>
                  </w:r>
                </w:p>
              </w:tc>
              <w:tc>
                <w:tcPr>
                  <w:tcW w:w="387" w:type="pct"/>
                  <w:vMerge w:val="restart"/>
                  <w:vAlign w:val="center"/>
                </w:tcPr>
                <w:p>
                  <w:pPr>
                    <w:pStyle w:val="35"/>
                  </w:pPr>
                  <w:r>
                    <w:rPr>
                      <w:rFonts w:hint="eastAsia"/>
                    </w:rPr>
                    <w:t>分类收集，防风、防雨、防晒、防泄露贮存，危废委托资质单位运输、处置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bCs/>
                    </w:rPr>
                    <w:t>2</w:t>
                  </w:r>
                </w:p>
              </w:tc>
              <w:tc>
                <w:tcPr>
                  <w:tcW w:w="609" w:type="pct"/>
                  <w:vAlign w:val="center"/>
                </w:tcPr>
                <w:p>
                  <w:pPr>
                    <w:pStyle w:val="35"/>
                  </w:pPr>
                  <w:r>
                    <w:rPr>
                      <w:rFonts w:hint="eastAsia"/>
                      <w:lang w:eastAsia="zh-CN"/>
                    </w:rPr>
                    <w:t>焊</w:t>
                  </w:r>
                  <w:r>
                    <w:rPr>
                      <w:rFonts w:hint="eastAsia"/>
                    </w:rPr>
                    <w:t>渣</w:t>
                  </w:r>
                </w:p>
              </w:tc>
              <w:tc>
                <w:tcPr>
                  <w:tcW w:w="418" w:type="pct"/>
                  <w:vAlign w:val="center"/>
                </w:tcPr>
                <w:p>
                  <w:pPr>
                    <w:pStyle w:val="35"/>
                    <w:rPr>
                      <w:bCs/>
                    </w:rPr>
                  </w:pPr>
                  <w:r>
                    <w:rPr>
                      <w:bCs/>
                    </w:rPr>
                    <w:t>99</w:t>
                  </w:r>
                </w:p>
              </w:tc>
              <w:tc>
                <w:tcPr>
                  <w:tcW w:w="505" w:type="pct"/>
                  <w:vAlign w:val="center"/>
                </w:tcPr>
                <w:p>
                  <w:pPr>
                    <w:pStyle w:val="35"/>
                  </w:pPr>
                  <w:r>
                    <w:t>900-999-99</w:t>
                  </w:r>
                </w:p>
              </w:tc>
              <w:tc>
                <w:tcPr>
                  <w:tcW w:w="355" w:type="pct"/>
                  <w:vAlign w:val="center"/>
                </w:tcPr>
                <w:p>
                  <w:pPr>
                    <w:pStyle w:val="35"/>
                  </w:pPr>
                  <w:r>
                    <w:rPr>
                      <w:rFonts w:hint="eastAsia"/>
                    </w:rPr>
                    <w:t>0</w:t>
                  </w:r>
                  <w:r>
                    <w:t>.0</w:t>
                  </w:r>
                  <w:r>
                    <w:rPr>
                      <w:rFonts w:hint="eastAsia"/>
                      <w:lang w:val="en-US" w:eastAsia="zh-CN"/>
                    </w:rPr>
                    <w:t>1</w:t>
                  </w:r>
                </w:p>
              </w:tc>
              <w:tc>
                <w:tcPr>
                  <w:tcW w:w="477" w:type="pct"/>
                  <w:vAlign w:val="center"/>
                </w:tcPr>
                <w:p>
                  <w:pPr>
                    <w:pStyle w:val="35"/>
                  </w:pPr>
                  <w:r>
                    <w:rPr>
                      <w:rFonts w:hint="eastAsia"/>
                      <w:lang w:eastAsia="zh-CN"/>
                    </w:rPr>
                    <w:t>焊接</w:t>
                  </w:r>
                </w:p>
              </w:tc>
              <w:tc>
                <w:tcPr>
                  <w:tcW w:w="356" w:type="pct"/>
                  <w:vAlign w:val="center"/>
                </w:tcPr>
                <w:p>
                  <w:pPr>
                    <w:pStyle w:val="35"/>
                  </w:pPr>
                  <w:r>
                    <w:rPr>
                      <w:rFonts w:hint="eastAsia"/>
                      <w:kern w:val="0"/>
                    </w:rPr>
                    <w:t>固态</w:t>
                  </w:r>
                </w:p>
              </w:tc>
              <w:tc>
                <w:tcPr>
                  <w:tcW w:w="53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金属</w:t>
                  </w:r>
                </w:p>
              </w:tc>
              <w:tc>
                <w:tcPr>
                  <w:tcW w:w="415" w:type="pct"/>
                  <w:vAlign w:val="center"/>
                </w:tcPr>
                <w:p>
                  <w:pPr>
                    <w:pStyle w:val="35"/>
                  </w:pPr>
                  <w:r>
                    <w:t>—</w:t>
                  </w:r>
                </w:p>
              </w:tc>
              <w:tc>
                <w:tcPr>
                  <w:tcW w:w="344" w:type="pct"/>
                  <w:vAlign w:val="center"/>
                </w:tcPr>
                <w:p>
                  <w:pPr>
                    <w:pStyle w:val="35"/>
                  </w:pPr>
                  <w:r>
                    <w:rPr>
                      <w:rFonts w:hint="eastAsia"/>
                    </w:rPr>
                    <w:t>每天</w:t>
                  </w:r>
                </w:p>
              </w:tc>
              <w:tc>
                <w:tcPr>
                  <w:tcW w:w="310" w:type="pct"/>
                  <w:vAlign w:val="center"/>
                </w:tcPr>
                <w:p>
                  <w:pPr>
                    <w:pStyle w:val="35"/>
                  </w:pPr>
                  <w:r>
                    <w:t>—</w:t>
                  </w:r>
                </w:p>
              </w:tc>
              <w:tc>
                <w:tcPr>
                  <w:tcW w:w="387"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rFonts w:hint="eastAsia"/>
                      <w:bCs/>
                    </w:rPr>
                    <w:t>3</w:t>
                  </w:r>
                </w:p>
              </w:tc>
              <w:tc>
                <w:tcPr>
                  <w:tcW w:w="609" w:type="pct"/>
                  <w:vAlign w:val="center"/>
                </w:tcPr>
                <w:p>
                  <w:pPr>
                    <w:pStyle w:val="35"/>
                  </w:pPr>
                  <w:r>
                    <w:rPr>
                      <w:rFonts w:hint="eastAsia"/>
                    </w:rPr>
                    <w:t>不合格品</w:t>
                  </w:r>
                </w:p>
              </w:tc>
              <w:tc>
                <w:tcPr>
                  <w:tcW w:w="418" w:type="pct"/>
                  <w:vAlign w:val="center"/>
                </w:tcPr>
                <w:p>
                  <w:pPr>
                    <w:pStyle w:val="35"/>
                    <w:rPr>
                      <w:bCs/>
                    </w:rPr>
                  </w:pPr>
                  <w:r>
                    <w:rPr>
                      <w:bCs/>
                    </w:rPr>
                    <w:t>99</w:t>
                  </w:r>
                </w:p>
              </w:tc>
              <w:tc>
                <w:tcPr>
                  <w:tcW w:w="505" w:type="pct"/>
                  <w:vAlign w:val="center"/>
                </w:tcPr>
                <w:p>
                  <w:pPr>
                    <w:pStyle w:val="35"/>
                  </w:pPr>
                  <w:r>
                    <w:t>900-999-99</w:t>
                  </w:r>
                </w:p>
              </w:tc>
              <w:tc>
                <w:tcPr>
                  <w:tcW w:w="355" w:type="pct"/>
                  <w:vAlign w:val="center"/>
                </w:tcPr>
                <w:p>
                  <w:pPr>
                    <w:pStyle w:val="35"/>
                  </w:pPr>
                  <w:r>
                    <w:rPr>
                      <w:rFonts w:hint="eastAsia"/>
                      <w:kern w:val="0"/>
                      <w:lang w:val="en-US" w:eastAsia="zh-CN"/>
                    </w:rPr>
                    <w:t>1</w:t>
                  </w:r>
                </w:p>
              </w:tc>
              <w:tc>
                <w:tcPr>
                  <w:tcW w:w="477" w:type="pct"/>
                  <w:vAlign w:val="center"/>
                </w:tcPr>
                <w:p>
                  <w:pPr>
                    <w:pStyle w:val="35"/>
                  </w:pPr>
                  <w:r>
                    <w:rPr>
                      <w:rFonts w:hint="eastAsia"/>
                    </w:rPr>
                    <w:t>检验</w:t>
                  </w:r>
                </w:p>
              </w:tc>
              <w:tc>
                <w:tcPr>
                  <w:tcW w:w="356" w:type="pct"/>
                  <w:vAlign w:val="center"/>
                </w:tcPr>
                <w:p>
                  <w:pPr>
                    <w:pStyle w:val="35"/>
                    <w:rPr>
                      <w:kern w:val="0"/>
                    </w:rPr>
                  </w:pPr>
                  <w:r>
                    <w:rPr>
                      <w:rFonts w:hint="eastAsia"/>
                      <w:kern w:val="0"/>
                    </w:rPr>
                    <w:t>固态</w:t>
                  </w:r>
                </w:p>
              </w:tc>
              <w:tc>
                <w:tcPr>
                  <w:tcW w:w="53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金属</w:t>
                  </w:r>
                </w:p>
              </w:tc>
              <w:tc>
                <w:tcPr>
                  <w:tcW w:w="415" w:type="pct"/>
                  <w:vAlign w:val="center"/>
                </w:tcPr>
                <w:p>
                  <w:pPr>
                    <w:pStyle w:val="35"/>
                  </w:pPr>
                  <w:r>
                    <w:t>—</w:t>
                  </w:r>
                </w:p>
              </w:tc>
              <w:tc>
                <w:tcPr>
                  <w:tcW w:w="344" w:type="pct"/>
                  <w:vAlign w:val="center"/>
                </w:tcPr>
                <w:p>
                  <w:pPr>
                    <w:pStyle w:val="35"/>
                  </w:pPr>
                  <w:r>
                    <w:rPr>
                      <w:rFonts w:hint="eastAsia"/>
                    </w:rPr>
                    <w:t>每天</w:t>
                  </w:r>
                </w:p>
              </w:tc>
              <w:tc>
                <w:tcPr>
                  <w:tcW w:w="310" w:type="pct"/>
                  <w:vAlign w:val="center"/>
                </w:tcPr>
                <w:p>
                  <w:pPr>
                    <w:pStyle w:val="35"/>
                  </w:pPr>
                  <w:r>
                    <w:t>—</w:t>
                  </w:r>
                </w:p>
              </w:tc>
              <w:tc>
                <w:tcPr>
                  <w:tcW w:w="387"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rFonts w:hint="eastAsia"/>
                      <w:bCs/>
                    </w:rPr>
                    <w:t>4</w:t>
                  </w:r>
                </w:p>
              </w:tc>
              <w:tc>
                <w:tcPr>
                  <w:tcW w:w="609" w:type="pct"/>
                  <w:vAlign w:val="center"/>
                </w:tcPr>
                <w:p>
                  <w:pPr>
                    <w:pStyle w:val="35"/>
                    <w:rPr>
                      <w:rFonts w:ascii="Times New Roman" w:hAnsi="Times New Roman" w:eastAsia="宋体" w:cs="Times New Roman"/>
                      <w:kern w:val="2"/>
                      <w:sz w:val="21"/>
                      <w:szCs w:val="24"/>
                      <w:lang w:val="en-US" w:eastAsia="zh-CN" w:bidi="ar-SA"/>
                    </w:rPr>
                  </w:pPr>
                  <w:r>
                    <w:rPr>
                      <w:rFonts w:hint="eastAsia"/>
                      <w:kern w:val="0"/>
                    </w:rPr>
                    <w:t>清洗废液</w:t>
                  </w:r>
                </w:p>
              </w:tc>
              <w:tc>
                <w:tcPr>
                  <w:tcW w:w="418" w:type="pct"/>
                  <w:vAlign w:val="center"/>
                </w:tcPr>
                <w:p>
                  <w:pPr>
                    <w:pStyle w:val="35"/>
                    <w:rPr>
                      <w:rFonts w:ascii="Times New Roman" w:hAnsi="Times New Roman" w:eastAsia="宋体" w:cs="Times New Roman"/>
                      <w:bCs/>
                      <w:kern w:val="2"/>
                      <w:sz w:val="21"/>
                      <w:szCs w:val="24"/>
                      <w:lang w:val="en-US" w:eastAsia="zh-CN" w:bidi="ar-SA"/>
                    </w:rPr>
                  </w:pPr>
                  <w:r>
                    <w:t>HW06</w:t>
                  </w:r>
                </w:p>
              </w:tc>
              <w:tc>
                <w:tcPr>
                  <w:tcW w:w="505" w:type="pct"/>
                  <w:vAlign w:val="center"/>
                </w:tcPr>
                <w:p>
                  <w:pPr>
                    <w:pStyle w:val="35"/>
                    <w:rPr>
                      <w:rFonts w:ascii="Times New Roman" w:hAnsi="Times New Roman" w:eastAsia="宋体" w:cs="Times New Roman"/>
                      <w:kern w:val="2"/>
                      <w:sz w:val="21"/>
                      <w:szCs w:val="24"/>
                      <w:lang w:val="en-US" w:eastAsia="zh-CN" w:bidi="ar-SA"/>
                    </w:rPr>
                  </w:pPr>
                  <w:r>
                    <w:t>900-402-06</w:t>
                  </w:r>
                </w:p>
              </w:tc>
              <w:tc>
                <w:tcPr>
                  <w:tcW w:w="355" w:type="pct"/>
                  <w:vAlign w:val="center"/>
                </w:tcPr>
                <w:p>
                  <w:pPr>
                    <w:pStyle w:val="35"/>
                    <w:rPr>
                      <w:rFonts w:ascii="Times New Roman" w:hAnsi="Times New Roman" w:eastAsia="宋体" w:cs="Times New Roman"/>
                      <w:kern w:val="2"/>
                      <w:sz w:val="21"/>
                      <w:szCs w:val="24"/>
                      <w:lang w:val="en-US" w:eastAsia="zh-CN" w:bidi="ar-SA"/>
                    </w:rPr>
                  </w:pPr>
                  <w:r>
                    <w:t>0.</w:t>
                  </w:r>
                  <w:r>
                    <w:rPr>
                      <w:rFonts w:hint="eastAsia"/>
                      <w:lang w:val="en-US" w:eastAsia="zh-CN"/>
                    </w:rPr>
                    <w:t>1</w:t>
                  </w:r>
                </w:p>
              </w:tc>
              <w:tc>
                <w:tcPr>
                  <w:tcW w:w="477" w:type="pct"/>
                  <w:vAlign w:val="center"/>
                </w:tcPr>
                <w:p>
                  <w:pPr>
                    <w:pStyle w:val="35"/>
                    <w:rPr>
                      <w:rFonts w:ascii="Times New Roman" w:hAnsi="Times New Roman" w:eastAsia="宋体" w:cs="Times New Roman"/>
                      <w:kern w:val="2"/>
                      <w:sz w:val="21"/>
                      <w:szCs w:val="24"/>
                      <w:lang w:val="en-US" w:eastAsia="zh-CN" w:bidi="ar-SA"/>
                    </w:rPr>
                  </w:pPr>
                  <w:r>
                    <w:rPr>
                      <w:rFonts w:hint="eastAsia"/>
                    </w:rPr>
                    <w:t>清洗</w:t>
                  </w:r>
                </w:p>
              </w:tc>
              <w:tc>
                <w:tcPr>
                  <w:tcW w:w="356" w:type="pct"/>
                  <w:vAlign w:val="center"/>
                </w:tcPr>
                <w:p>
                  <w:pPr>
                    <w:pStyle w:val="35"/>
                    <w:rPr>
                      <w:rFonts w:ascii="Times New Roman" w:hAnsi="Times New Roman" w:eastAsia="宋体" w:cs="Times New Roman"/>
                      <w:kern w:val="0"/>
                      <w:sz w:val="21"/>
                      <w:szCs w:val="24"/>
                      <w:lang w:val="en-US" w:eastAsia="zh-CN" w:bidi="ar-SA"/>
                    </w:rPr>
                  </w:pPr>
                  <w:r>
                    <w:rPr>
                      <w:rFonts w:hint="eastAsia"/>
                      <w:kern w:val="0"/>
                    </w:rPr>
                    <w:t>液态</w:t>
                  </w:r>
                </w:p>
              </w:tc>
              <w:tc>
                <w:tcPr>
                  <w:tcW w:w="53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lang w:eastAsia="zh-CN"/>
                    </w:rPr>
                    <w:t>酒精</w:t>
                  </w:r>
                </w:p>
              </w:tc>
              <w:tc>
                <w:tcPr>
                  <w:tcW w:w="415" w:type="pct"/>
                  <w:vAlign w:val="center"/>
                </w:tcPr>
                <w:p>
                  <w:pPr>
                    <w:pStyle w:val="35"/>
                    <w:rPr>
                      <w:rFonts w:ascii="Times New Roman" w:hAnsi="Times New Roman" w:eastAsia="宋体" w:cs="Times New Roman"/>
                      <w:kern w:val="2"/>
                      <w:sz w:val="21"/>
                      <w:szCs w:val="24"/>
                      <w:lang w:val="en-US" w:eastAsia="zh-CN" w:bidi="ar-SA"/>
                    </w:rPr>
                  </w:pPr>
                  <w:r>
                    <w:rPr>
                      <w:rFonts w:hint="eastAsia"/>
                    </w:rPr>
                    <w:t>醇类</w:t>
                  </w:r>
                </w:p>
              </w:tc>
              <w:tc>
                <w:tcPr>
                  <w:tcW w:w="344" w:type="pct"/>
                  <w:vAlign w:val="center"/>
                </w:tcPr>
                <w:p>
                  <w:pPr>
                    <w:pStyle w:val="35"/>
                    <w:rPr>
                      <w:rFonts w:ascii="Times New Roman" w:hAnsi="Times New Roman" w:eastAsia="宋体" w:cs="Times New Roman"/>
                      <w:kern w:val="2"/>
                      <w:sz w:val="21"/>
                      <w:szCs w:val="24"/>
                      <w:lang w:val="en-US" w:eastAsia="zh-CN" w:bidi="ar-SA"/>
                    </w:rPr>
                  </w:pPr>
                  <w:r>
                    <w:rPr>
                      <w:rFonts w:hint="eastAsia"/>
                    </w:rPr>
                    <w:t>每月</w:t>
                  </w:r>
                </w:p>
              </w:tc>
              <w:tc>
                <w:tcPr>
                  <w:tcW w:w="310" w:type="pct"/>
                  <w:vAlign w:val="center"/>
                </w:tcPr>
                <w:p>
                  <w:pPr>
                    <w:pStyle w:val="35"/>
                    <w:rPr>
                      <w:rFonts w:ascii="Times New Roman" w:hAnsi="Times New Roman" w:eastAsia="宋体" w:cs="Times New Roman"/>
                      <w:kern w:val="2"/>
                      <w:sz w:val="21"/>
                      <w:szCs w:val="24"/>
                      <w:lang w:val="en-US" w:eastAsia="zh-CN" w:bidi="ar-SA"/>
                    </w:rPr>
                  </w:pPr>
                  <w:r>
                    <w:t>T/I/R</w:t>
                  </w:r>
                </w:p>
              </w:tc>
              <w:tc>
                <w:tcPr>
                  <w:tcW w:w="387"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rFonts w:hint="eastAsia"/>
                      <w:kern w:val="0"/>
                    </w:rPr>
                    <w:t>5</w:t>
                  </w:r>
                </w:p>
              </w:tc>
              <w:tc>
                <w:tcPr>
                  <w:tcW w:w="60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kern w:val="0"/>
                    </w:rPr>
                    <w:t>废</w:t>
                  </w:r>
                  <w:r>
                    <w:rPr>
                      <w:rFonts w:hint="eastAsia"/>
                      <w:kern w:val="0"/>
                      <w:lang w:eastAsia="zh-CN"/>
                    </w:rPr>
                    <w:t>酒精包装瓶</w:t>
                  </w:r>
                </w:p>
              </w:tc>
              <w:tc>
                <w:tcPr>
                  <w:tcW w:w="418" w:type="pct"/>
                  <w:vAlign w:val="center"/>
                </w:tcPr>
                <w:p>
                  <w:pPr>
                    <w:pStyle w:val="35"/>
                    <w:rPr>
                      <w:rFonts w:ascii="Times New Roman" w:hAnsi="Times New Roman" w:eastAsia="宋体" w:cs="Times New Roman"/>
                      <w:bCs/>
                      <w:kern w:val="2"/>
                      <w:sz w:val="21"/>
                      <w:szCs w:val="24"/>
                      <w:lang w:val="en-US" w:eastAsia="zh-CN" w:bidi="ar-SA"/>
                    </w:rPr>
                  </w:pPr>
                  <w:r>
                    <w:rPr>
                      <w:kern w:val="0"/>
                    </w:rPr>
                    <w:t>HW49</w:t>
                  </w:r>
                </w:p>
              </w:tc>
              <w:tc>
                <w:tcPr>
                  <w:tcW w:w="505" w:type="pct"/>
                  <w:vAlign w:val="center"/>
                </w:tcPr>
                <w:p>
                  <w:pPr>
                    <w:pStyle w:val="35"/>
                    <w:rPr>
                      <w:rFonts w:ascii="Times New Roman" w:hAnsi="Times New Roman" w:eastAsia="宋体" w:cs="Times New Roman"/>
                      <w:kern w:val="2"/>
                      <w:sz w:val="21"/>
                      <w:szCs w:val="24"/>
                      <w:lang w:val="en-US" w:eastAsia="zh-CN" w:bidi="ar-SA"/>
                    </w:rPr>
                  </w:pPr>
                  <w:r>
                    <w:rPr>
                      <w:kern w:val="0"/>
                    </w:rPr>
                    <w:t>900-041-49</w:t>
                  </w:r>
                </w:p>
              </w:tc>
              <w:tc>
                <w:tcPr>
                  <w:tcW w:w="355" w:type="pct"/>
                  <w:vAlign w:val="center"/>
                </w:tcPr>
                <w:p>
                  <w:pPr>
                    <w:pStyle w:val="35"/>
                    <w:rPr>
                      <w:rFonts w:ascii="Times New Roman" w:hAnsi="Times New Roman" w:eastAsia="宋体" w:cs="Times New Roman"/>
                      <w:kern w:val="2"/>
                      <w:sz w:val="21"/>
                      <w:szCs w:val="24"/>
                      <w:lang w:val="en-US" w:eastAsia="zh-CN" w:bidi="ar-SA"/>
                    </w:rPr>
                  </w:pPr>
                  <w:r>
                    <w:t>0.0</w:t>
                  </w:r>
                  <w:r>
                    <w:rPr>
                      <w:rFonts w:hint="eastAsia"/>
                      <w:lang w:val="en-US" w:eastAsia="zh-CN"/>
                    </w:rPr>
                    <w:t>1</w:t>
                  </w:r>
                </w:p>
              </w:tc>
              <w:tc>
                <w:tcPr>
                  <w:tcW w:w="477" w:type="pct"/>
                  <w:vAlign w:val="center"/>
                </w:tcPr>
                <w:p>
                  <w:pPr>
                    <w:pStyle w:val="35"/>
                    <w:rPr>
                      <w:rFonts w:ascii="Times New Roman" w:hAnsi="Times New Roman" w:eastAsia="宋体" w:cs="Times New Roman"/>
                      <w:kern w:val="2"/>
                      <w:sz w:val="21"/>
                      <w:szCs w:val="24"/>
                      <w:lang w:val="en-US" w:eastAsia="zh-CN" w:bidi="ar-SA"/>
                    </w:rPr>
                  </w:pPr>
                  <w:r>
                    <w:rPr>
                      <w:rFonts w:hint="eastAsia"/>
                      <w:kern w:val="0"/>
                    </w:rPr>
                    <w:t>包装</w:t>
                  </w:r>
                </w:p>
              </w:tc>
              <w:tc>
                <w:tcPr>
                  <w:tcW w:w="356" w:type="pct"/>
                  <w:vAlign w:val="center"/>
                </w:tcPr>
                <w:p>
                  <w:pPr>
                    <w:pStyle w:val="35"/>
                    <w:rPr>
                      <w:rFonts w:ascii="Times New Roman" w:hAnsi="Times New Roman" w:eastAsia="宋体" w:cs="Times New Roman"/>
                      <w:kern w:val="2"/>
                      <w:sz w:val="21"/>
                      <w:szCs w:val="24"/>
                      <w:lang w:val="en-US" w:eastAsia="zh-CN" w:bidi="ar-SA"/>
                    </w:rPr>
                  </w:pPr>
                  <w:r>
                    <w:rPr>
                      <w:rFonts w:hint="eastAsia"/>
                    </w:rPr>
                    <w:t>固态</w:t>
                  </w:r>
                </w:p>
              </w:tc>
              <w:tc>
                <w:tcPr>
                  <w:tcW w:w="538" w:type="pct"/>
                  <w:vAlign w:val="center"/>
                </w:tcPr>
                <w:p>
                  <w:pPr>
                    <w:pStyle w:val="35"/>
                    <w:rPr>
                      <w:rFonts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酒精、包装瓶</w:t>
                  </w:r>
                </w:p>
              </w:tc>
              <w:tc>
                <w:tcPr>
                  <w:tcW w:w="415" w:type="pct"/>
                  <w:vAlign w:val="center"/>
                </w:tcPr>
                <w:p>
                  <w:pPr>
                    <w:pStyle w:val="35"/>
                    <w:rPr>
                      <w:rFonts w:ascii="Times New Roman" w:hAnsi="Times New Roman" w:eastAsia="宋体" w:cs="Times New Roman"/>
                      <w:kern w:val="2"/>
                      <w:sz w:val="21"/>
                      <w:szCs w:val="24"/>
                      <w:lang w:val="en-US" w:eastAsia="zh-CN" w:bidi="ar-SA"/>
                    </w:rPr>
                  </w:pPr>
                  <w:r>
                    <w:rPr>
                      <w:rFonts w:hint="eastAsia"/>
                    </w:rPr>
                    <w:t>化学物质</w:t>
                  </w:r>
                </w:p>
              </w:tc>
              <w:tc>
                <w:tcPr>
                  <w:tcW w:w="344" w:type="pct"/>
                  <w:vAlign w:val="center"/>
                </w:tcPr>
                <w:p>
                  <w:pPr>
                    <w:pStyle w:val="35"/>
                    <w:rPr>
                      <w:rFonts w:ascii="Times New Roman" w:hAnsi="Times New Roman" w:eastAsia="宋体" w:cs="Times New Roman"/>
                      <w:kern w:val="2"/>
                      <w:sz w:val="21"/>
                      <w:szCs w:val="24"/>
                      <w:lang w:val="en-US" w:eastAsia="zh-CN" w:bidi="ar-SA"/>
                    </w:rPr>
                  </w:pPr>
                  <w:r>
                    <w:rPr>
                      <w:rFonts w:hint="eastAsia"/>
                    </w:rPr>
                    <w:t>每天</w:t>
                  </w:r>
                </w:p>
              </w:tc>
              <w:tc>
                <w:tcPr>
                  <w:tcW w:w="310" w:type="pct"/>
                  <w:vAlign w:val="center"/>
                </w:tcPr>
                <w:p>
                  <w:pPr>
                    <w:pStyle w:val="35"/>
                    <w:rPr>
                      <w:rFonts w:ascii="Times New Roman" w:hAnsi="Times New Roman" w:eastAsia="宋体" w:cs="Times New Roman"/>
                      <w:kern w:val="2"/>
                      <w:sz w:val="21"/>
                      <w:szCs w:val="24"/>
                      <w:lang w:val="en-US" w:eastAsia="zh-CN" w:bidi="ar-SA"/>
                    </w:rPr>
                  </w:pPr>
                  <w:r>
                    <w:t>T/In</w:t>
                  </w:r>
                </w:p>
              </w:tc>
              <w:tc>
                <w:tcPr>
                  <w:tcW w:w="387"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rFonts w:hint="eastAsia"/>
                      <w:kern w:val="0"/>
                    </w:rPr>
                    <w:t>6</w:t>
                  </w:r>
                </w:p>
              </w:tc>
              <w:tc>
                <w:tcPr>
                  <w:tcW w:w="60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kern w:val="0"/>
                    </w:rPr>
                    <w:t>废活性炭</w:t>
                  </w:r>
                </w:p>
              </w:tc>
              <w:tc>
                <w:tcPr>
                  <w:tcW w:w="418" w:type="pct"/>
                  <w:vAlign w:val="center"/>
                </w:tcPr>
                <w:p>
                  <w:pPr>
                    <w:pStyle w:val="35"/>
                    <w:rPr>
                      <w:rFonts w:ascii="Times New Roman" w:hAnsi="Times New Roman" w:eastAsia="宋体" w:cs="Times New Roman"/>
                      <w:bCs/>
                      <w:kern w:val="2"/>
                      <w:sz w:val="21"/>
                      <w:szCs w:val="24"/>
                      <w:lang w:val="en-US" w:eastAsia="zh-CN" w:bidi="ar-SA"/>
                    </w:rPr>
                  </w:pPr>
                  <w:r>
                    <w:rPr>
                      <w:kern w:val="0"/>
                    </w:rPr>
                    <w:t>HW49</w:t>
                  </w:r>
                </w:p>
              </w:tc>
              <w:tc>
                <w:tcPr>
                  <w:tcW w:w="505" w:type="pct"/>
                  <w:vAlign w:val="center"/>
                </w:tcPr>
                <w:p>
                  <w:pPr>
                    <w:pStyle w:val="35"/>
                    <w:rPr>
                      <w:rFonts w:ascii="Times New Roman" w:hAnsi="Times New Roman" w:eastAsia="宋体" w:cs="Times New Roman"/>
                      <w:kern w:val="2"/>
                      <w:sz w:val="21"/>
                      <w:szCs w:val="24"/>
                      <w:lang w:val="en-US" w:eastAsia="zh-CN" w:bidi="ar-SA"/>
                    </w:rPr>
                  </w:pPr>
                  <w:r>
                    <w:rPr>
                      <w:kern w:val="0"/>
                    </w:rPr>
                    <w:t>900-039-49</w:t>
                  </w:r>
                </w:p>
              </w:tc>
              <w:tc>
                <w:tcPr>
                  <w:tcW w:w="355" w:type="pct"/>
                  <w:vAlign w:val="center"/>
                </w:tcPr>
                <w:p>
                  <w:pPr>
                    <w:pStyle w:val="35"/>
                    <w:rPr>
                      <w:rFonts w:ascii="Times New Roman" w:hAnsi="Times New Roman" w:eastAsia="宋体" w:cs="Times New Roman"/>
                      <w:kern w:val="2"/>
                      <w:sz w:val="21"/>
                      <w:szCs w:val="24"/>
                      <w:lang w:val="en-US" w:eastAsia="zh-CN" w:bidi="ar-SA"/>
                    </w:rPr>
                  </w:pPr>
                  <w:r>
                    <w:t>3.62</w:t>
                  </w:r>
                </w:p>
              </w:tc>
              <w:tc>
                <w:tcPr>
                  <w:tcW w:w="477" w:type="pct"/>
                  <w:vAlign w:val="center"/>
                </w:tcPr>
                <w:p>
                  <w:pPr>
                    <w:pStyle w:val="35"/>
                    <w:rPr>
                      <w:rFonts w:ascii="Times New Roman" w:hAnsi="Times New Roman" w:eastAsia="宋体" w:cs="Times New Roman"/>
                      <w:kern w:val="2"/>
                      <w:sz w:val="21"/>
                      <w:szCs w:val="24"/>
                      <w:lang w:val="en-US" w:eastAsia="zh-CN" w:bidi="ar-SA"/>
                    </w:rPr>
                  </w:pPr>
                  <w:r>
                    <w:rPr>
                      <w:rFonts w:hint="eastAsia"/>
                    </w:rPr>
                    <w:t>废气处理</w:t>
                  </w:r>
                </w:p>
              </w:tc>
              <w:tc>
                <w:tcPr>
                  <w:tcW w:w="356" w:type="pct"/>
                  <w:vAlign w:val="center"/>
                </w:tcPr>
                <w:p>
                  <w:pPr>
                    <w:pStyle w:val="35"/>
                    <w:rPr>
                      <w:rFonts w:ascii="Times New Roman" w:hAnsi="Times New Roman" w:eastAsia="宋体" w:cs="Times New Roman"/>
                      <w:kern w:val="2"/>
                      <w:sz w:val="21"/>
                      <w:szCs w:val="24"/>
                      <w:lang w:val="en-US" w:eastAsia="zh-CN" w:bidi="ar-SA"/>
                    </w:rPr>
                  </w:pPr>
                  <w:r>
                    <w:rPr>
                      <w:rFonts w:hint="eastAsia"/>
                      <w:kern w:val="0"/>
                    </w:rPr>
                    <w:t>固态</w:t>
                  </w:r>
                </w:p>
              </w:tc>
              <w:tc>
                <w:tcPr>
                  <w:tcW w:w="538"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rPr>
                    <w:t>活性炭、有机物</w:t>
                  </w:r>
                </w:p>
              </w:tc>
              <w:tc>
                <w:tcPr>
                  <w:tcW w:w="415" w:type="pct"/>
                  <w:vAlign w:val="center"/>
                </w:tcPr>
                <w:p>
                  <w:pPr>
                    <w:pStyle w:val="35"/>
                    <w:rPr>
                      <w:rFonts w:ascii="Times New Roman" w:hAnsi="Times New Roman" w:eastAsia="宋体" w:cs="Times New Roman"/>
                      <w:kern w:val="2"/>
                      <w:sz w:val="21"/>
                      <w:szCs w:val="24"/>
                      <w:lang w:val="en-US" w:eastAsia="zh-CN" w:bidi="ar-SA"/>
                    </w:rPr>
                  </w:pPr>
                  <w:r>
                    <w:rPr>
                      <w:rFonts w:hint="eastAsia"/>
                    </w:rPr>
                    <w:t>活性炭、有机物</w:t>
                  </w:r>
                </w:p>
              </w:tc>
              <w:tc>
                <w:tcPr>
                  <w:tcW w:w="344" w:type="pct"/>
                  <w:vAlign w:val="center"/>
                </w:tcPr>
                <w:p>
                  <w:pPr>
                    <w:pStyle w:val="35"/>
                    <w:rPr>
                      <w:rFonts w:ascii="Times New Roman" w:hAnsi="Times New Roman" w:eastAsia="宋体" w:cs="Times New Roman"/>
                      <w:kern w:val="2"/>
                      <w:sz w:val="21"/>
                      <w:szCs w:val="24"/>
                      <w:lang w:val="en-US" w:eastAsia="zh-CN" w:bidi="ar-SA"/>
                    </w:rPr>
                  </w:pPr>
                  <w:r>
                    <w:rPr>
                      <w:rFonts w:hint="eastAsia"/>
                    </w:rPr>
                    <w:t>每季度</w:t>
                  </w:r>
                </w:p>
              </w:tc>
              <w:tc>
                <w:tcPr>
                  <w:tcW w:w="310" w:type="pct"/>
                  <w:vAlign w:val="center"/>
                </w:tcPr>
                <w:p>
                  <w:pPr>
                    <w:pStyle w:val="35"/>
                    <w:rPr>
                      <w:rFonts w:ascii="Times New Roman" w:hAnsi="Times New Roman" w:eastAsia="宋体" w:cs="Times New Roman"/>
                      <w:kern w:val="2"/>
                      <w:sz w:val="21"/>
                      <w:szCs w:val="24"/>
                      <w:lang w:val="en-US" w:eastAsia="zh-CN" w:bidi="ar-SA"/>
                    </w:rPr>
                  </w:pPr>
                  <w:r>
                    <w:t>T</w:t>
                  </w:r>
                </w:p>
              </w:tc>
              <w:tc>
                <w:tcPr>
                  <w:tcW w:w="387" w:type="pct"/>
                  <w:vMerge w:val="continue"/>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blHeader/>
                <w:jc w:val="center"/>
              </w:trPr>
              <w:tc>
                <w:tcPr>
                  <w:tcW w:w="281" w:type="pct"/>
                  <w:vAlign w:val="center"/>
                </w:tcPr>
                <w:p>
                  <w:pPr>
                    <w:pStyle w:val="35"/>
                    <w:rPr>
                      <w:bCs/>
                    </w:rPr>
                  </w:pPr>
                  <w:r>
                    <w:rPr>
                      <w:kern w:val="0"/>
                    </w:rPr>
                    <w:t>7</w:t>
                  </w:r>
                </w:p>
              </w:tc>
              <w:tc>
                <w:tcPr>
                  <w:tcW w:w="609" w:type="pct"/>
                  <w:vAlign w:val="center"/>
                </w:tcPr>
                <w:p>
                  <w:pPr>
                    <w:pStyle w:val="35"/>
                    <w:rPr>
                      <w:rFonts w:hint="eastAsia" w:ascii="Times New Roman" w:hAnsi="Times New Roman" w:eastAsia="宋体" w:cs="Times New Roman"/>
                      <w:kern w:val="2"/>
                      <w:sz w:val="21"/>
                      <w:szCs w:val="24"/>
                      <w:lang w:val="en-US" w:eastAsia="zh-CN" w:bidi="ar-SA"/>
                    </w:rPr>
                  </w:pPr>
                  <w:r>
                    <w:rPr>
                      <w:rFonts w:hint="eastAsia"/>
                      <w:kern w:val="0"/>
                    </w:rPr>
                    <w:t>生活垃圾</w:t>
                  </w:r>
                </w:p>
              </w:tc>
              <w:tc>
                <w:tcPr>
                  <w:tcW w:w="418" w:type="pct"/>
                  <w:vAlign w:val="center"/>
                </w:tcPr>
                <w:p>
                  <w:pPr>
                    <w:pStyle w:val="35"/>
                    <w:rPr>
                      <w:rFonts w:ascii="Times New Roman" w:hAnsi="Times New Roman" w:eastAsia="宋体" w:cs="Times New Roman"/>
                      <w:bCs/>
                      <w:kern w:val="2"/>
                      <w:sz w:val="21"/>
                      <w:szCs w:val="24"/>
                      <w:lang w:val="en-US" w:eastAsia="zh-CN" w:bidi="ar-SA"/>
                    </w:rPr>
                  </w:pPr>
                  <w:r>
                    <w:t>99</w:t>
                  </w:r>
                </w:p>
              </w:tc>
              <w:tc>
                <w:tcPr>
                  <w:tcW w:w="505" w:type="pct"/>
                  <w:vAlign w:val="center"/>
                </w:tcPr>
                <w:p>
                  <w:pPr>
                    <w:pStyle w:val="35"/>
                    <w:rPr>
                      <w:rFonts w:ascii="Times New Roman" w:hAnsi="Times New Roman" w:eastAsia="宋体" w:cs="Times New Roman"/>
                      <w:kern w:val="2"/>
                      <w:sz w:val="21"/>
                      <w:szCs w:val="24"/>
                      <w:lang w:val="en-US" w:eastAsia="zh-CN" w:bidi="ar-SA"/>
                    </w:rPr>
                  </w:pPr>
                  <w:r>
                    <w:t>900-999-99</w:t>
                  </w:r>
                </w:p>
              </w:tc>
              <w:tc>
                <w:tcPr>
                  <w:tcW w:w="355" w:type="pct"/>
                  <w:vAlign w:val="center"/>
                </w:tcPr>
                <w:p>
                  <w:pPr>
                    <w:pStyle w:val="35"/>
                    <w:rPr>
                      <w:rFonts w:hint="default" w:ascii="Times New Roman" w:hAnsi="Times New Roman" w:eastAsia="宋体" w:cs="Times New Roman"/>
                      <w:kern w:val="2"/>
                      <w:sz w:val="21"/>
                      <w:szCs w:val="24"/>
                      <w:lang w:val="en-US" w:eastAsia="zh-CN" w:bidi="ar-SA"/>
                    </w:rPr>
                  </w:pPr>
                  <w:r>
                    <w:rPr>
                      <w:rFonts w:hint="eastAsia"/>
                      <w:kern w:val="0"/>
                      <w:lang w:val="en-US" w:eastAsia="zh-CN"/>
                    </w:rPr>
                    <w:t>5.625</w:t>
                  </w:r>
                </w:p>
              </w:tc>
              <w:tc>
                <w:tcPr>
                  <w:tcW w:w="477" w:type="pct"/>
                  <w:vAlign w:val="center"/>
                </w:tcPr>
                <w:p>
                  <w:pPr>
                    <w:pStyle w:val="35"/>
                    <w:rPr>
                      <w:rFonts w:ascii="Times New Roman" w:hAnsi="Times New Roman" w:eastAsia="宋体" w:cs="Times New Roman"/>
                      <w:kern w:val="2"/>
                      <w:sz w:val="21"/>
                      <w:szCs w:val="24"/>
                      <w:lang w:val="en-US" w:eastAsia="zh-CN" w:bidi="ar-SA"/>
                    </w:rPr>
                  </w:pPr>
                  <w:r>
                    <w:rPr>
                      <w:rFonts w:hint="eastAsia"/>
                      <w:kern w:val="0"/>
                    </w:rPr>
                    <w:t>职工生活</w:t>
                  </w:r>
                </w:p>
              </w:tc>
              <w:tc>
                <w:tcPr>
                  <w:tcW w:w="356" w:type="pct"/>
                  <w:vAlign w:val="center"/>
                </w:tcPr>
                <w:p>
                  <w:pPr>
                    <w:pStyle w:val="35"/>
                    <w:rPr>
                      <w:rFonts w:ascii="Times New Roman" w:hAnsi="Times New Roman" w:eastAsia="宋体" w:cs="Times New Roman"/>
                      <w:kern w:val="2"/>
                      <w:sz w:val="21"/>
                      <w:szCs w:val="24"/>
                      <w:lang w:val="en-US" w:eastAsia="zh-CN" w:bidi="ar-SA"/>
                    </w:rPr>
                  </w:pPr>
                  <w:r>
                    <w:rPr>
                      <w:rFonts w:hint="eastAsia"/>
                    </w:rPr>
                    <w:t>固态</w:t>
                  </w:r>
                </w:p>
              </w:tc>
              <w:tc>
                <w:tcPr>
                  <w:tcW w:w="538" w:type="pct"/>
                  <w:vAlign w:val="center"/>
                </w:tcPr>
                <w:p>
                  <w:pPr>
                    <w:pStyle w:val="35"/>
                    <w:rPr>
                      <w:rFonts w:ascii="Times New Roman" w:hAnsi="Times New Roman" w:eastAsia="宋体" w:cs="Times New Roman"/>
                      <w:kern w:val="2"/>
                      <w:sz w:val="21"/>
                      <w:szCs w:val="24"/>
                      <w:lang w:val="en-US" w:eastAsia="zh-CN" w:bidi="ar-SA"/>
                    </w:rPr>
                  </w:pPr>
                  <w:r>
                    <w:rPr>
                      <w:rFonts w:hint="eastAsia"/>
                    </w:rPr>
                    <w:t>瓜果、纸张</w:t>
                  </w:r>
                </w:p>
              </w:tc>
              <w:tc>
                <w:tcPr>
                  <w:tcW w:w="415" w:type="pct"/>
                  <w:vAlign w:val="center"/>
                </w:tcPr>
                <w:p>
                  <w:pPr>
                    <w:pStyle w:val="35"/>
                    <w:rPr>
                      <w:rFonts w:ascii="Times New Roman" w:hAnsi="Times New Roman" w:eastAsia="宋体" w:cs="Times New Roman"/>
                      <w:kern w:val="2"/>
                      <w:sz w:val="21"/>
                      <w:szCs w:val="24"/>
                      <w:lang w:val="en-US" w:eastAsia="zh-CN" w:bidi="ar-SA"/>
                    </w:rPr>
                  </w:pPr>
                  <w:r>
                    <w:t>—</w:t>
                  </w:r>
                </w:p>
              </w:tc>
              <w:tc>
                <w:tcPr>
                  <w:tcW w:w="344" w:type="pct"/>
                  <w:vAlign w:val="center"/>
                </w:tcPr>
                <w:p>
                  <w:pPr>
                    <w:pStyle w:val="35"/>
                    <w:rPr>
                      <w:rFonts w:ascii="Times New Roman" w:hAnsi="Times New Roman" w:eastAsia="宋体" w:cs="Times New Roman"/>
                      <w:kern w:val="2"/>
                      <w:sz w:val="21"/>
                      <w:szCs w:val="24"/>
                      <w:lang w:val="en-US" w:eastAsia="zh-CN" w:bidi="ar-SA"/>
                    </w:rPr>
                  </w:pPr>
                  <w:r>
                    <w:rPr>
                      <w:rFonts w:hint="eastAsia"/>
                    </w:rPr>
                    <w:t>每天</w:t>
                  </w:r>
                </w:p>
              </w:tc>
              <w:tc>
                <w:tcPr>
                  <w:tcW w:w="310" w:type="pct"/>
                  <w:vAlign w:val="center"/>
                </w:tcPr>
                <w:p>
                  <w:pPr>
                    <w:pStyle w:val="35"/>
                    <w:rPr>
                      <w:rFonts w:ascii="Times New Roman" w:hAnsi="Times New Roman" w:eastAsia="宋体" w:cs="Times New Roman"/>
                      <w:kern w:val="2"/>
                      <w:sz w:val="21"/>
                      <w:szCs w:val="24"/>
                      <w:lang w:val="en-US" w:eastAsia="zh-CN" w:bidi="ar-SA"/>
                    </w:rPr>
                  </w:pPr>
                  <w:r>
                    <w:t>—</w:t>
                  </w:r>
                </w:p>
              </w:tc>
              <w:tc>
                <w:tcPr>
                  <w:tcW w:w="387" w:type="pct"/>
                  <w:vMerge w:val="continue"/>
                  <w:vAlign w:val="center"/>
                </w:tcPr>
                <w:p>
                  <w:pPr>
                    <w:pStyle w:val="35"/>
                  </w:pPr>
                </w:p>
              </w:tc>
            </w:tr>
          </w:tbl>
          <w:p>
            <w:pPr>
              <w:pStyle w:val="29"/>
              <w:ind w:firstLine="480"/>
              <w:rPr>
                <w:rFonts w:hint="eastAsia"/>
              </w:rPr>
            </w:pPr>
          </w:p>
          <w:p>
            <w:pPr>
              <w:pStyle w:val="29"/>
              <w:ind w:firstLine="480"/>
              <w:rPr>
                <w:rFonts w:hint="eastAsia"/>
              </w:rPr>
            </w:pPr>
          </w:p>
          <w:p>
            <w:pPr>
              <w:pStyle w:val="29"/>
              <w:ind w:firstLine="480"/>
            </w:pPr>
            <w:r>
              <w:rPr>
                <w:rFonts w:hint="eastAsia"/>
              </w:rPr>
              <w:t>项目危险废物均贮存在危废场所，危废场所的基本情况见表</w:t>
            </w:r>
            <w:r>
              <w:t>4-22</w:t>
            </w:r>
            <w:r>
              <w:rPr>
                <w:rFonts w:hint="eastAsia"/>
              </w:rPr>
              <w:t>。</w:t>
            </w:r>
          </w:p>
          <w:p>
            <w:pPr>
              <w:pStyle w:val="12"/>
            </w:pPr>
            <w:bookmarkStart w:id="12" w:name="_Hlk108015699"/>
            <w:r>
              <w:rPr>
                <w:rFonts w:hint="eastAsia"/>
              </w:rPr>
              <w:t>表</w:t>
            </w:r>
            <w:r>
              <w:t xml:space="preserve">4-22 </w:t>
            </w:r>
            <w:bookmarkEnd w:id="12"/>
            <w:r>
              <w:t xml:space="preserve"> </w:t>
            </w:r>
            <w:r>
              <w:rPr>
                <w:rFonts w:hint="eastAsia"/>
              </w:rPr>
              <w:t>危险废物贮存场所（设施）基本情况</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010"/>
              <w:gridCol w:w="1513"/>
              <w:gridCol w:w="1141"/>
              <w:gridCol w:w="1467"/>
              <w:gridCol w:w="734"/>
              <w:gridCol w:w="768"/>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75" w:type="pct"/>
                  <w:vAlign w:val="center"/>
                </w:tcPr>
                <w:p>
                  <w:pPr>
                    <w:pStyle w:val="35"/>
                  </w:pPr>
                  <w:r>
                    <w:rPr>
                      <w:rFonts w:hint="eastAsia"/>
                    </w:rPr>
                    <w:t>序号</w:t>
                  </w:r>
                </w:p>
              </w:tc>
              <w:tc>
                <w:tcPr>
                  <w:tcW w:w="614" w:type="pct"/>
                  <w:vAlign w:val="center"/>
                </w:tcPr>
                <w:p>
                  <w:pPr>
                    <w:pStyle w:val="35"/>
                  </w:pPr>
                  <w:r>
                    <w:rPr>
                      <w:rFonts w:hint="eastAsia"/>
                    </w:rPr>
                    <w:t>贮存场所名称</w:t>
                  </w:r>
                </w:p>
              </w:tc>
              <w:tc>
                <w:tcPr>
                  <w:tcW w:w="919" w:type="pct"/>
                  <w:vAlign w:val="center"/>
                </w:tcPr>
                <w:p>
                  <w:pPr>
                    <w:pStyle w:val="35"/>
                  </w:pPr>
                  <w:r>
                    <w:rPr>
                      <w:rFonts w:hint="eastAsia"/>
                    </w:rPr>
                    <w:t>危险废物名称</w:t>
                  </w:r>
                </w:p>
              </w:tc>
              <w:tc>
                <w:tcPr>
                  <w:tcW w:w="693" w:type="pct"/>
                  <w:vAlign w:val="center"/>
                </w:tcPr>
                <w:p>
                  <w:pPr>
                    <w:pStyle w:val="35"/>
                  </w:pPr>
                  <w:r>
                    <w:rPr>
                      <w:rFonts w:hint="eastAsia"/>
                    </w:rPr>
                    <w:t>危险废物类别</w:t>
                  </w:r>
                </w:p>
              </w:tc>
              <w:tc>
                <w:tcPr>
                  <w:tcW w:w="891" w:type="pct"/>
                  <w:vAlign w:val="center"/>
                </w:tcPr>
                <w:p>
                  <w:pPr>
                    <w:pStyle w:val="35"/>
                  </w:pPr>
                  <w:r>
                    <w:rPr>
                      <w:rFonts w:hint="eastAsia"/>
                    </w:rPr>
                    <w:t>危险废物代码</w:t>
                  </w:r>
                </w:p>
              </w:tc>
              <w:tc>
                <w:tcPr>
                  <w:tcW w:w="446" w:type="pct"/>
                  <w:vAlign w:val="center"/>
                </w:tcPr>
                <w:p>
                  <w:pPr>
                    <w:pStyle w:val="35"/>
                  </w:pPr>
                  <w:r>
                    <w:rPr>
                      <w:rFonts w:hint="eastAsia"/>
                    </w:rPr>
                    <w:t>占地面积</w:t>
                  </w:r>
                </w:p>
              </w:tc>
              <w:tc>
                <w:tcPr>
                  <w:tcW w:w="466" w:type="pct"/>
                  <w:vAlign w:val="center"/>
                </w:tcPr>
                <w:p>
                  <w:pPr>
                    <w:pStyle w:val="35"/>
                  </w:pPr>
                  <w:r>
                    <w:rPr>
                      <w:rFonts w:hint="eastAsia"/>
                    </w:rPr>
                    <w:t>贮存方式</w:t>
                  </w:r>
                </w:p>
              </w:tc>
              <w:tc>
                <w:tcPr>
                  <w:tcW w:w="592" w:type="pct"/>
                  <w:vAlign w:val="center"/>
                </w:tcPr>
                <w:p>
                  <w:pPr>
                    <w:pStyle w:val="35"/>
                  </w:pPr>
                  <w:bookmarkStart w:id="13" w:name="_Hlk108015682"/>
                  <w:r>
                    <w:rPr>
                      <w:rFonts w:hint="eastAsia"/>
                    </w:rPr>
                    <w:t>贮存周期</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5" w:type="pct"/>
                  <w:vAlign w:val="center"/>
                </w:tcPr>
                <w:p>
                  <w:pPr>
                    <w:pStyle w:val="35"/>
                  </w:pPr>
                  <w:r>
                    <w:t>1</w:t>
                  </w:r>
                </w:p>
              </w:tc>
              <w:tc>
                <w:tcPr>
                  <w:tcW w:w="614" w:type="pct"/>
                  <w:vMerge w:val="restart"/>
                  <w:vAlign w:val="center"/>
                </w:tcPr>
                <w:p>
                  <w:pPr>
                    <w:pStyle w:val="35"/>
                  </w:pPr>
                  <w:r>
                    <w:rPr>
                      <w:rFonts w:hint="eastAsia"/>
                    </w:rPr>
                    <w:t>危废仓库</w:t>
                  </w:r>
                </w:p>
              </w:tc>
              <w:tc>
                <w:tcPr>
                  <w:tcW w:w="919" w:type="pct"/>
                  <w:vAlign w:val="center"/>
                </w:tcPr>
                <w:p>
                  <w:pPr>
                    <w:pStyle w:val="35"/>
                    <w:rPr>
                      <w:kern w:val="0"/>
                    </w:rPr>
                  </w:pPr>
                  <w:r>
                    <w:rPr>
                      <w:rFonts w:hint="eastAsia"/>
                      <w:kern w:val="0"/>
                    </w:rPr>
                    <w:t>清洗废液</w:t>
                  </w:r>
                </w:p>
              </w:tc>
              <w:tc>
                <w:tcPr>
                  <w:tcW w:w="1141" w:type="dxa"/>
                  <w:vAlign w:val="center"/>
                </w:tcPr>
                <w:p>
                  <w:pPr>
                    <w:pStyle w:val="35"/>
                  </w:pPr>
                  <w:r>
                    <w:t>HW06</w:t>
                  </w:r>
                </w:p>
              </w:tc>
              <w:tc>
                <w:tcPr>
                  <w:tcW w:w="1467" w:type="dxa"/>
                  <w:vAlign w:val="center"/>
                </w:tcPr>
                <w:p>
                  <w:pPr>
                    <w:pStyle w:val="35"/>
                  </w:pPr>
                  <w:r>
                    <w:t>900-402-06</w:t>
                  </w:r>
                </w:p>
              </w:tc>
              <w:tc>
                <w:tcPr>
                  <w:tcW w:w="446" w:type="pct"/>
                  <w:vMerge w:val="restart"/>
                  <w:vAlign w:val="center"/>
                </w:tcPr>
                <w:p>
                  <w:pPr>
                    <w:pStyle w:val="35"/>
                    <w:adjustRightInd w:val="0"/>
                    <w:snapToGrid w:val="0"/>
                  </w:pPr>
                  <w:r>
                    <w:t>7m</w:t>
                  </w:r>
                  <w:r>
                    <w:rPr>
                      <w:vertAlign w:val="superscript"/>
                    </w:rPr>
                    <w:t>3</w:t>
                  </w:r>
                  <w:r>
                    <w:rPr>
                      <w:rFonts w:hint="eastAsia"/>
                    </w:rPr>
                    <w:t>，最大储存量</w:t>
                  </w:r>
                  <w:r>
                    <w:t>4t</w:t>
                  </w:r>
                </w:p>
              </w:tc>
              <w:tc>
                <w:tcPr>
                  <w:tcW w:w="466" w:type="pct"/>
                  <w:vAlign w:val="center"/>
                </w:tcPr>
                <w:p>
                  <w:pPr>
                    <w:pStyle w:val="35"/>
                  </w:pPr>
                  <w:r>
                    <w:rPr>
                      <w:rFonts w:hint="eastAsia"/>
                    </w:rPr>
                    <w:t>袋装</w:t>
                  </w:r>
                </w:p>
              </w:tc>
              <w:tc>
                <w:tcPr>
                  <w:tcW w:w="592" w:type="pct"/>
                  <w:vAlign w:val="center"/>
                </w:tcPr>
                <w:p>
                  <w:pPr>
                    <w:pStyle w:val="35"/>
                  </w:pPr>
                  <w:r>
                    <w:rPr>
                      <w:rFonts w:hint="eastAsia"/>
                    </w:rPr>
                    <w:t>六个月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5" w:type="pct"/>
                  <w:vAlign w:val="center"/>
                </w:tcPr>
                <w:p>
                  <w:pPr>
                    <w:pStyle w:val="35"/>
                  </w:pPr>
                  <w:r>
                    <w:t>2</w:t>
                  </w:r>
                </w:p>
              </w:tc>
              <w:tc>
                <w:tcPr>
                  <w:tcW w:w="614" w:type="pct"/>
                  <w:vMerge w:val="continue"/>
                  <w:vAlign w:val="center"/>
                </w:tcPr>
                <w:p>
                  <w:pPr>
                    <w:pStyle w:val="35"/>
                  </w:pPr>
                </w:p>
              </w:tc>
              <w:tc>
                <w:tcPr>
                  <w:tcW w:w="919" w:type="pct"/>
                  <w:vAlign w:val="center"/>
                </w:tcPr>
                <w:p>
                  <w:pPr>
                    <w:pStyle w:val="35"/>
                    <w:rPr>
                      <w:kern w:val="0"/>
                    </w:rPr>
                  </w:pPr>
                  <w:r>
                    <w:rPr>
                      <w:rFonts w:hint="eastAsia"/>
                      <w:kern w:val="0"/>
                    </w:rPr>
                    <w:t>废</w:t>
                  </w:r>
                  <w:r>
                    <w:rPr>
                      <w:rFonts w:hint="eastAsia"/>
                      <w:kern w:val="0"/>
                      <w:lang w:eastAsia="zh-CN"/>
                    </w:rPr>
                    <w:t>酒精包装瓶</w:t>
                  </w:r>
                </w:p>
              </w:tc>
              <w:tc>
                <w:tcPr>
                  <w:tcW w:w="1141" w:type="dxa"/>
                  <w:vAlign w:val="center"/>
                </w:tcPr>
                <w:p>
                  <w:pPr>
                    <w:pStyle w:val="35"/>
                  </w:pPr>
                  <w:r>
                    <w:rPr>
                      <w:kern w:val="0"/>
                    </w:rPr>
                    <w:t>HW49</w:t>
                  </w:r>
                </w:p>
              </w:tc>
              <w:tc>
                <w:tcPr>
                  <w:tcW w:w="1467" w:type="dxa"/>
                  <w:vAlign w:val="center"/>
                </w:tcPr>
                <w:p>
                  <w:pPr>
                    <w:pStyle w:val="35"/>
                    <w:rPr>
                      <w:kern w:val="0"/>
                    </w:rPr>
                  </w:pPr>
                  <w:r>
                    <w:rPr>
                      <w:kern w:val="0"/>
                    </w:rPr>
                    <w:t>900-041-49</w:t>
                  </w:r>
                </w:p>
              </w:tc>
              <w:tc>
                <w:tcPr>
                  <w:tcW w:w="446" w:type="pct"/>
                  <w:vMerge w:val="continue"/>
                  <w:vAlign w:val="center"/>
                </w:tcPr>
                <w:p>
                  <w:pPr>
                    <w:pStyle w:val="35"/>
                    <w:adjustRightInd w:val="0"/>
                    <w:snapToGrid w:val="0"/>
                  </w:pPr>
                </w:p>
              </w:tc>
              <w:tc>
                <w:tcPr>
                  <w:tcW w:w="466" w:type="pct"/>
                  <w:vAlign w:val="center"/>
                </w:tcPr>
                <w:p>
                  <w:pPr>
                    <w:pStyle w:val="35"/>
                  </w:pPr>
                  <w:r>
                    <w:rPr>
                      <w:rFonts w:hint="eastAsia"/>
                    </w:rPr>
                    <w:t>桶装</w:t>
                  </w:r>
                </w:p>
              </w:tc>
              <w:tc>
                <w:tcPr>
                  <w:tcW w:w="592" w:type="pct"/>
                  <w:vAlign w:val="center"/>
                </w:tcPr>
                <w:p>
                  <w:pPr>
                    <w:pStyle w:val="35"/>
                  </w:pPr>
                  <w:r>
                    <w:rPr>
                      <w:rFonts w:hint="eastAsia"/>
                    </w:rPr>
                    <w:t>六个月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5" w:type="pct"/>
                  <w:vAlign w:val="center"/>
                </w:tcPr>
                <w:p>
                  <w:pPr>
                    <w:pStyle w:val="35"/>
                  </w:pPr>
                  <w:r>
                    <w:t>3</w:t>
                  </w:r>
                </w:p>
              </w:tc>
              <w:tc>
                <w:tcPr>
                  <w:tcW w:w="614" w:type="pct"/>
                  <w:vMerge w:val="continue"/>
                  <w:vAlign w:val="center"/>
                </w:tcPr>
                <w:p>
                  <w:pPr>
                    <w:pStyle w:val="35"/>
                  </w:pPr>
                </w:p>
              </w:tc>
              <w:tc>
                <w:tcPr>
                  <w:tcW w:w="919" w:type="pct"/>
                  <w:vAlign w:val="center"/>
                </w:tcPr>
                <w:p>
                  <w:pPr>
                    <w:pStyle w:val="35"/>
                    <w:rPr>
                      <w:kern w:val="0"/>
                    </w:rPr>
                  </w:pPr>
                  <w:r>
                    <w:rPr>
                      <w:rFonts w:hint="eastAsia"/>
                      <w:kern w:val="0"/>
                    </w:rPr>
                    <w:t>废活性炭</w:t>
                  </w:r>
                </w:p>
              </w:tc>
              <w:tc>
                <w:tcPr>
                  <w:tcW w:w="1141" w:type="dxa"/>
                  <w:vAlign w:val="center"/>
                </w:tcPr>
                <w:p>
                  <w:pPr>
                    <w:pStyle w:val="35"/>
                  </w:pPr>
                  <w:r>
                    <w:rPr>
                      <w:kern w:val="0"/>
                    </w:rPr>
                    <w:t>HW49</w:t>
                  </w:r>
                </w:p>
              </w:tc>
              <w:tc>
                <w:tcPr>
                  <w:tcW w:w="1467" w:type="dxa"/>
                  <w:vAlign w:val="center"/>
                </w:tcPr>
                <w:p>
                  <w:pPr>
                    <w:pStyle w:val="35"/>
                    <w:rPr>
                      <w:kern w:val="0"/>
                    </w:rPr>
                  </w:pPr>
                  <w:r>
                    <w:rPr>
                      <w:kern w:val="0"/>
                    </w:rPr>
                    <w:t>900-039-49</w:t>
                  </w:r>
                </w:p>
              </w:tc>
              <w:tc>
                <w:tcPr>
                  <w:tcW w:w="446" w:type="pct"/>
                  <w:vMerge w:val="continue"/>
                  <w:vAlign w:val="center"/>
                </w:tcPr>
                <w:p>
                  <w:pPr>
                    <w:pStyle w:val="35"/>
                    <w:adjustRightInd w:val="0"/>
                    <w:snapToGrid w:val="0"/>
                  </w:pPr>
                </w:p>
              </w:tc>
              <w:tc>
                <w:tcPr>
                  <w:tcW w:w="466" w:type="pct"/>
                  <w:vAlign w:val="center"/>
                </w:tcPr>
                <w:p>
                  <w:pPr>
                    <w:pStyle w:val="35"/>
                  </w:pPr>
                  <w:r>
                    <w:rPr>
                      <w:rFonts w:hint="eastAsia"/>
                    </w:rPr>
                    <w:t>桶装</w:t>
                  </w:r>
                </w:p>
              </w:tc>
              <w:tc>
                <w:tcPr>
                  <w:tcW w:w="592" w:type="pct"/>
                  <w:vAlign w:val="center"/>
                </w:tcPr>
                <w:p>
                  <w:pPr>
                    <w:pStyle w:val="35"/>
                  </w:pPr>
                  <w:r>
                    <w:rPr>
                      <w:rFonts w:hint="eastAsia"/>
                    </w:rPr>
                    <w:t>六个月</w:t>
                  </w:r>
                </w:p>
              </w:tc>
            </w:tr>
          </w:tbl>
          <w:p>
            <w:pPr>
              <w:pStyle w:val="14"/>
            </w:pPr>
            <w:r>
              <w:t>2</w:t>
            </w:r>
            <w:r>
              <w:rPr>
                <w:rFonts w:hint="eastAsia"/>
              </w:rPr>
              <w:t>、管理要求</w:t>
            </w:r>
          </w:p>
          <w:p>
            <w:pPr>
              <w:pStyle w:val="29"/>
              <w:ind w:firstLine="480"/>
            </w:pPr>
            <w:r>
              <w:rPr>
                <w:rFonts w:hint="eastAsia"/>
              </w:rPr>
              <w:t>（</w:t>
            </w:r>
            <w:r>
              <w:t>1</w:t>
            </w:r>
            <w:r>
              <w:rPr>
                <w:rFonts w:hint="eastAsia"/>
              </w:rPr>
              <w:t>）一般工业固废污染防治措施</w:t>
            </w:r>
          </w:p>
          <w:p>
            <w:pPr>
              <w:pStyle w:val="29"/>
              <w:ind w:firstLine="480"/>
            </w:pPr>
            <w:r>
              <w:rPr>
                <w:rFonts w:hint="eastAsia"/>
              </w:rPr>
              <w:t>本项目一般固废种类较少，直接利用一般固废仓库进行堆放。锡渣、废电线收集后委托相关单位处置。</w:t>
            </w:r>
          </w:p>
          <w:p>
            <w:pPr>
              <w:pStyle w:val="29"/>
              <w:ind w:firstLine="480"/>
            </w:pPr>
            <w:r>
              <w:rPr>
                <w:rFonts w:hint="eastAsia"/>
              </w:rPr>
              <w:t>（</w:t>
            </w:r>
            <w:r>
              <w:t>2</w:t>
            </w:r>
            <w:r>
              <w:rPr>
                <w:rFonts w:hint="eastAsia"/>
              </w:rPr>
              <w:t>）危险废物污染防治措施</w:t>
            </w:r>
          </w:p>
          <w:p>
            <w:pPr>
              <w:pStyle w:val="29"/>
              <w:ind w:firstLine="480"/>
            </w:pPr>
            <w:r>
              <w:rPr>
                <w:rFonts w:hint="eastAsia"/>
              </w:rPr>
              <w:t>危险废物收集、贮存、运输时按危险特性进行分类、包装并设置相应的标志及标签。收集根据危废产生的工艺特征、排放周期、危险特性等因素制定收集计划及详细的操作规程，危废收集和转运中作业人员配备必要的个人防护装备及相应的安全防护和污染防治措施。危废贮存场所选址、设计、建设、运行均满足</w:t>
            </w:r>
            <w:r>
              <w:t>GB18597</w:t>
            </w:r>
            <w:r>
              <w:rPr>
                <w:rFonts w:hint="eastAsia"/>
              </w:rPr>
              <w:t>、</w:t>
            </w:r>
            <w:r>
              <w:t xml:space="preserve">GBZ1 </w:t>
            </w:r>
            <w:r>
              <w:rPr>
                <w:rFonts w:hint="eastAsia"/>
              </w:rPr>
              <w:t>和</w:t>
            </w:r>
            <w:r>
              <w:t xml:space="preserve">GBZ2 </w:t>
            </w:r>
            <w:r>
              <w:rPr>
                <w:rFonts w:hint="eastAsia"/>
              </w:rPr>
              <w:t>的相关要求。贮存危险废物时，根据危废种类进行分区贮存，每个贮存区域之间设置有挡墙间隔，设有防雨、防火、防泄漏装置，并设有明显标志，企业建立有危险废物贮存台账制度。危险废物的运输由处置单位安排，由取得危险货物运输资质的单位承担运输，运输过程严格执行《道路危险货物运输管理规定》和《危险化学品安全管理条例》。</w:t>
            </w:r>
          </w:p>
          <w:p>
            <w:pPr>
              <w:pStyle w:val="29"/>
              <w:ind w:firstLine="480"/>
            </w:pPr>
            <w:r>
              <w:rPr>
                <w:rFonts w:hint="eastAsia"/>
              </w:rPr>
              <w:t>危废仓库建设情况符合《危险废物贮存污染控制标准》（</w:t>
            </w:r>
            <w:r>
              <w:t>GB 18597-2001</w:t>
            </w:r>
            <w:r>
              <w:rPr>
                <w:rFonts w:hint="eastAsia"/>
              </w:rPr>
              <w:t>）要求：</w:t>
            </w:r>
          </w:p>
          <w:p>
            <w:pPr>
              <w:pStyle w:val="29"/>
              <w:ind w:firstLine="480"/>
            </w:pPr>
            <w:r>
              <w:rPr>
                <w:rFonts w:hint="eastAsia" w:ascii="宋体" w:hAnsi="宋体" w:cs="宋体"/>
              </w:rPr>
              <w:t>①</w:t>
            </w:r>
            <w:r>
              <w:rPr>
                <w:rFonts w:hint="eastAsia"/>
              </w:rPr>
              <w:t>地面与裙脚要用兼顾、防渗的材料建造，建筑材料必须与危险废物相容。基础防渗层为</w:t>
            </w:r>
            <w:r>
              <w:t xml:space="preserve">1m </w:t>
            </w:r>
            <w:r>
              <w:rPr>
                <w:rFonts w:hint="eastAsia"/>
              </w:rPr>
              <w:t>厚粘土层（渗透系数</w:t>
            </w:r>
            <w:r>
              <w:t>≤10</w:t>
            </w:r>
            <w:r>
              <w:rPr>
                <w:vertAlign w:val="superscript"/>
              </w:rPr>
              <w:t>-7</w:t>
            </w:r>
            <w:r>
              <w:t>cm/s</w:t>
            </w:r>
            <w:r>
              <w:rPr>
                <w:rFonts w:hint="eastAsia"/>
              </w:rPr>
              <w:t>），并进行</w:t>
            </w:r>
            <w:r>
              <w:t xml:space="preserve">0.4m </w:t>
            </w:r>
            <w:r>
              <w:rPr>
                <w:rFonts w:hint="eastAsia"/>
              </w:rPr>
              <w:t>厚的混凝土浇筑，最上层</w:t>
            </w:r>
            <w:r>
              <w:t xml:space="preserve">2.5mm </w:t>
            </w:r>
            <w:r>
              <w:rPr>
                <w:rFonts w:hint="eastAsia"/>
              </w:rPr>
              <w:t>的环氧树脂防腐防渗涂层，渗透系数</w:t>
            </w:r>
            <w:r>
              <w:t>≤10</w:t>
            </w:r>
            <w:r>
              <w:rPr>
                <w:vertAlign w:val="superscript"/>
              </w:rPr>
              <w:t>-10</w:t>
            </w:r>
            <w:r>
              <w:t>cm/s</w:t>
            </w:r>
            <w:r>
              <w:rPr>
                <w:rFonts w:hint="eastAsia"/>
              </w:rPr>
              <w:t>。</w:t>
            </w:r>
          </w:p>
          <w:p>
            <w:pPr>
              <w:pStyle w:val="29"/>
              <w:ind w:firstLine="480"/>
            </w:pPr>
            <w:r>
              <w:rPr>
                <w:rFonts w:hint="eastAsia" w:ascii="宋体" w:hAnsi="宋体" w:cs="宋体"/>
              </w:rPr>
              <w:t>②</w:t>
            </w:r>
            <w:r>
              <w:rPr>
                <w:rFonts w:hint="eastAsia"/>
              </w:rPr>
              <w:t>必须有泄漏液体收集装置、气体到出口及气体净化装置。</w:t>
            </w:r>
          </w:p>
          <w:p>
            <w:pPr>
              <w:pStyle w:val="29"/>
              <w:ind w:firstLine="480"/>
            </w:pPr>
            <w:r>
              <w:rPr>
                <w:rFonts w:hint="eastAsia" w:ascii="宋体" w:hAnsi="宋体" w:cs="宋体"/>
              </w:rPr>
              <w:t>③</w:t>
            </w:r>
            <w:r>
              <w:rPr>
                <w:rFonts w:hint="eastAsia"/>
              </w:rPr>
              <w:t>设施内要有安全照明设施和观察窗口。</w:t>
            </w:r>
          </w:p>
          <w:p>
            <w:pPr>
              <w:pStyle w:val="29"/>
              <w:ind w:firstLine="480"/>
            </w:pPr>
            <w:r>
              <w:rPr>
                <w:rFonts w:hint="eastAsia" w:ascii="宋体" w:hAnsi="宋体" w:cs="宋体"/>
              </w:rPr>
              <w:t>④</w:t>
            </w:r>
            <w:r>
              <w:rPr>
                <w:rFonts w:hint="eastAsia"/>
              </w:rPr>
              <w:t>用以存放装载液体、半固体危险废物容器的地方，必须有耐腐蚀的硬化地面，且表面无裂隙。</w:t>
            </w:r>
          </w:p>
          <w:p>
            <w:pPr>
              <w:pStyle w:val="29"/>
              <w:ind w:firstLine="480"/>
            </w:pPr>
            <w:r>
              <w:rPr>
                <w:rFonts w:hint="eastAsia" w:ascii="宋体" w:hAnsi="宋体" w:cs="宋体"/>
              </w:rPr>
              <w:t>⑤</w:t>
            </w:r>
            <w:r>
              <w:rPr>
                <w:rFonts w:hint="eastAsia"/>
              </w:rPr>
              <w:t>应设计堵截泄漏的裙脚，地面与裙脚所围建的容积不低于堵截最大容器的最大储量或总储量的</w:t>
            </w:r>
            <w:r>
              <w:t>1/5</w:t>
            </w:r>
            <w:r>
              <w:rPr>
                <w:rFonts w:hint="eastAsia"/>
              </w:rPr>
              <w:t>。</w:t>
            </w:r>
          </w:p>
          <w:p>
            <w:pPr>
              <w:pStyle w:val="29"/>
              <w:ind w:firstLine="480"/>
            </w:pPr>
            <w:r>
              <w:rPr>
                <w:rFonts w:hint="eastAsia" w:ascii="宋体" w:hAnsi="宋体" w:cs="宋体"/>
              </w:rPr>
              <w:t>⑥</w:t>
            </w:r>
            <w:r>
              <w:rPr>
                <w:rFonts w:hint="eastAsia"/>
              </w:rPr>
              <w:t>不相容的危险废物必须分开存放，并设有隔离间隔断。</w:t>
            </w:r>
          </w:p>
          <w:p>
            <w:pPr>
              <w:pStyle w:val="29"/>
              <w:ind w:firstLine="480"/>
              <w:rPr>
                <w:bCs/>
              </w:rPr>
            </w:pPr>
            <w:r>
              <w:rPr>
                <w:rFonts w:hint="eastAsia"/>
                <w:bCs/>
              </w:rPr>
              <w:t>（</w:t>
            </w:r>
            <w:r>
              <w:rPr>
                <w:bCs/>
              </w:rPr>
              <w:t>3</w:t>
            </w:r>
            <w:r>
              <w:rPr>
                <w:rFonts w:hint="eastAsia"/>
                <w:bCs/>
              </w:rPr>
              <w:t>）委托利用或处置污染防治措施</w:t>
            </w:r>
          </w:p>
          <w:p>
            <w:pPr>
              <w:pStyle w:val="29"/>
              <w:ind w:firstLine="480"/>
            </w:pPr>
            <w:r>
              <w:rPr>
                <w:rFonts w:hint="eastAsia" w:ascii="宋体" w:hAnsi="宋体" w:cs="宋体"/>
              </w:rPr>
              <w:t>①</w:t>
            </w:r>
            <w:r>
              <w:rPr>
                <w:rFonts w:hint="eastAsia"/>
              </w:rPr>
              <w:t>运输单位资质要求。本项目危险废物运输由持有危险废物运输许可证的单位按照许可范围组织实施，承担危险废物运输的单位获得交通运输部门颁发的危险货物运输资质，采用公路运输方式。</w:t>
            </w:r>
          </w:p>
          <w:p>
            <w:pPr>
              <w:pStyle w:val="29"/>
              <w:ind w:firstLine="48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处置单位资质要求。处置单位资质范围应包含本项目需委外处置的危险废物类别。</w:t>
            </w:r>
          </w:p>
          <w:p>
            <w:pPr>
              <w:pStyle w:val="29"/>
              <w:ind w:firstLine="480"/>
            </w:pPr>
            <w:r>
              <w:rPr>
                <w:rFonts w:hint="eastAsia" w:ascii="宋体" w:hAnsi="宋体" w:cs="宋体"/>
              </w:rPr>
              <w:t>③</w:t>
            </w:r>
            <w:r>
              <w:rPr>
                <w:rFonts w:hint="eastAsia"/>
              </w:rPr>
              <w:t>危险废物包装要求。运输车辆有明显标识专车专用，禁止混装其他物品，单独收集，密闭运输，自动装卸，驾驶人员需进行专业培训；随车配备必要的消防器材和应急用具，悬挂危险品运输标志；确保废弃物包装完好，若有破损或密封不严，及时更换，更换包装作危废处置；禁止混合运输性质不形容或未经安全性处置的危废，运输车辆禁止人货混载。</w:t>
            </w:r>
          </w:p>
          <w:p>
            <w:pPr>
              <w:pStyle w:val="29"/>
              <w:ind w:firstLine="480"/>
            </w:pPr>
            <w:r>
              <w:rPr>
                <w:rFonts w:hint="eastAsia" w:ascii="宋体" w:hAnsi="宋体" w:cs="宋体"/>
              </w:rPr>
              <w:t>④</w:t>
            </w:r>
            <w:r>
              <w:rPr>
                <w:rFonts w:hint="eastAsia"/>
              </w:rPr>
              <w:t>电子化手段实现全程监控。危险废物运输车辆均安装</w:t>
            </w:r>
            <w:r>
              <w:t>GPS</w:t>
            </w:r>
            <w:r>
              <w:rPr>
                <w:rFonts w:hint="eastAsia"/>
              </w:rPr>
              <w:t>，运输路径全程记录，危险废物出厂前开具电子联单，运输至处置单位后，经处置单位确认接收，全程可查，避免中途出现抛洒及非法处置的可能。</w:t>
            </w:r>
          </w:p>
          <w:p>
            <w:pPr>
              <w:pStyle w:val="14"/>
            </w:pPr>
            <w:r>
              <w:t>3</w:t>
            </w:r>
            <w:r>
              <w:rPr>
                <w:rFonts w:hint="eastAsia"/>
              </w:rPr>
              <w:t>、固体废物影响分析结论</w:t>
            </w:r>
          </w:p>
          <w:p>
            <w:pPr>
              <w:pStyle w:val="29"/>
              <w:ind w:firstLine="480"/>
            </w:pPr>
            <w:r>
              <w:rPr>
                <w:rFonts w:hint="eastAsia"/>
              </w:rPr>
              <w:t>经上述分析可知，项目各类废物分类收集、分别存放，均得到了妥善的处理或处置，不会对大气、水、土壤及周边敏感点产生影响。</w:t>
            </w:r>
          </w:p>
          <w:p>
            <w:pPr>
              <w:pStyle w:val="14"/>
            </w:pPr>
            <w:r>
              <w:rPr>
                <w:rFonts w:hint="eastAsia"/>
              </w:rPr>
              <w:t>（五）地下水、土壤</w:t>
            </w:r>
          </w:p>
          <w:p>
            <w:pPr>
              <w:pStyle w:val="14"/>
            </w:pPr>
            <w:r>
              <w:t>1</w:t>
            </w:r>
            <w:r>
              <w:rPr>
                <w:rFonts w:hint="eastAsia"/>
              </w:rPr>
              <w:t>、项目地下水和土壤污染源</w:t>
            </w:r>
          </w:p>
          <w:p>
            <w:pPr>
              <w:pStyle w:val="29"/>
              <w:ind w:firstLine="480"/>
            </w:pPr>
            <w:r>
              <w:rPr>
                <w:rFonts w:hint="eastAsia"/>
              </w:rPr>
              <w:t>（</w:t>
            </w:r>
            <w:r>
              <w:t>1</w:t>
            </w:r>
            <w:r>
              <w:rPr>
                <w:rFonts w:hint="eastAsia"/>
              </w:rPr>
              <w:t>）污染源</w:t>
            </w:r>
            <w:r>
              <w:t xml:space="preserve"> </w:t>
            </w:r>
          </w:p>
          <w:p>
            <w:pPr>
              <w:pStyle w:val="29"/>
              <w:ind w:firstLine="480"/>
            </w:pPr>
            <w:r>
              <w:rPr>
                <w:rFonts w:hint="eastAsia"/>
              </w:rPr>
              <w:t>本项目原料仓库、危废贮存间在日常运行时废液等泄漏可能会对土壤和地下水产生污染影响。</w:t>
            </w:r>
          </w:p>
          <w:p>
            <w:pPr>
              <w:pStyle w:val="29"/>
              <w:ind w:firstLine="480"/>
            </w:pPr>
            <w:r>
              <w:rPr>
                <w:rFonts w:hint="eastAsia"/>
              </w:rPr>
              <w:t>（</w:t>
            </w:r>
            <w:r>
              <w:t>2</w:t>
            </w:r>
            <w:r>
              <w:rPr>
                <w:rFonts w:hint="eastAsia"/>
              </w:rPr>
              <w:t>）污染物类型及污染途径</w:t>
            </w:r>
            <w:r>
              <w:t xml:space="preserve"> </w:t>
            </w:r>
          </w:p>
          <w:p>
            <w:pPr>
              <w:pStyle w:val="29"/>
              <w:ind w:firstLine="480"/>
            </w:pPr>
            <w:r>
              <w:rPr>
                <w:rFonts w:hint="eastAsia"/>
              </w:rPr>
              <w:t>本项目地下水和土壤污染类型为污染影响型，影响时段为运营期，污染途径可分为大气沉降、地面漫流、垂直入渗及其他。</w:t>
            </w:r>
          </w:p>
          <w:p>
            <w:pPr>
              <w:pStyle w:val="29"/>
              <w:ind w:firstLine="480"/>
            </w:pPr>
            <w:r>
              <w:rPr>
                <w:rFonts w:hint="eastAsia" w:ascii="宋体" w:hAnsi="宋体" w:cs="宋体"/>
              </w:rPr>
              <w:t>①</w:t>
            </w:r>
            <w:r>
              <w:rPr>
                <w:rFonts w:hint="eastAsia"/>
              </w:rPr>
              <w:t>大气沉降：大气沉降主要是指建设项目施工及运营过程中，由于无组织或有组织向大气排放污染物，通过一定途径被沉降至地面，对土壤造成影响的过程。本项目主要排放污染物为非甲烷总烃和锡及其化合物等，不涉及</w:t>
            </w:r>
            <w:r>
              <w:t>“</w:t>
            </w:r>
            <w:r>
              <w:rPr>
                <w:rFonts w:hint="eastAsia"/>
              </w:rPr>
              <w:t>持久性有机污染物</w:t>
            </w:r>
            <w:r>
              <w:t>”</w:t>
            </w:r>
            <w:r>
              <w:rPr>
                <w:rFonts w:hint="eastAsia"/>
              </w:rPr>
              <w:t>，且废气中各因子均未列入《土壤环境质量</w:t>
            </w:r>
            <w:r>
              <w:t xml:space="preserve"> </w:t>
            </w:r>
            <w:r>
              <w:rPr>
                <w:rFonts w:hint="eastAsia"/>
              </w:rPr>
              <w:t>建设用地土壤污染风险管控标准》（</w:t>
            </w:r>
            <w:r>
              <w:t>GB36600-2018</w:t>
            </w:r>
            <w:r>
              <w:rPr>
                <w:rFonts w:hint="eastAsia"/>
              </w:rPr>
              <w:t>）中，故本项目大气沉降影响可忽略不计。</w:t>
            </w:r>
          </w:p>
          <w:p>
            <w:pPr>
              <w:pStyle w:val="29"/>
              <w:ind w:firstLine="480"/>
            </w:pPr>
            <w:r>
              <w:rPr>
                <w:rFonts w:hint="eastAsia" w:ascii="宋体" w:hAnsi="宋体" w:cs="宋体"/>
              </w:rPr>
              <w:t>②</w:t>
            </w:r>
            <w:r>
              <w:rPr>
                <w:rFonts w:hint="eastAsia"/>
              </w:rPr>
              <w:t>垂直入渗：垂直入渗是指厂内各类原料及产污设施，在</w:t>
            </w:r>
            <w:r>
              <w:t>“</w:t>
            </w:r>
            <w:r>
              <w:rPr>
                <w:rFonts w:hint="eastAsia"/>
              </w:rPr>
              <w:t>跑、冒、滴、漏</w:t>
            </w:r>
            <w:r>
              <w:t>”</w:t>
            </w:r>
            <w:r>
              <w:rPr>
                <w:rFonts w:hint="eastAsia"/>
              </w:rPr>
              <w:t>过程中或防渗设施老化破损情况下，经泄漏点对土壤环境产生影响的过程。垂直入渗类影响存在于大多数产污企业中。目前厂内已设计建成完备的防渗防泄漏措施。首先从源头控制，对项目内部区域均采取防渗措施，防止和降低跑、冒、滴、漏，正常工况下，不会有物料或废液渗漏至地下的情景发生。</w:t>
            </w:r>
          </w:p>
          <w:p>
            <w:pPr>
              <w:pStyle w:val="29"/>
              <w:ind w:firstLine="480"/>
            </w:pPr>
            <w:r>
              <w:rPr>
                <w:rFonts w:hint="eastAsia" w:ascii="宋体" w:hAnsi="宋体" w:cs="宋体"/>
              </w:rPr>
              <w:t>③</w:t>
            </w:r>
            <w:r>
              <w:rPr>
                <w:rFonts w:hint="eastAsia"/>
              </w:rPr>
              <w:t>地面漫流：地面漫流主要是基于厂区所在位置的微地貌，在降雨或洒水抑尘过程中，由于地面漫流而引起污染物在地表打散，对土壤环境产生影响的过程。地面漫流类影响可能发生在大多数产污项目中，当厂区布置散乱、雨水导流措施不完善或老化、地面防渗未铺设或老化破损等，都会造成该类型影响。厂区微地貌条件决定了地面漫流的水平扩散范围，地面漫流的径流路径是污染物垂向扩散的起源，垂向污染深度由漫流污染源存在的时间、污染源浓度和漫流区包气带土壤的防污性能决定，其中微地貌单元中的汇水区是地面漫流类影响需要关注的重点区。本项目生产设施在同一幢厂房内，不存在地表漫流情景。</w:t>
            </w:r>
          </w:p>
          <w:p>
            <w:pPr>
              <w:tabs>
                <w:tab w:val="left" w:pos="640"/>
              </w:tabs>
              <w:wordWrap w:val="0"/>
              <w:autoSpaceDE w:val="0"/>
              <w:autoSpaceDN w:val="0"/>
              <w:jc w:val="left"/>
              <w:rPr>
                <w:b/>
              </w:rPr>
            </w:pPr>
            <w:r>
              <w:rPr>
                <w:b/>
              </w:rPr>
              <w:t>2</w:t>
            </w:r>
            <w:r>
              <w:rPr>
                <w:rFonts w:hint="eastAsia"/>
                <w:b/>
              </w:rPr>
              <w:t>、</w:t>
            </w:r>
            <w:r>
              <w:rPr>
                <w:rStyle w:val="34"/>
                <w:rFonts w:hint="eastAsia"/>
              </w:rPr>
              <w:t>项目地下水和土壤污染防控措施</w:t>
            </w:r>
          </w:p>
          <w:p>
            <w:pPr>
              <w:pStyle w:val="29"/>
              <w:ind w:firstLine="480"/>
            </w:pPr>
            <w:r>
              <w:rPr>
                <w:rFonts w:hint="eastAsia"/>
              </w:rPr>
              <w:t>根据《环境影响评价技术导则</w:t>
            </w:r>
            <w:r>
              <w:t>-</w:t>
            </w:r>
            <w:r>
              <w:rPr>
                <w:rFonts w:hint="eastAsia"/>
              </w:rPr>
              <w:t>地下水环境》（</w:t>
            </w:r>
            <w:r>
              <w:t>HJ610-2016</w:t>
            </w:r>
            <w:r>
              <w:rPr>
                <w:rFonts w:hint="eastAsia"/>
              </w:rPr>
              <w:t>），参考本项目特点及厂区布置，本项目防渗分区和要求见下表。</w:t>
            </w:r>
          </w:p>
          <w:p>
            <w:pPr>
              <w:pStyle w:val="12"/>
            </w:pPr>
            <w:r>
              <w:rPr>
                <w:rFonts w:hint="eastAsia"/>
              </w:rPr>
              <w:t>表</w:t>
            </w:r>
            <w:r>
              <w:t xml:space="preserve">4-23  </w:t>
            </w:r>
            <w:r>
              <w:rPr>
                <w:rFonts w:hint="eastAsia"/>
              </w:rPr>
              <w:t>本项目防渗措施</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520"/>
              <w:gridCol w:w="3544"/>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pPr>
                    <w:pStyle w:val="35"/>
                  </w:pPr>
                  <w:r>
                    <w:rPr>
                      <w:rFonts w:hint="eastAsia"/>
                    </w:rPr>
                    <w:t>类别</w:t>
                  </w:r>
                </w:p>
              </w:tc>
              <w:tc>
                <w:tcPr>
                  <w:tcW w:w="1520" w:type="dxa"/>
                  <w:vAlign w:val="center"/>
                </w:tcPr>
                <w:p>
                  <w:pPr>
                    <w:pStyle w:val="35"/>
                  </w:pPr>
                  <w:r>
                    <w:rPr>
                      <w:rFonts w:hint="eastAsia"/>
                    </w:rPr>
                    <w:t>建（构）筑物</w:t>
                  </w:r>
                </w:p>
              </w:tc>
              <w:tc>
                <w:tcPr>
                  <w:tcW w:w="3544" w:type="dxa"/>
                  <w:vAlign w:val="center"/>
                </w:tcPr>
                <w:p>
                  <w:pPr>
                    <w:pStyle w:val="35"/>
                  </w:pPr>
                  <w:r>
                    <w:rPr>
                      <w:rFonts w:hint="eastAsia"/>
                    </w:rPr>
                    <w:t>防渗措施</w:t>
                  </w:r>
                </w:p>
              </w:tc>
              <w:tc>
                <w:tcPr>
                  <w:tcW w:w="2233" w:type="dxa"/>
                  <w:vAlign w:val="center"/>
                </w:tcPr>
                <w:p>
                  <w:pPr>
                    <w:pStyle w:val="35"/>
                  </w:pPr>
                  <w:r>
                    <w:rPr>
                      <w:rFonts w:hint="eastAsia"/>
                    </w:rPr>
                    <w:t>泄漏收集措施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pPr>
                    <w:pStyle w:val="35"/>
                  </w:pPr>
                  <w:r>
                    <w:rPr>
                      <w:rFonts w:hint="eastAsia"/>
                    </w:rPr>
                    <w:t>重点防渗区</w:t>
                  </w:r>
                </w:p>
              </w:tc>
              <w:tc>
                <w:tcPr>
                  <w:tcW w:w="1520" w:type="dxa"/>
                  <w:vAlign w:val="center"/>
                </w:tcPr>
                <w:p>
                  <w:pPr>
                    <w:pStyle w:val="35"/>
                  </w:pPr>
                  <w:r>
                    <w:rPr>
                      <w:rFonts w:hint="eastAsia"/>
                    </w:rPr>
                    <w:t>化学品原料仓库、危废仓库、S</w:t>
                  </w:r>
                  <w:r>
                    <w:t>MT</w:t>
                  </w:r>
                  <w:r>
                    <w:rPr>
                      <w:rFonts w:hint="eastAsia"/>
                    </w:rPr>
                    <w:t>生产区域</w:t>
                  </w:r>
                </w:p>
              </w:tc>
              <w:tc>
                <w:tcPr>
                  <w:tcW w:w="3544" w:type="dxa"/>
                  <w:vAlign w:val="center"/>
                </w:tcPr>
                <w:p>
                  <w:pPr>
                    <w:pStyle w:val="35"/>
                  </w:pPr>
                  <w:r>
                    <w:rPr>
                      <w:rFonts w:hint="eastAsia"/>
                    </w:rPr>
                    <w:t>地面铺设涂环氧树脂防腐防渗；等效黏土防渗层Mb≥6.0m，K≤1×</w:t>
                  </w:r>
                  <w:r>
                    <w:t>10</w:t>
                  </w:r>
                  <w:r>
                    <w:rPr>
                      <w:rFonts w:hint="eastAsia"/>
                      <w:vertAlign w:val="superscript"/>
                    </w:rPr>
                    <w:t>-7</w:t>
                  </w:r>
                  <w:r>
                    <w:rPr>
                      <w:rFonts w:hint="eastAsia"/>
                    </w:rPr>
                    <w:t>cm/s；或参照GB18598执行</w:t>
                  </w:r>
                </w:p>
              </w:tc>
              <w:tc>
                <w:tcPr>
                  <w:tcW w:w="2233" w:type="dxa"/>
                  <w:vMerge w:val="restart"/>
                  <w:vAlign w:val="center"/>
                </w:tcPr>
                <w:p>
                  <w:pPr>
                    <w:pStyle w:val="35"/>
                  </w:pPr>
                  <w:r>
                    <w:rPr>
                      <w:rFonts w:hint="eastAsia"/>
                    </w:rPr>
                    <w:t>液体物料下方放置防渗漏托盘，泄漏物用砂土或其他不燃吸附剂吸附，收集于容器内并外送委托相应资质单位处理。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 w:type="dxa"/>
                  <w:vAlign w:val="center"/>
                </w:tcPr>
                <w:p>
                  <w:pPr>
                    <w:pStyle w:val="35"/>
                  </w:pPr>
                  <w:r>
                    <w:rPr>
                      <w:rFonts w:hint="eastAsia"/>
                    </w:rPr>
                    <w:t>一般防渗区</w:t>
                  </w:r>
                </w:p>
              </w:tc>
              <w:tc>
                <w:tcPr>
                  <w:tcW w:w="1520" w:type="dxa"/>
                  <w:vAlign w:val="center"/>
                </w:tcPr>
                <w:p>
                  <w:pPr>
                    <w:pStyle w:val="35"/>
                  </w:pPr>
                  <w:r>
                    <w:rPr>
                      <w:rFonts w:hint="eastAsia"/>
                    </w:rPr>
                    <w:t>其余生产区域（装配区域）</w:t>
                  </w:r>
                </w:p>
              </w:tc>
              <w:tc>
                <w:tcPr>
                  <w:tcW w:w="3544" w:type="dxa"/>
                  <w:vAlign w:val="center"/>
                </w:tcPr>
                <w:p>
                  <w:pPr>
                    <w:pStyle w:val="35"/>
                  </w:pPr>
                  <w:r>
                    <w:rPr>
                      <w:rFonts w:hint="eastAsia"/>
                    </w:rPr>
                    <w:t>等效黏土防渗层 Mb≥1.5m，K≤1×</w:t>
                  </w:r>
                  <w:r>
                    <w:t>10</w:t>
                  </w:r>
                  <w:r>
                    <w:rPr>
                      <w:rFonts w:hint="eastAsia"/>
                      <w:vertAlign w:val="superscript"/>
                    </w:rPr>
                    <w:t>-7</w:t>
                  </w:r>
                  <w:r>
                    <w:rPr>
                      <w:rFonts w:hint="eastAsia"/>
                    </w:rPr>
                    <w:t xml:space="preserve"> cm/s；或参照GB16889 执行</w:t>
                  </w:r>
                </w:p>
              </w:tc>
              <w:tc>
                <w:tcPr>
                  <w:tcW w:w="2233" w:type="dxa"/>
                  <w:vMerge w:val="continue"/>
                  <w:vAlign w:val="center"/>
                </w:tcPr>
                <w:p>
                  <w:pPr>
                    <w:pStyle w:val="35"/>
                  </w:pPr>
                </w:p>
              </w:tc>
            </w:tr>
          </w:tbl>
          <w:p>
            <w:pPr>
              <w:tabs>
                <w:tab w:val="left" w:pos="640"/>
              </w:tabs>
              <w:wordWrap w:val="0"/>
              <w:autoSpaceDE w:val="0"/>
              <w:autoSpaceDN w:val="0"/>
              <w:jc w:val="left"/>
              <w:rPr>
                <w:b/>
              </w:rPr>
            </w:pPr>
            <w:r>
              <w:rPr>
                <w:rFonts w:hint="eastAsia"/>
                <w:b/>
              </w:rPr>
              <w:t>（</w:t>
            </w:r>
            <w:r>
              <w:rPr>
                <w:rStyle w:val="33"/>
                <w:rFonts w:hint="eastAsia"/>
              </w:rPr>
              <w:t>六）生态环境影响</w:t>
            </w:r>
          </w:p>
          <w:p>
            <w:pPr>
              <w:pStyle w:val="29"/>
              <w:ind w:firstLine="480"/>
            </w:pPr>
            <w:r>
              <w:rPr>
                <w:rFonts w:hint="eastAsia"/>
              </w:rPr>
              <w:t>本项目租赁现成厂房，不涉及新增用地，不会对周边生态环境造成明显影响。</w:t>
            </w:r>
          </w:p>
          <w:p>
            <w:pPr>
              <w:pStyle w:val="14"/>
            </w:pPr>
            <w:r>
              <w:rPr>
                <w:rFonts w:hint="eastAsia"/>
              </w:rPr>
              <w:t>（七）环境风险</w:t>
            </w:r>
          </w:p>
          <w:p>
            <w:pPr>
              <w:pStyle w:val="14"/>
            </w:pPr>
            <w:r>
              <w:t>1</w:t>
            </w:r>
            <w:r>
              <w:rPr>
                <w:rFonts w:hint="eastAsia"/>
              </w:rPr>
              <w:t>、</w:t>
            </w:r>
            <w:r>
              <w:rPr>
                <w:rFonts w:hint="eastAsia"/>
                <w:kern w:val="0"/>
              </w:rPr>
              <w:t>环境风险源调查</w:t>
            </w:r>
          </w:p>
          <w:p>
            <w:pPr>
              <w:pStyle w:val="29"/>
              <w:ind w:firstLine="480"/>
            </w:pPr>
            <w:r>
              <w:rPr>
                <w:rFonts w:hint="eastAsia"/>
              </w:rPr>
              <w:t>根据《建设项目环境风险评价技术导则》（</w:t>
            </w:r>
            <w:r>
              <w:t>HJ169-2018</w:t>
            </w:r>
            <w:r>
              <w:rPr>
                <w:rFonts w:hint="eastAsia"/>
              </w:rPr>
              <w:t>），本项目环境风险单元主要为仓库和危废贮存间。环境风险物质为</w:t>
            </w:r>
            <w:r>
              <w:rPr>
                <w:rFonts w:hint="eastAsia"/>
                <w:lang w:eastAsia="zh-CN"/>
              </w:rPr>
              <w:t>乙醇</w:t>
            </w:r>
            <w:r>
              <w:rPr>
                <w:rFonts w:hint="eastAsia"/>
              </w:rPr>
              <w:t>等。</w:t>
            </w:r>
          </w:p>
          <w:p>
            <w:pPr>
              <w:pStyle w:val="29"/>
              <w:ind w:firstLine="480"/>
              <w:rPr>
                <w:kern w:val="0"/>
              </w:rPr>
            </w:pPr>
            <w:r>
              <w:rPr>
                <w:rFonts w:hint="eastAsia"/>
                <w:kern w:val="0"/>
              </w:rPr>
              <w:t>扩建后全厂涉及危险物质见表</w:t>
            </w:r>
            <w:r>
              <w:rPr>
                <w:kern w:val="0"/>
              </w:rPr>
              <w:t>4-24</w:t>
            </w:r>
            <w:r>
              <w:rPr>
                <w:rFonts w:hint="eastAsia"/>
                <w:kern w:val="0"/>
              </w:rPr>
              <w:t>。</w:t>
            </w:r>
          </w:p>
          <w:p>
            <w:pPr>
              <w:pStyle w:val="12"/>
            </w:pPr>
            <w:r>
              <w:rPr>
                <w:rFonts w:hint="eastAsia"/>
              </w:rPr>
              <w:t>表</w:t>
            </w:r>
            <w:r>
              <w:t xml:space="preserve">4-24  </w:t>
            </w:r>
            <w:r>
              <w:rPr>
                <w:rFonts w:hint="eastAsia"/>
              </w:rPr>
              <w:t>扩建后全厂涉及危险物质</w:t>
            </w:r>
            <w:r>
              <w:t>q/Q</w:t>
            </w:r>
            <w:r>
              <w:rPr>
                <w:rFonts w:hint="eastAsia"/>
              </w:rPr>
              <w:t>值计算</w:t>
            </w:r>
            <w:r>
              <w:t xml:space="preserve">  </w:t>
            </w:r>
            <w:r>
              <w:rPr>
                <w:rFonts w:hint="eastAsia"/>
              </w:rPr>
              <w:t>（单位：</w:t>
            </w:r>
            <w:r>
              <w:t>t</w:t>
            </w:r>
            <w:r>
              <w:rPr>
                <w:rFonts w:hint="eastAsia"/>
              </w:rPr>
              <w:t>）</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1623"/>
              <w:gridCol w:w="1561"/>
              <w:gridCol w:w="1712"/>
              <w:gridCol w:w="131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7" w:type="pct"/>
                  <w:vAlign w:val="center"/>
                </w:tcPr>
                <w:p>
                  <w:pPr>
                    <w:pStyle w:val="35"/>
                  </w:pPr>
                  <w:r>
                    <w:rPr>
                      <w:rFonts w:hint="eastAsia"/>
                    </w:rPr>
                    <w:t>序号</w:t>
                  </w:r>
                </w:p>
              </w:tc>
              <w:tc>
                <w:tcPr>
                  <w:tcW w:w="986" w:type="pct"/>
                  <w:vAlign w:val="center"/>
                </w:tcPr>
                <w:p>
                  <w:pPr>
                    <w:pStyle w:val="35"/>
                  </w:pPr>
                  <w:r>
                    <w:rPr>
                      <w:rFonts w:hint="eastAsia"/>
                    </w:rPr>
                    <w:t>物质名称</w:t>
                  </w:r>
                </w:p>
              </w:tc>
              <w:tc>
                <w:tcPr>
                  <w:tcW w:w="949" w:type="pct"/>
                  <w:vAlign w:val="center"/>
                </w:tcPr>
                <w:p>
                  <w:pPr>
                    <w:pStyle w:val="35"/>
                  </w:pPr>
                  <w:r>
                    <w:t>CAS</w:t>
                  </w:r>
                  <w:r>
                    <w:rPr>
                      <w:rFonts w:hint="eastAsia"/>
                    </w:rPr>
                    <w:t>号</w:t>
                  </w:r>
                </w:p>
              </w:tc>
              <w:tc>
                <w:tcPr>
                  <w:tcW w:w="1040" w:type="pct"/>
                  <w:vAlign w:val="center"/>
                </w:tcPr>
                <w:p>
                  <w:pPr>
                    <w:pStyle w:val="35"/>
                  </w:pPr>
                  <w:r>
                    <w:rPr>
                      <w:rFonts w:hint="eastAsia"/>
                    </w:rPr>
                    <w:t>最大储存量</w:t>
                  </w:r>
                </w:p>
              </w:tc>
              <w:tc>
                <w:tcPr>
                  <w:tcW w:w="797" w:type="pct"/>
                  <w:vAlign w:val="center"/>
                </w:tcPr>
                <w:p>
                  <w:pPr>
                    <w:pStyle w:val="35"/>
                  </w:pPr>
                  <w:r>
                    <w:rPr>
                      <w:rFonts w:hint="eastAsia"/>
                    </w:rPr>
                    <w:t>储存区临界量</w:t>
                  </w:r>
                </w:p>
              </w:tc>
              <w:tc>
                <w:tcPr>
                  <w:tcW w:w="789" w:type="pct"/>
                  <w:vAlign w:val="center"/>
                </w:tcPr>
                <w:p>
                  <w:pPr>
                    <w:pStyle w:val="35"/>
                  </w:pPr>
                  <w: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437" w:type="pct"/>
                  <w:vAlign w:val="center"/>
                </w:tcPr>
                <w:p>
                  <w:pPr>
                    <w:pStyle w:val="35"/>
                  </w:pPr>
                  <w:r>
                    <w:t>1</w:t>
                  </w:r>
                </w:p>
              </w:tc>
              <w:tc>
                <w:tcPr>
                  <w:tcW w:w="986" w:type="pct"/>
                  <w:vAlign w:val="center"/>
                </w:tcPr>
                <w:p>
                  <w:pPr>
                    <w:pStyle w:val="35"/>
                    <w:rPr>
                      <w:rFonts w:hint="eastAsia" w:eastAsia="宋体"/>
                      <w:kern w:val="0"/>
                      <w:lang w:eastAsia="zh-CN"/>
                    </w:rPr>
                  </w:pPr>
                  <w:r>
                    <w:rPr>
                      <w:rFonts w:hint="eastAsia"/>
                      <w:kern w:val="0"/>
                      <w:lang w:eastAsia="zh-CN"/>
                    </w:rPr>
                    <w:t>酒精</w:t>
                  </w:r>
                </w:p>
              </w:tc>
              <w:tc>
                <w:tcPr>
                  <w:tcW w:w="949" w:type="pct"/>
                  <w:vAlign w:val="center"/>
                </w:tcPr>
                <w:p>
                  <w:pPr>
                    <w:pStyle w:val="35"/>
                  </w:pPr>
                  <w:r>
                    <w:t>/</w:t>
                  </w:r>
                </w:p>
              </w:tc>
              <w:tc>
                <w:tcPr>
                  <w:tcW w:w="1040" w:type="pct"/>
                  <w:vAlign w:val="center"/>
                </w:tcPr>
                <w:p>
                  <w:pPr>
                    <w:pStyle w:val="35"/>
                    <w:rPr>
                      <w:rFonts w:hint="default" w:eastAsia="宋体"/>
                      <w:lang w:val="en-US" w:eastAsia="zh-CN"/>
                    </w:rPr>
                  </w:pPr>
                  <w:r>
                    <w:rPr>
                      <w:rFonts w:hint="eastAsia"/>
                      <w:lang w:val="en-US" w:eastAsia="zh-CN"/>
                    </w:rPr>
                    <w:t>0.01</w:t>
                  </w:r>
                </w:p>
              </w:tc>
              <w:tc>
                <w:tcPr>
                  <w:tcW w:w="797" w:type="pct"/>
                  <w:vAlign w:val="center"/>
                </w:tcPr>
                <w:p>
                  <w:pPr>
                    <w:pStyle w:val="35"/>
                  </w:pPr>
                  <w:r>
                    <w:t>50</w:t>
                  </w:r>
                </w:p>
              </w:tc>
              <w:tc>
                <w:tcPr>
                  <w:tcW w:w="789" w:type="pct"/>
                  <w:tcBorders>
                    <w:top w:val="nil"/>
                    <w:left w:val="nil"/>
                    <w:bottom w:val="single" w:color="auto" w:sz="8" w:space="0"/>
                    <w:right w:val="single" w:color="auto" w:sz="8" w:space="0"/>
                  </w:tcBorders>
                  <w:shd w:val="clear" w:color="auto" w:fill="auto"/>
                  <w:vAlign w:val="center"/>
                </w:tcPr>
                <w:p>
                  <w:pPr>
                    <w:pStyle w:val="35"/>
                    <w:rPr>
                      <w:rFonts w:hint="eastAsia" w:eastAsia="等线"/>
                      <w:lang w:val="en-US" w:eastAsia="zh-CN"/>
                    </w:rPr>
                  </w:pPr>
                  <w:r>
                    <w:rPr>
                      <w:rFonts w:eastAsia="等线"/>
                      <w:szCs w:val="21"/>
                    </w:rPr>
                    <w:t>0.000</w:t>
                  </w:r>
                  <w:r>
                    <w:rPr>
                      <w:rFonts w:hint="eastAsia" w:eastAsia="等线"/>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10" w:type="pct"/>
                  <w:gridSpan w:val="5"/>
                  <w:vAlign w:val="center"/>
                </w:tcPr>
                <w:p>
                  <w:pPr>
                    <w:pStyle w:val="35"/>
                  </w:pPr>
                  <w:r>
                    <w:rPr>
                      <w:rFonts w:hint="eastAsia"/>
                    </w:rPr>
                    <w:t>合计（</w:t>
                  </w:r>
                  <w:r>
                    <w:t>Σq/Q</w:t>
                  </w:r>
                  <w:r>
                    <w:rPr>
                      <w:rFonts w:hint="eastAsia"/>
                    </w:rPr>
                    <w:t>）</w:t>
                  </w:r>
                </w:p>
              </w:tc>
              <w:tc>
                <w:tcPr>
                  <w:tcW w:w="789" w:type="pct"/>
                  <w:vAlign w:val="center"/>
                </w:tcPr>
                <w:p>
                  <w:pPr>
                    <w:pStyle w:val="35"/>
                    <w:rPr>
                      <w:rFonts w:hint="default" w:eastAsia="宋体"/>
                      <w:lang w:val="en-US" w:eastAsia="zh-CN"/>
                    </w:rPr>
                  </w:pPr>
                  <w:r>
                    <w:t>0.00</w:t>
                  </w:r>
                  <w:r>
                    <w:rPr>
                      <w:rFonts w:hint="eastAsia"/>
                      <w:lang w:val="en-US" w:eastAsia="zh-CN"/>
                    </w:rPr>
                    <w:t>02</w:t>
                  </w:r>
                </w:p>
              </w:tc>
            </w:tr>
          </w:tbl>
          <w:p>
            <w:pPr>
              <w:pStyle w:val="14"/>
            </w:pPr>
            <w:r>
              <w:t>2</w:t>
            </w:r>
            <w:r>
              <w:rPr>
                <w:rFonts w:hint="eastAsia"/>
              </w:rPr>
              <w:t>、危险物质可能影响途径</w:t>
            </w:r>
          </w:p>
          <w:p>
            <w:pPr>
              <w:pStyle w:val="29"/>
              <w:ind w:firstLine="480"/>
            </w:pPr>
            <w:r>
              <w:rPr>
                <w:rFonts w:hint="eastAsia"/>
              </w:rPr>
              <w:t>环境影响途径及后果：在非正常情况下，本项目可能发生的环境风险主要是在储运、装卸过程发生的危废、液态辅料等发生泄漏，引起有毒物质挥发；或泄漏后的物质遇高温、明火等引起火灾，</w:t>
            </w:r>
          </w:p>
          <w:p>
            <w:pPr>
              <w:pStyle w:val="29"/>
              <w:ind w:firstLine="480"/>
            </w:pPr>
            <w:r>
              <w:rPr>
                <w:rFonts w:hint="eastAsia"/>
              </w:rPr>
              <w:t>不完全燃烧产生一氧化碳等毒性气体。主要为随大气风力进行扩散影响，导致大气环境污染。</w:t>
            </w:r>
          </w:p>
          <w:p>
            <w:pPr>
              <w:pStyle w:val="14"/>
            </w:pPr>
            <w:r>
              <w:t>3</w:t>
            </w:r>
            <w:r>
              <w:rPr>
                <w:rFonts w:hint="eastAsia"/>
              </w:rPr>
              <w:t>、环境风险防范措施</w:t>
            </w:r>
          </w:p>
          <w:p>
            <w:pPr>
              <w:pStyle w:val="29"/>
              <w:ind w:firstLine="480"/>
            </w:pPr>
            <w:r>
              <w:rPr>
                <w:rFonts w:hint="eastAsia"/>
              </w:rPr>
              <w:t>（</w:t>
            </w:r>
            <w:r>
              <w:t>1</w:t>
            </w:r>
            <w:r>
              <w:rPr>
                <w:rFonts w:hint="eastAsia"/>
              </w:rPr>
              <w:t>）泄漏风险防范措施</w:t>
            </w:r>
            <w:r>
              <w:t xml:space="preserve"> </w:t>
            </w:r>
          </w:p>
          <w:p>
            <w:pPr>
              <w:pStyle w:val="29"/>
              <w:ind w:firstLine="480"/>
            </w:pPr>
            <w:r>
              <w:rPr>
                <w:rFonts w:hint="eastAsia"/>
              </w:rPr>
              <w:t>泄漏是项目环境风险的主要事故源，预防物料泄漏并发生次生灾害的主要措施为：</w:t>
            </w:r>
          </w:p>
          <w:p>
            <w:pPr>
              <w:pStyle w:val="29"/>
              <w:ind w:firstLine="480"/>
            </w:pPr>
            <w:r>
              <w:rPr>
                <w:rFonts w:hint="eastAsia" w:ascii="宋体" w:hAnsi="宋体" w:cs="宋体"/>
              </w:rPr>
              <w:t>①</w:t>
            </w:r>
            <w:r>
              <w:rPr>
                <w:rFonts w:hint="eastAsia"/>
              </w:rPr>
              <w:t>严格操作规程，制定可靠的设备检修计划，防止设备维护不当所产生的事故发生；加强危险物质贮存设备的日常保养和维护，使其在良好的运行状态下。</w:t>
            </w:r>
            <w:r>
              <w:t xml:space="preserve"> </w:t>
            </w:r>
          </w:p>
          <w:p>
            <w:pPr>
              <w:pStyle w:val="29"/>
              <w:ind w:firstLine="480"/>
            </w:pPr>
            <w:r>
              <w:rPr>
                <w:rFonts w:hint="eastAsia" w:ascii="宋体" w:hAnsi="宋体" w:cs="宋体"/>
              </w:rPr>
              <w:t>②</w:t>
            </w:r>
            <w:r>
              <w:rPr>
                <w:rFonts w:hint="eastAsia"/>
              </w:rPr>
              <w:t>项目各区域均采取地面防渗，仓库内原料均为瓶装，无储罐，常规储存量较小，不存在发生大规模泄漏的可能，碰撞导致的少量泄漏及时收集，并作为危废处置。</w:t>
            </w:r>
          </w:p>
          <w:p>
            <w:pPr>
              <w:pStyle w:val="29"/>
              <w:ind w:firstLine="480"/>
            </w:pPr>
            <w:r>
              <w:rPr>
                <w:rFonts w:hint="eastAsia" w:ascii="宋体" w:hAnsi="宋体" w:cs="宋体"/>
              </w:rPr>
              <w:t>③</w:t>
            </w:r>
            <w:r>
              <w:rPr>
                <w:rFonts w:hint="eastAsia"/>
              </w:rPr>
              <w:t>项目仓库和危废贮存间实行专人管理，并建立出入库台帐记录。</w:t>
            </w:r>
            <w:r>
              <w:t xml:space="preserve"> </w:t>
            </w:r>
          </w:p>
          <w:p>
            <w:pPr>
              <w:pStyle w:val="29"/>
              <w:ind w:firstLine="480"/>
            </w:pPr>
            <w:r>
              <w:rPr>
                <w:rFonts w:hint="eastAsia"/>
              </w:rPr>
              <w:t>（</w:t>
            </w:r>
            <w:r>
              <w:t>2</w:t>
            </w:r>
            <w:r>
              <w:rPr>
                <w:rFonts w:hint="eastAsia"/>
              </w:rPr>
              <w:t>）火灾风险防范措施</w:t>
            </w:r>
            <w:r>
              <w:t xml:space="preserve"> </w:t>
            </w:r>
          </w:p>
          <w:p>
            <w:pPr>
              <w:pStyle w:val="29"/>
              <w:ind w:firstLine="480"/>
            </w:pPr>
            <w:r>
              <w:rPr>
                <w:rFonts w:hint="eastAsia" w:ascii="宋体" w:hAnsi="宋体" w:cs="宋体"/>
              </w:rPr>
              <w:t>①</w:t>
            </w:r>
            <w:r>
              <w:rPr>
                <w:rFonts w:hint="eastAsia"/>
              </w:rPr>
              <w:t>电气设备及仪表按防爆等级的不同选用不同的设备，在仓库等各区域内安装烟雾报警器、消防自控设施。</w:t>
            </w:r>
            <w:r>
              <w:t xml:space="preserve"> </w:t>
            </w:r>
          </w:p>
          <w:p>
            <w:pPr>
              <w:pStyle w:val="29"/>
              <w:ind w:firstLine="480"/>
            </w:pPr>
            <w:r>
              <w:rPr>
                <w:rFonts w:hint="eastAsia" w:ascii="宋体" w:hAnsi="宋体" w:cs="宋体"/>
              </w:rPr>
              <w:t>②</w:t>
            </w:r>
            <w:r>
              <w:rPr>
                <w:rFonts w:hint="eastAsia"/>
              </w:rPr>
              <w:t>仓库和危废贮存间均严禁吸烟和带入火种，设置</w:t>
            </w:r>
            <w:r>
              <w:t>“</w:t>
            </w:r>
            <w:r>
              <w:rPr>
                <w:rFonts w:hint="eastAsia"/>
              </w:rPr>
              <w:t>严禁烟火</w:t>
            </w:r>
            <w:r>
              <w:t>”</w:t>
            </w:r>
            <w:r>
              <w:rPr>
                <w:rFonts w:hint="eastAsia"/>
              </w:rPr>
              <w:t>和</w:t>
            </w:r>
            <w:r>
              <w:t>“</w:t>
            </w:r>
            <w:r>
              <w:rPr>
                <w:rFonts w:hint="eastAsia"/>
              </w:rPr>
              <w:t>禁止吸烟</w:t>
            </w:r>
            <w:r>
              <w:t>”</w:t>
            </w:r>
            <w:r>
              <w:rPr>
                <w:rFonts w:hint="eastAsia"/>
              </w:rPr>
              <w:t>警示牌并标出警戒线。</w:t>
            </w:r>
          </w:p>
          <w:p>
            <w:pPr>
              <w:pStyle w:val="29"/>
              <w:ind w:firstLine="480"/>
            </w:pPr>
            <w:r>
              <w:rPr>
                <w:rFonts w:hint="eastAsia"/>
              </w:rPr>
              <w:t>（</w:t>
            </w:r>
            <w:r>
              <w:t>3</w:t>
            </w:r>
            <w:r>
              <w:rPr>
                <w:rFonts w:hint="eastAsia"/>
              </w:rPr>
              <w:t>）废气事故排放环境风险防范措施</w:t>
            </w:r>
          </w:p>
          <w:p>
            <w:pPr>
              <w:pStyle w:val="29"/>
              <w:ind w:firstLine="480"/>
            </w:pPr>
            <w:r>
              <w:rPr>
                <w:rFonts w:hint="eastAsia"/>
              </w:rPr>
              <w:t>废气应落实污染治理措施，确保污染治理措施处于正常工作状态并达标排放。加强环境风险防范工作，要求加强废气处理设施的日常运行管理，加强对操作人员的岗位培训，确保废气稳定达标排放，杜绝事故性排放。</w:t>
            </w:r>
          </w:p>
          <w:p>
            <w:pPr>
              <w:pStyle w:val="29"/>
              <w:ind w:firstLine="480"/>
            </w:pPr>
            <w:r>
              <w:rPr>
                <w:rFonts w:hint="eastAsia"/>
              </w:rPr>
              <w:t>（</w:t>
            </w:r>
            <w:r>
              <w:t>4</w:t>
            </w:r>
            <w:r>
              <w:rPr>
                <w:rFonts w:hint="eastAsia"/>
              </w:rPr>
              <w:t>）危险废物贮存风险防范措施</w:t>
            </w:r>
            <w:r>
              <w:t xml:space="preserve">   </w:t>
            </w:r>
          </w:p>
          <w:p>
            <w:pPr>
              <w:pStyle w:val="29"/>
              <w:ind w:firstLine="480"/>
            </w:pPr>
            <w:r>
              <w:rPr>
                <w:rFonts w:hint="eastAsia"/>
              </w:rPr>
              <w:t>建立危险废物安全管理制度。加强危险废物的运输、贮存过程的管理，规范操作和使用规范，贮存点应做好防雨、防渗漏措施，定期交由有相应危险废物处理资质的单位处置。</w:t>
            </w:r>
          </w:p>
          <w:p>
            <w:pPr>
              <w:pStyle w:val="14"/>
            </w:pPr>
            <w:r>
              <w:t>4</w:t>
            </w:r>
            <w:r>
              <w:rPr>
                <w:rFonts w:hint="eastAsia"/>
              </w:rPr>
              <w:t>、风险应急预案</w:t>
            </w:r>
          </w:p>
          <w:p>
            <w:pPr>
              <w:pStyle w:val="29"/>
              <w:ind w:firstLine="480"/>
            </w:pPr>
            <w:r>
              <w:rPr>
                <w:rFonts w:hint="eastAsia"/>
              </w:rPr>
              <w:t>本项目建成后，应根据《国家突发环境事件应急预案》、《江苏省突发环境事件应急预案》以及《企事业单位和工业园区突发环境事件应急预案编制导则》（DB32/T</w:t>
            </w:r>
            <w:r>
              <w:t xml:space="preserve"> </w:t>
            </w:r>
            <w:r>
              <w:rPr>
                <w:rFonts w:hint="eastAsia"/>
              </w:rPr>
              <w:t>3795—2020）等完善应急预案内容。并定期组织学习事故应急预案和演练，根据演习情况结合实际对预案进行适当修改。应急队伍要进行专业培训，并要有培训记录和档案。同时加强各应急救援专业队伍的建设，配有相应器材并保证设备性能完好。</w:t>
            </w:r>
          </w:p>
          <w:p>
            <w:pPr>
              <w:pStyle w:val="14"/>
            </w:pPr>
            <w:r>
              <w:t>8</w:t>
            </w:r>
            <w:r>
              <w:rPr>
                <w:rFonts w:hint="eastAsia"/>
              </w:rPr>
              <w:t>、电磁辐射</w:t>
            </w:r>
          </w:p>
          <w:p>
            <w:pPr>
              <w:pStyle w:val="29"/>
              <w:ind w:firstLine="480"/>
            </w:pPr>
            <w:r>
              <w:rPr>
                <w:rFonts w:hint="eastAsia"/>
              </w:rPr>
              <w:t>本项目不涉及电磁辐射源。</w:t>
            </w: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p>
            <w:pPr>
              <w:pStyle w:val="29"/>
              <w:ind w:firstLine="480"/>
            </w:pPr>
          </w:p>
        </w:tc>
      </w:tr>
    </w:tbl>
    <w:p>
      <w:pPr>
        <w:adjustRightInd w:val="0"/>
        <w:snapToGrid w:val="0"/>
        <w:rPr>
          <w:b/>
          <w:kern w:val="0"/>
          <w:sz w:val="28"/>
          <w:szCs w:val="28"/>
        </w:rPr>
        <w:sectPr>
          <w:pgSz w:w="11907" w:h="16840"/>
          <w:pgMar w:top="1701" w:right="1531" w:bottom="2127" w:left="1531" w:header="851" w:footer="851" w:gutter="0"/>
          <w:cols w:space="720" w:num="1"/>
          <w:docGrid w:linePitch="312" w:charSpace="0"/>
        </w:sectPr>
      </w:pPr>
    </w:p>
    <w:p>
      <w:pPr>
        <w:pStyle w:val="13"/>
        <w:spacing w:line="240" w:lineRule="auto"/>
        <w:jc w:val="center"/>
        <w:outlineLvl w:val="0"/>
        <w:rPr>
          <w:rFonts w:ascii="Times New Roman" w:hAnsi="Times New Roman" w:cs="Times New Roman"/>
          <w:b/>
          <w:bCs/>
          <w:snapToGrid w:val="0"/>
          <w:sz w:val="30"/>
          <w:szCs w:val="30"/>
        </w:rPr>
      </w:pPr>
      <w:bookmarkStart w:id="14" w:name="_Toc101518925"/>
      <w:r>
        <w:rPr>
          <w:rFonts w:ascii="Times New Roman" w:hAnsi="Times New Roman" w:cs="Times New Roman"/>
          <w:b/>
          <w:bCs/>
          <w:snapToGrid w:val="0"/>
          <w:sz w:val="30"/>
          <w:szCs w:val="30"/>
        </w:rPr>
        <w:t>五、</w:t>
      </w:r>
      <w:bookmarkStart w:id="15" w:name="_Hlk54167917"/>
      <w:r>
        <w:rPr>
          <w:rFonts w:ascii="Times New Roman" w:hAnsi="Times New Roman" w:cs="Times New Roman"/>
          <w:b/>
          <w:bCs/>
          <w:snapToGrid w:val="0"/>
          <w:sz w:val="30"/>
          <w:szCs w:val="30"/>
        </w:rPr>
        <w:t>环境保护措施监督检查清单</w:t>
      </w:r>
      <w:bookmarkEnd w:id="14"/>
      <w:bookmarkEnd w:id="15"/>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494"/>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vAlign w:val="center"/>
          </w:tcPr>
          <w:p>
            <w:pPr>
              <w:pStyle w:val="35"/>
            </w:pPr>
            <w:r>
              <w:rPr>
                <w:rFonts w:hint="eastAsia"/>
              </w:rPr>
              <w:t xml:space="preserve"> </w:t>
            </w:r>
            <w:r>
              <w:t xml:space="preserve">         内容</w:t>
            </w:r>
          </w:p>
          <w:p>
            <w:pPr>
              <w:pStyle w:val="35"/>
            </w:pPr>
            <w:r>
              <w:t>要素</w:t>
            </w:r>
          </w:p>
        </w:tc>
        <w:tc>
          <w:tcPr>
            <w:tcW w:w="1755" w:type="dxa"/>
            <w:vAlign w:val="center"/>
          </w:tcPr>
          <w:p>
            <w:pPr>
              <w:pStyle w:val="35"/>
            </w:pPr>
            <w:r>
              <w:t>排放口(编号、</w:t>
            </w:r>
          </w:p>
          <w:p>
            <w:pPr>
              <w:pStyle w:val="35"/>
            </w:pPr>
            <w:r>
              <w:t>名称)/污染源</w:t>
            </w:r>
          </w:p>
        </w:tc>
        <w:tc>
          <w:tcPr>
            <w:tcW w:w="1755" w:type="dxa"/>
            <w:vAlign w:val="center"/>
          </w:tcPr>
          <w:p>
            <w:pPr>
              <w:pStyle w:val="35"/>
            </w:pPr>
            <w:r>
              <w:t>污染物项目</w:t>
            </w:r>
          </w:p>
        </w:tc>
        <w:tc>
          <w:tcPr>
            <w:tcW w:w="1494" w:type="dxa"/>
            <w:vAlign w:val="center"/>
          </w:tcPr>
          <w:p>
            <w:pPr>
              <w:pStyle w:val="35"/>
            </w:pPr>
            <w:r>
              <w:t>环境保护措施</w:t>
            </w:r>
          </w:p>
        </w:tc>
        <w:tc>
          <w:tcPr>
            <w:tcW w:w="2018" w:type="dxa"/>
            <w:vAlign w:val="center"/>
          </w:tcPr>
          <w:p>
            <w:pPr>
              <w:pStyle w:val="35"/>
            </w:pPr>
            <w: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pStyle w:val="35"/>
            </w:pPr>
            <w:r>
              <w:t>大气环境</w:t>
            </w:r>
          </w:p>
        </w:tc>
        <w:tc>
          <w:tcPr>
            <w:tcW w:w="1755" w:type="dxa"/>
            <w:tcBorders>
              <w:top w:val="single" w:color="auto" w:sz="8" w:space="0"/>
              <w:left w:val="single" w:color="auto" w:sz="8" w:space="0"/>
              <w:bottom w:val="single" w:color="auto" w:sz="8" w:space="0"/>
              <w:right w:val="single" w:color="auto" w:sz="4" w:space="0"/>
            </w:tcBorders>
            <w:vAlign w:val="center"/>
          </w:tcPr>
          <w:p>
            <w:pPr>
              <w:pStyle w:val="35"/>
            </w:pPr>
            <w:r>
              <w:t>DA001</w:t>
            </w:r>
            <w:r>
              <w:rPr>
                <w:rFonts w:hint="eastAsia"/>
              </w:rPr>
              <w:t>排气筒</w:t>
            </w:r>
          </w:p>
        </w:tc>
        <w:tc>
          <w:tcPr>
            <w:tcW w:w="1755" w:type="dxa"/>
            <w:tcBorders>
              <w:top w:val="single" w:color="auto" w:sz="8" w:space="0"/>
              <w:left w:val="single" w:color="auto" w:sz="4" w:space="0"/>
              <w:bottom w:val="single" w:color="auto" w:sz="8" w:space="0"/>
              <w:right w:val="single" w:color="auto" w:sz="4" w:space="0"/>
            </w:tcBorders>
            <w:vAlign w:val="center"/>
          </w:tcPr>
          <w:p>
            <w:pPr>
              <w:pStyle w:val="35"/>
              <w:rPr>
                <w:rFonts w:hint="eastAsia" w:eastAsia="宋体"/>
                <w:lang w:eastAsia="zh-CN"/>
              </w:rPr>
            </w:pPr>
            <w:r>
              <w:rPr>
                <w:rFonts w:hint="eastAsia"/>
              </w:rPr>
              <w:t>非甲烷总烃</w:t>
            </w:r>
          </w:p>
        </w:tc>
        <w:tc>
          <w:tcPr>
            <w:tcW w:w="1494" w:type="dxa"/>
            <w:tcBorders>
              <w:top w:val="single" w:color="auto" w:sz="8" w:space="0"/>
              <w:left w:val="single" w:color="auto" w:sz="4" w:space="0"/>
              <w:bottom w:val="single" w:color="auto" w:sz="8" w:space="0"/>
              <w:right w:val="single" w:color="auto" w:sz="4" w:space="0"/>
            </w:tcBorders>
            <w:vAlign w:val="center"/>
          </w:tcPr>
          <w:p>
            <w:pPr>
              <w:pStyle w:val="35"/>
            </w:pPr>
            <w:r>
              <w:rPr>
                <w:rFonts w:hint="eastAsia"/>
              </w:rPr>
              <w:t>二级活性炭吸附</w:t>
            </w:r>
          </w:p>
        </w:tc>
        <w:tc>
          <w:tcPr>
            <w:tcW w:w="2018" w:type="dxa"/>
            <w:tcBorders>
              <w:top w:val="single" w:color="auto" w:sz="8" w:space="0"/>
              <w:left w:val="single" w:color="auto" w:sz="4" w:space="0"/>
              <w:bottom w:val="single" w:color="auto" w:sz="8" w:space="0"/>
              <w:right w:val="single" w:color="auto" w:sz="8" w:space="0"/>
            </w:tcBorders>
            <w:vAlign w:val="center"/>
          </w:tcPr>
          <w:p>
            <w:pPr>
              <w:pStyle w:val="35"/>
            </w:pPr>
            <w:r>
              <w:rPr>
                <w:rFonts w:hint="eastAsia"/>
              </w:rPr>
              <w:t>《大气污染物综合排放标准》（</w:t>
            </w:r>
            <w:r>
              <w:t>DB32/4041-2021</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pStyle w:val="35"/>
            </w:pPr>
          </w:p>
        </w:tc>
        <w:tc>
          <w:tcPr>
            <w:tcW w:w="1755" w:type="dxa"/>
            <w:tcBorders>
              <w:top w:val="single" w:color="auto" w:sz="8" w:space="0"/>
              <w:left w:val="single" w:color="auto" w:sz="8" w:space="0"/>
              <w:bottom w:val="single" w:color="auto" w:sz="8" w:space="0"/>
              <w:right w:val="single" w:color="auto" w:sz="4" w:space="0"/>
            </w:tcBorders>
            <w:vAlign w:val="center"/>
          </w:tcPr>
          <w:p>
            <w:pPr>
              <w:pStyle w:val="35"/>
            </w:pPr>
            <w:r>
              <w:rPr>
                <w:rFonts w:hint="eastAsia"/>
                <w:szCs w:val="21"/>
              </w:rPr>
              <w:t>厂界无组织</w:t>
            </w:r>
          </w:p>
        </w:tc>
        <w:tc>
          <w:tcPr>
            <w:tcW w:w="1755" w:type="dxa"/>
            <w:tcBorders>
              <w:top w:val="single" w:color="auto" w:sz="8" w:space="0"/>
              <w:left w:val="single" w:color="auto" w:sz="4" w:space="0"/>
              <w:bottom w:val="single" w:color="auto" w:sz="8" w:space="0"/>
              <w:right w:val="single" w:color="auto" w:sz="8" w:space="0"/>
            </w:tcBorders>
            <w:vAlign w:val="center"/>
          </w:tcPr>
          <w:p>
            <w:pPr>
              <w:pStyle w:val="35"/>
              <w:rPr>
                <w:rFonts w:hint="eastAsia" w:eastAsia="宋体"/>
                <w:lang w:eastAsia="zh-CN"/>
              </w:rPr>
            </w:pPr>
            <w:r>
              <w:rPr>
                <w:rFonts w:hint="eastAsia"/>
                <w:szCs w:val="21"/>
              </w:rPr>
              <w:t>非甲烷总烃、</w:t>
            </w:r>
            <w:r>
              <w:rPr>
                <w:rFonts w:hint="eastAsia"/>
                <w:szCs w:val="21"/>
                <w:lang w:eastAsia="zh-CN"/>
              </w:rPr>
              <w:t>颗粒物</w:t>
            </w:r>
          </w:p>
        </w:tc>
        <w:tc>
          <w:tcPr>
            <w:tcW w:w="1494" w:type="dxa"/>
            <w:vAlign w:val="center"/>
          </w:tcPr>
          <w:p>
            <w:pPr>
              <w:pStyle w:val="35"/>
            </w:pPr>
            <w:r>
              <w:rPr>
                <w:rFonts w:hint="eastAsia"/>
              </w:rPr>
              <w:t>/</w:t>
            </w:r>
          </w:p>
        </w:tc>
        <w:tc>
          <w:tcPr>
            <w:tcW w:w="2018" w:type="dxa"/>
            <w:vAlign w:val="center"/>
          </w:tcPr>
          <w:p>
            <w:pPr>
              <w:pStyle w:val="35"/>
            </w:pPr>
            <w:r>
              <w:rPr>
                <w:rFonts w:hint="eastAsia"/>
              </w:rPr>
              <w:t>《大气污染物综合排放标准》（DB32/4041-2021）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vAlign w:val="center"/>
          </w:tcPr>
          <w:p>
            <w:pPr>
              <w:pStyle w:val="35"/>
            </w:pPr>
          </w:p>
        </w:tc>
        <w:tc>
          <w:tcPr>
            <w:tcW w:w="1755" w:type="dxa"/>
            <w:tcBorders>
              <w:top w:val="single" w:color="auto" w:sz="8" w:space="0"/>
              <w:left w:val="single" w:color="auto" w:sz="8" w:space="0"/>
              <w:bottom w:val="single" w:color="auto" w:sz="8" w:space="0"/>
              <w:right w:val="single" w:color="auto" w:sz="4" w:space="0"/>
            </w:tcBorders>
            <w:vAlign w:val="center"/>
          </w:tcPr>
          <w:p>
            <w:pPr>
              <w:pStyle w:val="35"/>
            </w:pPr>
            <w:r>
              <w:rPr>
                <w:rFonts w:hint="eastAsia"/>
                <w:szCs w:val="21"/>
              </w:rPr>
              <w:t>厂区内无组织</w:t>
            </w:r>
          </w:p>
        </w:tc>
        <w:tc>
          <w:tcPr>
            <w:tcW w:w="1755" w:type="dxa"/>
            <w:tcBorders>
              <w:top w:val="single" w:color="auto" w:sz="8" w:space="0"/>
              <w:left w:val="single" w:color="auto" w:sz="4" w:space="0"/>
              <w:bottom w:val="single" w:color="auto" w:sz="8" w:space="0"/>
              <w:right w:val="single" w:color="auto" w:sz="8" w:space="0"/>
            </w:tcBorders>
            <w:vAlign w:val="center"/>
          </w:tcPr>
          <w:p>
            <w:pPr>
              <w:pStyle w:val="35"/>
            </w:pPr>
            <w:r>
              <w:rPr>
                <w:rFonts w:hint="eastAsia"/>
                <w:szCs w:val="21"/>
              </w:rPr>
              <w:t>非甲烷总烃</w:t>
            </w:r>
          </w:p>
        </w:tc>
        <w:tc>
          <w:tcPr>
            <w:tcW w:w="1494" w:type="dxa"/>
            <w:vAlign w:val="center"/>
          </w:tcPr>
          <w:p>
            <w:pPr>
              <w:pStyle w:val="35"/>
            </w:pPr>
            <w:r>
              <w:rPr>
                <w:rFonts w:hint="eastAsia"/>
              </w:rPr>
              <w:t>/</w:t>
            </w:r>
          </w:p>
        </w:tc>
        <w:tc>
          <w:tcPr>
            <w:tcW w:w="2018" w:type="dxa"/>
            <w:vAlign w:val="center"/>
          </w:tcPr>
          <w:p>
            <w:pPr>
              <w:pStyle w:val="35"/>
            </w:pPr>
            <w:r>
              <w:rPr>
                <w:rFonts w:hint="eastAsia"/>
              </w:rPr>
              <w:t>《挥发性有机物无组织排放控制标准》（GB37822-2019）、《大气污染物综合排放标准》（DB32/4041-2021）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pStyle w:val="35"/>
            </w:pPr>
            <w:r>
              <w:t>地表水环境</w:t>
            </w:r>
          </w:p>
        </w:tc>
        <w:tc>
          <w:tcPr>
            <w:tcW w:w="1755" w:type="dxa"/>
            <w:vAlign w:val="center"/>
          </w:tcPr>
          <w:p>
            <w:pPr>
              <w:pStyle w:val="35"/>
            </w:pPr>
            <w:r>
              <w:rPr>
                <w:rFonts w:hint="eastAsia"/>
              </w:rPr>
              <w:t>生活污水</w:t>
            </w:r>
          </w:p>
        </w:tc>
        <w:tc>
          <w:tcPr>
            <w:tcW w:w="1755" w:type="dxa"/>
            <w:vAlign w:val="center"/>
          </w:tcPr>
          <w:p>
            <w:pPr>
              <w:pStyle w:val="35"/>
            </w:pPr>
            <w:r>
              <w:rPr>
                <w:rFonts w:hint="eastAsia"/>
              </w:rPr>
              <w:t>COD、SS、氨氮、总磷</w:t>
            </w:r>
          </w:p>
        </w:tc>
        <w:tc>
          <w:tcPr>
            <w:tcW w:w="1494" w:type="dxa"/>
            <w:vAlign w:val="center"/>
          </w:tcPr>
          <w:p>
            <w:pPr>
              <w:pStyle w:val="35"/>
            </w:pPr>
            <w:r>
              <w:rPr>
                <w:rFonts w:hint="eastAsia"/>
              </w:rPr>
              <w:t>接管科技城水质净化厂</w:t>
            </w:r>
          </w:p>
        </w:tc>
        <w:tc>
          <w:tcPr>
            <w:tcW w:w="2018" w:type="dxa"/>
            <w:vAlign w:val="center"/>
          </w:tcPr>
          <w:p>
            <w:pPr>
              <w:pStyle w:val="35"/>
            </w:pPr>
            <w:r>
              <w:rPr>
                <w:rFonts w:hint="eastAsia"/>
              </w:rPr>
              <w:t>科技城水质净化厂接管标准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pStyle w:val="35"/>
            </w:pPr>
            <w:r>
              <w:t>声环境</w:t>
            </w:r>
          </w:p>
        </w:tc>
        <w:tc>
          <w:tcPr>
            <w:tcW w:w="1755" w:type="dxa"/>
            <w:vAlign w:val="center"/>
          </w:tcPr>
          <w:p>
            <w:pPr>
              <w:pStyle w:val="35"/>
            </w:pPr>
            <w:r>
              <w:rPr>
                <w:rFonts w:hint="eastAsia"/>
                <w:lang w:eastAsia="zh-CN"/>
              </w:rPr>
              <w:t>激光焊接机、超声波清洗机、拉力试验机、影像测量仪、直流电阻测试仪、空压机</w:t>
            </w:r>
          </w:p>
        </w:tc>
        <w:tc>
          <w:tcPr>
            <w:tcW w:w="1755" w:type="dxa"/>
            <w:vAlign w:val="center"/>
          </w:tcPr>
          <w:p>
            <w:pPr>
              <w:pStyle w:val="35"/>
            </w:pPr>
            <w:r>
              <w:rPr>
                <w:rFonts w:hint="eastAsia"/>
              </w:rPr>
              <w:t>等效连续A声级，Leq</w:t>
            </w:r>
          </w:p>
        </w:tc>
        <w:tc>
          <w:tcPr>
            <w:tcW w:w="1494" w:type="dxa"/>
            <w:tcBorders>
              <w:top w:val="single" w:color="auto" w:sz="8" w:space="0"/>
              <w:left w:val="single" w:color="auto" w:sz="8" w:space="0"/>
              <w:bottom w:val="single" w:color="auto" w:sz="8" w:space="0"/>
              <w:right w:val="single" w:color="auto" w:sz="4" w:space="0"/>
            </w:tcBorders>
            <w:vAlign w:val="center"/>
          </w:tcPr>
          <w:p>
            <w:pPr>
              <w:pStyle w:val="35"/>
            </w:pPr>
            <w:r>
              <w:rPr>
                <w:rFonts w:hint="eastAsia"/>
                <w:szCs w:val="21"/>
              </w:rPr>
              <w:t>隔声、减振、合理布局等</w:t>
            </w:r>
          </w:p>
        </w:tc>
        <w:tc>
          <w:tcPr>
            <w:tcW w:w="2018" w:type="dxa"/>
            <w:tcBorders>
              <w:top w:val="single" w:color="auto" w:sz="8" w:space="0"/>
              <w:left w:val="single" w:color="auto" w:sz="4" w:space="0"/>
              <w:bottom w:val="single" w:color="auto" w:sz="8" w:space="0"/>
              <w:right w:val="single" w:color="auto" w:sz="8" w:space="0"/>
            </w:tcBorders>
            <w:vAlign w:val="center"/>
          </w:tcPr>
          <w:p>
            <w:pPr>
              <w:pStyle w:val="35"/>
            </w:pPr>
            <w:r>
              <w:rPr>
                <w:rFonts w:hint="eastAsia"/>
                <w:szCs w:val="21"/>
              </w:rPr>
              <w:t>《工业企业厂界环境噪声排放标准》（</w:t>
            </w:r>
            <w:r>
              <w:rPr>
                <w:szCs w:val="21"/>
              </w:rPr>
              <w:t>GB12348-2008</w:t>
            </w:r>
            <w:r>
              <w:rPr>
                <w:rFonts w:hint="eastAsia"/>
                <w:szCs w:val="21"/>
              </w:rPr>
              <w:t>）</w:t>
            </w:r>
            <w:r>
              <w:rPr>
                <w:szCs w:val="21"/>
              </w:rPr>
              <w:t>3</w:t>
            </w:r>
            <w:r>
              <w:rPr>
                <w:rFonts w:hint="eastAsia"/>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Align w:val="center"/>
          </w:tcPr>
          <w:p>
            <w:pPr>
              <w:pStyle w:val="35"/>
            </w:pPr>
            <w:r>
              <w:t>电磁辐射</w:t>
            </w:r>
          </w:p>
        </w:tc>
        <w:tc>
          <w:tcPr>
            <w:tcW w:w="1755" w:type="dxa"/>
            <w:vAlign w:val="center"/>
          </w:tcPr>
          <w:p>
            <w:pPr>
              <w:pStyle w:val="35"/>
            </w:pPr>
            <w:r>
              <w:rPr>
                <w:rFonts w:hint="eastAsia"/>
              </w:rPr>
              <w:t>/</w:t>
            </w:r>
          </w:p>
        </w:tc>
        <w:tc>
          <w:tcPr>
            <w:tcW w:w="1755" w:type="dxa"/>
          </w:tcPr>
          <w:p>
            <w:pPr>
              <w:pStyle w:val="35"/>
            </w:pPr>
            <w:r>
              <w:rPr>
                <w:rFonts w:hint="eastAsia"/>
              </w:rPr>
              <w:t>/</w:t>
            </w:r>
          </w:p>
        </w:tc>
        <w:tc>
          <w:tcPr>
            <w:tcW w:w="1494" w:type="dxa"/>
          </w:tcPr>
          <w:p>
            <w:pPr>
              <w:pStyle w:val="35"/>
            </w:pPr>
            <w:r>
              <w:rPr>
                <w:rFonts w:hint="eastAsia"/>
              </w:rPr>
              <w:t>/</w:t>
            </w:r>
          </w:p>
        </w:tc>
        <w:tc>
          <w:tcPr>
            <w:tcW w:w="2018" w:type="dxa"/>
          </w:tcPr>
          <w:p>
            <w:pPr>
              <w:pStyle w:val="35"/>
            </w:pP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pStyle w:val="35"/>
            </w:pPr>
            <w:r>
              <w:t>固体废物</w:t>
            </w:r>
          </w:p>
        </w:tc>
        <w:tc>
          <w:tcPr>
            <w:tcW w:w="7022" w:type="dxa"/>
            <w:gridSpan w:val="4"/>
            <w:tcBorders>
              <w:top w:val="single" w:color="auto" w:sz="8" w:space="0"/>
              <w:left w:val="single" w:color="auto" w:sz="8" w:space="0"/>
              <w:bottom w:val="single" w:color="auto" w:sz="4" w:space="0"/>
              <w:right w:val="single" w:color="auto" w:sz="8" w:space="0"/>
            </w:tcBorders>
            <w:vAlign w:val="center"/>
          </w:tcPr>
          <w:p>
            <w:pPr>
              <w:pStyle w:val="35"/>
              <w:jc w:val="left"/>
              <w:rPr>
                <w:szCs w:val="21"/>
              </w:rPr>
            </w:pPr>
            <w:r>
              <w:rPr>
                <w:rFonts w:hint="eastAsia"/>
                <w:szCs w:val="21"/>
              </w:rPr>
              <w:t>本项目产生的固体废物包括：生活垃圾、一般固废和危险废物；项目所采取的措施如下：</w:t>
            </w:r>
            <w:r>
              <w:rPr>
                <w:szCs w:val="21"/>
              </w:rPr>
              <w:t xml:space="preserve"> </w:t>
            </w:r>
          </w:p>
          <w:p>
            <w:pPr>
              <w:pStyle w:val="35"/>
              <w:jc w:val="left"/>
              <w:rPr>
                <w:szCs w:val="21"/>
              </w:rPr>
            </w:pPr>
            <w:r>
              <w:rPr>
                <w:rFonts w:hint="eastAsia"/>
                <w:szCs w:val="21"/>
              </w:rPr>
              <w:t>（</w:t>
            </w:r>
            <w:r>
              <w:rPr>
                <w:szCs w:val="21"/>
              </w:rPr>
              <w:t>1</w:t>
            </w:r>
            <w:r>
              <w:rPr>
                <w:rFonts w:hint="eastAsia"/>
                <w:szCs w:val="21"/>
              </w:rPr>
              <w:t>）生活垃圾：本项目内设置分类生活垃圾桶，生活垃圾经分类收集暂存，由环卫部门每日清运。</w:t>
            </w:r>
            <w:r>
              <w:rPr>
                <w:szCs w:val="21"/>
              </w:rPr>
              <w:t xml:space="preserve"> </w:t>
            </w:r>
          </w:p>
          <w:p>
            <w:pPr>
              <w:pStyle w:val="35"/>
              <w:jc w:val="left"/>
              <w:rPr>
                <w:szCs w:val="21"/>
              </w:rPr>
            </w:pPr>
            <w:r>
              <w:rPr>
                <w:rFonts w:hint="eastAsia"/>
                <w:szCs w:val="21"/>
              </w:rPr>
              <w:t>（</w:t>
            </w:r>
            <w:r>
              <w:rPr>
                <w:szCs w:val="21"/>
              </w:rPr>
              <w:t>2</w:t>
            </w:r>
            <w:r>
              <w:rPr>
                <w:rFonts w:hint="eastAsia"/>
                <w:szCs w:val="21"/>
              </w:rPr>
              <w:t>）危险废物：本项目内设置</w:t>
            </w:r>
            <w:r>
              <w:rPr>
                <w:szCs w:val="21"/>
              </w:rPr>
              <w:t xml:space="preserve"> 1</w:t>
            </w:r>
            <w:r>
              <w:rPr>
                <w:rFonts w:hint="eastAsia"/>
                <w:szCs w:val="21"/>
              </w:rPr>
              <w:t>间危废贮存间，建筑面积</w:t>
            </w:r>
            <w:r>
              <w:rPr>
                <w:szCs w:val="21"/>
              </w:rPr>
              <w:t>7m</w:t>
            </w:r>
            <w:r>
              <w:rPr>
                <w:szCs w:val="21"/>
                <w:vertAlign w:val="superscript"/>
              </w:rPr>
              <w:t>2</w:t>
            </w:r>
            <w:r>
              <w:rPr>
                <w:rFonts w:hint="eastAsia"/>
                <w:szCs w:val="21"/>
              </w:rPr>
              <w:t>，危废贮存间按照《危险废物贮存污染控制标准》（</w:t>
            </w:r>
            <w:r>
              <w:rPr>
                <w:szCs w:val="21"/>
              </w:rPr>
              <w:t>GB18597-2001</w:t>
            </w:r>
            <w:r>
              <w:rPr>
                <w:rFonts w:hint="eastAsia"/>
                <w:szCs w:val="21"/>
              </w:rPr>
              <w:t>）要求建设，采取</w:t>
            </w:r>
            <w:r>
              <w:rPr>
                <w:szCs w:val="21"/>
              </w:rPr>
              <w:t>“</w:t>
            </w:r>
            <w:r>
              <w:rPr>
                <w:rFonts w:hint="eastAsia"/>
                <w:szCs w:val="21"/>
              </w:rPr>
              <w:t>四防</w:t>
            </w:r>
            <w:r>
              <w:rPr>
                <w:szCs w:val="21"/>
              </w:rPr>
              <w:t>”</w:t>
            </w:r>
            <w:r>
              <w:rPr>
                <w:rFonts w:hint="eastAsia"/>
                <w:szCs w:val="21"/>
              </w:rPr>
              <w:t>（防风、防雨、防晒、防渗漏）措施，危险废物均采取密封桶装或袋装，采用防渗托盘进行分类、分区收集，并张贴危险废物标志牌。</w:t>
            </w:r>
          </w:p>
          <w:p>
            <w:pPr>
              <w:pStyle w:val="35"/>
              <w:jc w:val="left"/>
            </w:pPr>
            <w:r>
              <w:rPr>
                <w:rFonts w:hint="eastAsia"/>
                <w:szCs w:val="21"/>
              </w:rPr>
              <w:t>（</w:t>
            </w:r>
            <w:r>
              <w:rPr>
                <w:szCs w:val="21"/>
              </w:rPr>
              <w:t>3</w:t>
            </w:r>
            <w:r>
              <w:rPr>
                <w:rFonts w:hint="eastAsia"/>
                <w:szCs w:val="21"/>
              </w:rPr>
              <w:t>）一般固废：本项目内设置</w:t>
            </w:r>
            <w:r>
              <w:rPr>
                <w:szCs w:val="21"/>
              </w:rPr>
              <w:t>1</w:t>
            </w:r>
            <w:r>
              <w:rPr>
                <w:rFonts w:hint="eastAsia"/>
                <w:szCs w:val="21"/>
              </w:rPr>
              <w:t>间一般固废贮存间，建筑面积</w:t>
            </w:r>
            <w:r>
              <w:rPr>
                <w:szCs w:val="21"/>
              </w:rPr>
              <w:t>28 m</w:t>
            </w:r>
            <w:r>
              <w:rPr>
                <w:szCs w:val="21"/>
                <w:vertAlign w:val="superscript"/>
              </w:rPr>
              <w:t>2</w:t>
            </w:r>
            <w:r>
              <w:rPr>
                <w:rFonts w:hint="eastAsia"/>
                <w:szCs w:val="21"/>
              </w:rPr>
              <w:t>，一般固废分类收集。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pStyle w:val="35"/>
            </w:pPr>
            <w:r>
              <w:t>土壤及地下水</w:t>
            </w:r>
          </w:p>
          <w:p>
            <w:pPr>
              <w:pStyle w:val="35"/>
            </w:pPr>
            <w:r>
              <w:t>污染防治措施</w:t>
            </w:r>
          </w:p>
        </w:tc>
        <w:tc>
          <w:tcPr>
            <w:tcW w:w="7022" w:type="dxa"/>
            <w:gridSpan w:val="4"/>
            <w:tcBorders>
              <w:top w:val="single" w:color="auto" w:sz="4" w:space="0"/>
              <w:left w:val="single" w:color="auto" w:sz="8" w:space="0"/>
              <w:bottom w:val="single" w:color="auto" w:sz="8" w:space="0"/>
              <w:right w:val="single" w:color="auto" w:sz="8" w:space="0"/>
            </w:tcBorders>
            <w:vAlign w:val="center"/>
          </w:tcPr>
          <w:p>
            <w:pPr>
              <w:pStyle w:val="35"/>
              <w:jc w:val="left"/>
            </w:pPr>
            <w:r>
              <w:rPr>
                <w:rFonts w:hint="eastAsia"/>
                <w:szCs w:val="21"/>
              </w:rPr>
              <w:t>建设单位应确保做好危废暂存区、生产车间、化学品库等容易渗漏引起土壤、地下水污染的区域的管理，做好防渗、防雨、防风、防淋等措施，定期巡查，避免发生跑冒滴漏现象，如发现应立即采取应急措施，确保不会对厂区</w:t>
            </w:r>
            <w:r>
              <w:t>土壤及</w:t>
            </w:r>
            <w:r>
              <w:rPr>
                <w:rFonts w:hint="eastAsia"/>
                <w:szCs w:val="21"/>
              </w:rPr>
              <w:t>地下水造成影响。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pStyle w:val="35"/>
            </w:pPr>
            <w:r>
              <w:t>生态保护措施</w:t>
            </w:r>
          </w:p>
        </w:tc>
        <w:tc>
          <w:tcPr>
            <w:tcW w:w="7022" w:type="dxa"/>
            <w:gridSpan w:val="4"/>
            <w:vAlign w:val="center"/>
          </w:tcPr>
          <w:p>
            <w:pPr>
              <w:pStyle w:val="35"/>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vAlign w:val="center"/>
          </w:tcPr>
          <w:p>
            <w:pPr>
              <w:pStyle w:val="35"/>
              <w:rPr>
                <w:spacing w:val="-8"/>
                <w:szCs w:val="21"/>
              </w:rPr>
            </w:pPr>
            <w:r>
              <w:rPr>
                <w:spacing w:val="-8"/>
                <w:szCs w:val="21"/>
              </w:rPr>
              <w:t>环境风险</w:t>
            </w:r>
          </w:p>
          <w:p>
            <w:pPr>
              <w:pStyle w:val="35"/>
              <w:rPr>
                <w:spacing w:val="-8"/>
                <w:szCs w:val="21"/>
              </w:rPr>
            </w:pPr>
            <w:r>
              <w:rPr>
                <w:spacing w:val="-8"/>
                <w:szCs w:val="21"/>
              </w:rPr>
              <w:t>防范措施</w:t>
            </w:r>
          </w:p>
        </w:tc>
        <w:tc>
          <w:tcPr>
            <w:tcW w:w="7022" w:type="dxa"/>
            <w:gridSpan w:val="4"/>
            <w:vAlign w:val="center"/>
          </w:tcPr>
          <w:p>
            <w:pPr>
              <w:pStyle w:val="35"/>
              <w:jc w:val="left"/>
              <w:rPr>
                <w:szCs w:val="21"/>
              </w:rPr>
            </w:pPr>
            <w:r>
              <w:rPr>
                <w:rFonts w:hint="eastAsia"/>
                <w:szCs w:val="21"/>
              </w:rPr>
              <w:t>1）泄漏火灾事故防范措施</w:t>
            </w:r>
          </w:p>
          <w:p>
            <w:pPr>
              <w:pStyle w:val="35"/>
              <w:jc w:val="left"/>
              <w:rPr>
                <w:szCs w:val="21"/>
              </w:rPr>
            </w:pPr>
            <w:r>
              <w:rPr>
                <w:rFonts w:hint="eastAsia"/>
                <w:szCs w:val="21"/>
              </w:rPr>
              <w:t>定期对储放设施以及消防进行检查、维护，生产过程中必须按照相关的操作规范和方法进行，加强仪器设备和试剂管理。</w:t>
            </w:r>
          </w:p>
          <w:p>
            <w:pPr>
              <w:pStyle w:val="35"/>
              <w:jc w:val="left"/>
              <w:rPr>
                <w:szCs w:val="21"/>
              </w:rPr>
            </w:pPr>
            <w:r>
              <w:rPr>
                <w:rFonts w:hint="eastAsia"/>
                <w:szCs w:val="21"/>
              </w:rPr>
              <w:t>2）废气事故排放环境风险防范措施</w:t>
            </w:r>
          </w:p>
          <w:p>
            <w:pPr>
              <w:pStyle w:val="35"/>
              <w:jc w:val="left"/>
              <w:rPr>
                <w:szCs w:val="21"/>
              </w:rPr>
            </w:pPr>
            <w:r>
              <w:rPr>
                <w:rFonts w:hint="eastAsia"/>
                <w:szCs w:val="21"/>
              </w:rPr>
              <w:t>废气应落实污染治理措施，确保污染治理措施处于正常工作状态并达标排放。加强环境风险防范工作，要求加强废气处理设施的日常运行管理，加强对操作人员的岗位培训，确保废气稳定达标排放，杜绝事故性排放。</w:t>
            </w:r>
          </w:p>
          <w:p>
            <w:pPr>
              <w:pStyle w:val="35"/>
              <w:jc w:val="left"/>
              <w:rPr>
                <w:szCs w:val="21"/>
              </w:rPr>
            </w:pPr>
            <w:r>
              <w:rPr>
                <w:rFonts w:hint="eastAsia"/>
                <w:szCs w:val="21"/>
              </w:rPr>
              <w:t>3）危险废物贮存风险防范措施</w:t>
            </w:r>
          </w:p>
          <w:p>
            <w:pPr>
              <w:pStyle w:val="35"/>
              <w:jc w:val="left"/>
              <w:rPr>
                <w:szCs w:val="21"/>
              </w:rPr>
            </w:pPr>
            <w:r>
              <w:rPr>
                <w:rFonts w:hint="eastAsia"/>
                <w:szCs w:val="21"/>
              </w:rPr>
              <w:t>建立危险废物安全管理制度。加强危险废物的运输、贮存过程的管理，规范操作和使用规范，贮存点应做好防雨、防渗漏措施，定期交由有相应危险废物处理资质的单位处置。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pStyle w:val="35"/>
              <w:rPr>
                <w:spacing w:val="-8"/>
                <w:szCs w:val="21"/>
              </w:rPr>
            </w:pPr>
            <w:r>
              <w:rPr>
                <w:spacing w:val="-8"/>
                <w:szCs w:val="21"/>
              </w:rPr>
              <w:t>其他环境</w:t>
            </w:r>
          </w:p>
          <w:p>
            <w:pPr>
              <w:pStyle w:val="35"/>
              <w:rPr>
                <w:spacing w:val="-8"/>
                <w:szCs w:val="21"/>
              </w:rPr>
            </w:pPr>
            <w:r>
              <w:rPr>
                <w:spacing w:val="-8"/>
                <w:szCs w:val="21"/>
              </w:rPr>
              <w:t>管理要求</w:t>
            </w:r>
          </w:p>
        </w:tc>
        <w:tc>
          <w:tcPr>
            <w:tcW w:w="7022" w:type="dxa"/>
            <w:gridSpan w:val="4"/>
            <w:vAlign w:val="center"/>
          </w:tcPr>
          <w:p>
            <w:pPr>
              <w:pStyle w:val="35"/>
              <w:rPr>
                <w:szCs w:val="21"/>
              </w:rPr>
            </w:pPr>
          </w:p>
        </w:tc>
      </w:tr>
    </w:tbl>
    <w:p>
      <w:pPr>
        <w:pStyle w:val="13"/>
        <w:spacing w:line="240" w:lineRule="auto"/>
        <w:jc w:val="center"/>
        <w:outlineLvl w:val="0"/>
        <w:rPr>
          <w:rFonts w:ascii="Times New Roman" w:hAnsi="Times New Roman" w:cs="Times New Roman"/>
          <w:b/>
          <w:bCs/>
          <w:snapToGrid w:val="0"/>
          <w:sz w:val="30"/>
          <w:szCs w:val="30"/>
        </w:rPr>
      </w:pPr>
      <w:r>
        <w:rPr>
          <w:rFonts w:ascii="Times New Roman" w:hAnsi="Times New Roman" w:cs="Times New Roman"/>
          <w:snapToGrid w:val="0"/>
        </w:rPr>
        <w:br w:type="page"/>
      </w:r>
      <w:bookmarkStart w:id="16" w:name="_Toc101518926"/>
      <w:r>
        <w:rPr>
          <w:rFonts w:ascii="Times New Roman" w:hAnsi="Times New Roman" w:cs="Times New Roman"/>
          <w:b/>
          <w:bCs/>
          <w:snapToGrid w:val="0"/>
          <w:sz w:val="30"/>
          <w:szCs w:val="30"/>
        </w:rPr>
        <w:t>六、结论</w:t>
      </w:r>
      <w:bookmarkEnd w:id="16"/>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29"/>
              <w:ind w:firstLine="480"/>
            </w:pPr>
            <w:r>
              <w:rPr>
                <w:rFonts w:hint="eastAsia"/>
              </w:rPr>
              <w:t>本项目符合当前国家产业政策；项目符合区域规划和相关环保规划要求，选址恰当，布局合理；项目符合“三线一单”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pPr>
              <w:pStyle w:val="29"/>
              <w:ind w:firstLine="480"/>
            </w:pPr>
            <w:r>
              <w:rPr>
                <w:rFonts w:hint="eastAsia"/>
              </w:rPr>
              <w:t>因此，在企业严格落实环保“三同时”措施后，本项目的建设，从环保的角度看是可行的。</w:t>
            </w:r>
          </w:p>
        </w:tc>
      </w:tr>
    </w:tbl>
    <w:p>
      <w:pPr>
        <w:sectPr>
          <w:pgSz w:w="11906" w:h="16838"/>
          <w:pgMar w:top="1701" w:right="1531" w:bottom="1701" w:left="1531" w:header="851" w:footer="851" w:gutter="0"/>
          <w:cols w:space="720" w:num="1"/>
          <w:docGrid w:linePitch="312" w:charSpace="0"/>
        </w:sectPr>
      </w:pPr>
    </w:p>
    <w:p>
      <w:pPr>
        <w:pStyle w:val="13"/>
        <w:adjustRightInd w:val="0"/>
        <w:snapToGrid w:val="0"/>
        <w:spacing w:before="648" w:beforeLines="270" w:beforeAutospacing="0" w:after="648" w:afterLines="270" w:afterAutospacing="0"/>
        <w:outlineLvl w:val="0"/>
        <w:rPr>
          <w:rFonts w:ascii="Times New Roman" w:hAnsi="Times New Roman" w:cs="Times New Roman"/>
        </w:rPr>
      </w:pPr>
    </w:p>
    <w:sectPr>
      <w:footerReference r:id="rId8" w:type="default"/>
      <w:pgSz w:w="11906" w:h="16838"/>
      <w:pgMar w:top="1701" w:right="1531" w:bottom="1701" w:left="153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Arial Unicode M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方正楷体_GBK">
    <w:altName w:val="宋体"/>
    <w:panose1 w:val="00000000000000000000"/>
    <w:charset w:val="86"/>
    <w:family w:val="script"/>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Vijaya"/>
    <w:panose1 w:val="020B0604020202020204"/>
    <w:charset w:val="00"/>
    <w:family w:val="swiss"/>
    <w:pitch w:val="default"/>
    <w:sig w:usb0="00000000" w:usb1="00000000" w:usb2="00000009" w:usb3="00000000" w:csb0="000001FF" w:csb1="00000000"/>
  </w:font>
  <w:font w:name="Vijaya">
    <w:panose1 w:val="020B0604020202020204"/>
    <w:charset w:val="00"/>
    <w:family w:val="auto"/>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9"/>
      </w:rPr>
    </w:pPr>
    <w:r>
      <w:fldChar w:fldCharType="begin"/>
    </w:r>
    <w:r>
      <w:rPr>
        <w:rStyle w:val="19"/>
      </w:rPr>
      <w:instrText xml:space="preserve">PAGE  </w:instrText>
    </w:r>
    <w:r>
      <w:fldChar w:fldCharType="end"/>
    </w:r>
  </w:p>
  <w:p>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Style w:val="19"/>
        <w:rFonts w:ascii="宋体" w:hAnsi="宋体"/>
        <w:sz w:val="26"/>
        <w:szCs w:val="26"/>
      </w:rPr>
      <w:fldChar w:fldCharType="begin"/>
    </w:r>
    <w:r>
      <w:rPr>
        <w:rStyle w:val="19"/>
        <w:rFonts w:ascii="宋体" w:hAnsi="宋体"/>
        <w:sz w:val="26"/>
        <w:szCs w:val="26"/>
      </w:rPr>
      <w:instrText xml:space="preserve">PAGE  </w:instrText>
    </w:r>
    <w:r>
      <w:rPr>
        <w:rStyle w:val="19"/>
        <w:rFonts w:ascii="宋体" w:hAnsi="宋体"/>
        <w:sz w:val="26"/>
        <w:szCs w:val="26"/>
      </w:rPr>
      <w:fldChar w:fldCharType="separate"/>
    </w:r>
    <w:r>
      <w:rPr>
        <w:rStyle w:val="19"/>
        <w:rFonts w:ascii="宋体" w:hAnsi="宋体"/>
        <w:sz w:val="26"/>
        <w:szCs w:val="26"/>
      </w:rPr>
      <w:t>57</w:t>
    </w:r>
    <w:r>
      <w:rPr>
        <w:rStyle w:val="19"/>
        <w:rFonts w:ascii="宋体" w:hAnsi="宋体"/>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rPr>
        <w:rStyle w:val="19"/>
        <w:rFonts w:ascii="宋体" w:hAnsi="宋体"/>
        <w:sz w:val="28"/>
        <w:szCs w:val="28"/>
      </w:rPr>
    </w:pPr>
    <w:r>
      <w:rPr>
        <w:rStyle w:val="19"/>
        <w:rFonts w:hint="eastAsia" w:ascii="宋体" w:hAnsi="宋体"/>
        <w:sz w:val="28"/>
        <w:szCs w:val="28"/>
      </w:rPr>
      <w:t>—</w:t>
    </w:r>
    <w:r>
      <w:rPr>
        <w:rStyle w:val="19"/>
        <w:rFonts w:hint="eastAsia" w:ascii="宋体" w:hAnsi="宋体"/>
        <w:sz w:val="20"/>
      </w:rPr>
      <w:t xml:space="preserve">  </w:t>
    </w:r>
    <w:r>
      <w:rPr>
        <w:rStyle w:val="19"/>
        <w:rFonts w:ascii="宋体" w:hAnsi="宋体"/>
        <w:sz w:val="26"/>
        <w:szCs w:val="26"/>
      </w:rPr>
      <w:fldChar w:fldCharType="begin"/>
    </w:r>
    <w:r>
      <w:rPr>
        <w:rStyle w:val="19"/>
        <w:rFonts w:ascii="宋体" w:hAnsi="宋体"/>
        <w:sz w:val="26"/>
        <w:szCs w:val="26"/>
      </w:rPr>
      <w:instrText xml:space="preserve">PAGE  </w:instrText>
    </w:r>
    <w:r>
      <w:rPr>
        <w:rStyle w:val="19"/>
        <w:rFonts w:ascii="宋体" w:hAnsi="宋体"/>
        <w:sz w:val="26"/>
        <w:szCs w:val="26"/>
      </w:rPr>
      <w:fldChar w:fldCharType="separate"/>
    </w:r>
    <w:r>
      <w:rPr>
        <w:rStyle w:val="19"/>
        <w:rFonts w:ascii="宋体" w:hAnsi="宋体"/>
        <w:sz w:val="26"/>
        <w:szCs w:val="26"/>
      </w:rPr>
      <w:t>60</w:t>
    </w:r>
    <w:r>
      <w:rPr>
        <w:rStyle w:val="19"/>
        <w:rFonts w:ascii="宋体" w:hAnsi="宋体"/>
        <w:sz w:val="26"/>
        <w:szCs w:val="26"/>
      </w:rPr>
      <w:fldChar w:fldCharType="end"/>
    </w:r>
    <w:r>
      <w:rPr>
        <w:rStyle w:val="19"/>
        <w:rFonts w:hint="eastAsia" w:ascii="宋体" w:hAnsi="宋体"/>
        <w:sz w:val="20"/>
      </w:rPr>
      <w:t xml:space="preserve">  </w:t>
    </w:r>
    <w:r>
      <w:rPr>
        <w:rStyle w:val="19"/>
        <w:rFonts w:hint="eastAsia" w:ascii="宋体" w:hAnsi="宋体"/>
        <w:sz w:val="28"/>
        <w:szCs w:val="28"/>
      </w:rPr>
      <w:t>—</w:t>
    </w:r>
  </w:p>
  <w:p>
    <w:pPr>
      <w:pStyle w:val="9"/>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5NTBmOGE4ZjFlZmZkYTA4NjkzMDY3YWUzZGNjZWIifQ=="/>
  </w:docVars>
  <w:rsids>
    <w:rsidRoot w:val="007E0A40"/>
    <w:rsid w:val="0000090A"/>
    <w:rsid w:val="00001359"/>
    <w:rsid w:val="0000196E"/>
    <w:rsid w:val="00003046"/>
    <w:rsid w:val="000110AF"/>
    <w:rsid w:val="00012987"/>
    <w:rsid w:val="0001381E"/>
    <w:rsid w:val="000203B2"/>
    <w:rsid w:val="00020D7E"/>
    <w:rsid w:val="00022AB9"/>
    <w:rsid w:val="0002416B"/>
    <w:rsid w:val="00030A68"/>
    <w:rsid w:val="000325EE"/>
    <w:rsid w:val="00033E49"/>
    <w:rsid w:val="0003731B"/>
    <w:rsid w:val="00041ACC"/>
    <w:rsid w:val="00043B41"/>
    <w:rsid w:val="00045AA0"/>
    <w:rsid w:val="00046CF1"/>
    <w:rsid w:val="0005347E"/>
    <w:rsid w:val="00057953"/>
    <w:rsid w:val="00061C34"/>
    <w:rsid w:val="00062962"/>
    <w:rsid w:val="00063289"/>
    <w:rsid w:val="00067D4E"/>
    <w:rsid w:val="00071C79"/>
    <w:rsid w:val="00076418"/>
    <w:rsid w:val="000802F7"/>
    <w:rsid w:val="00084A22"/>
    <w:rsid w:val="00084AD2"/>
    <w:rsid w:val="00084F6D"/>
    <w:rsid w:val="00085B0B"/>
    <w:rsid w:val="00086626"/>
    <w:rsid w:val="00086764"/>
    <w:rsid w:val="000906DC"/>
    <w:rsid w:val="0009086D"/>
    <w:rsid w:val="00092654"/>
    <w:rsid w:val="00093065"/>
    <w:rsid w:val="00093B61"/>
    <w:rsid w:val="00097D03"/>
    <w:rsid w:val="000A22A2"/>
    <w:rsid w:val="000A3DAD"/>
    <w:rsid w:val="000A572F"/>
    <w:rsid w:val="000A6BD4"/>
    <w:rsid w:val="000A743D"/>
    <w:rsid w:val="000A7FDF"/>
    <w:rsid w:val="000B22FD"/>
    <w:rsid w:val="000B4F02"/>
    <w:rsid w:val="000B63A5"/>
    <w:rsid w:val="000B7FDF"/>
    <w:rsid w:val="000C0146"/>
    <w:rsid w:val="000C1F95"/>
    <w:rsid w:val="000C46DC"/>
    <w:rsid w:val="000C488F"/>
    <w:rsid w:val="000C7252"/>
    <w:rsid w:val="000D1B61"/>
    <w:rsid w:val="000D569A"/>
    <w:rsid w:val="000D6412"/>
    <w:rsid w:val="000E3AEA"/>
    <w:rsid w:val="000E4119"/>
    <w:rsid w:val="000E51B3"/>
    <w:rsid w:val="000E6DB2"/>
    <w:rsid w:val="000E70A8"/>
    <w:rsid w:val="000F0BA3"/>
    <w:rsid w:val="000F1179"/>
    <w:rsid w:val="000F1D04"/>
    <w:rsid w:val="000F4B00"/>
    <w:rsid w:val="000F4FBD"/>
    <w:rsid w:val="000F5294"/>
    <w:rsid w:val="000F5D8D"/>
    <w:rsid w:val="00102CD5"/>
    <w:rsid w:val="001030C5"/>
    <w:rsid w:val="00111EBA"/>
    <w:rsid w:val="00113796"/>
    <w:rsid w:val="00114C88"/>
    <w:rsid w:val="00114FAD"/>
    <w:rsid w:val="00124D97"/>
    <w:rsid w:val="00125C09"/>
    <w:rsid w:val="001276AC"/>
    <w:rsid w:val="00130CC6"/>
    <w:rsid w:val="00133016"/>
    <w:rsid w:val="001331ED"/>
    <w:rsid w:val="00135550"/>
    <w:rsid w:val="00137FCE"/>
    <w:rsid w:val="00142AC4"/>
    <w:rsid w:val="00143817"/>
    <w:rsid w:val="00144197"/>
    <w:rsid w:val="001444FA"/>
    <w:rsid w:val="00144EAC"/>
    <w:rsid w:val="001460E2"/>
    <w:rsid w:val="00146213"/>
    <w:rsid w:val="00146768"/>
    <w:rsid w:val="00147ABA"/>
    <w:rsid w:val="001527A0"/>
    <w:rsid w:val="0015292D"/>
    <w:rsid w:val="00152AD3"/>
    <w:rsid w:val="00152B4C"/>
    <w:rsid w:val="00153A2E"/>
    <w:rsid w:val="00154477"/>
    <w:rsid w:val="00160B93"/>
    <w:rsid w:val="00161486"/>
    <w:rsid w:val="00164BF5"/>
    <w:rsid w:val="00170D3E"/>
    <w:rsid w:val="001715F1"/>
    <w:rsid w:val="00175051"/>
    <w:rsid w:val="00175150"/>
    <w:rsid w:val="00180482"/>
    <w:rsid w:val="00182B6F"/>
    <w:rsid w:val="00187C37"/>
    <w:rsid w:val="00190109"/>
    <w:rsid w:val="0019124A"/>
    <w:rsid w:val="001926A3"/>
    <w:rsid w:val="00192BD0"/>
    <w:rsid w:val="00194804"/>
    <w:rsid w:val="001957E5"/>
    <w:rsid w:val="001A0B80"/>
    <w:rsid w:val="001A402F"/>
    <w:rsid w:val="001A63BB"/>
    <w:rsid w:val="001B4B3C"/>
    <w:rsid w:val="001B7719"/>
    <w:rsid w:val="001C197A"/>
    <w:rsid w:val="001C3531"/>
    <w:rsid w:val="001C367F"/>
    <w:rsid w:val="001C38A5"/>
    <w:rsid w:val="001C3B7B"/>
    <w:rsid w:val="001C5F13"/>
    <w:rsid w:val="001C7734"/>
    <w:rsid w:val="001D201D"/>
    <w:rsid w:val="001D3999"/>
    <w:rsid w:val="001D4EC9"/>
    <w:rsid w:val="001D68E0"/>
    <w:rsid w:val="001D6E68"/>
    <w:rsid w:val="001E046B"/>
    <w:rsid w:val="001E4948"/>
    <w:rsid w:val="001E5391"/>
    <w:rsid w:val="001E58A7"/>
    <w:rsid w:val="001E67A5"/>
    <w:rsid w:val="001E6D72"/>
    <w:rsid w:val="001E73E2"/>
    <w:rsid w:val="001F498E"/>
    <w:rsid w:val="001F5C84"/>
    <w:rsid w:val="0020176A"/>
    <w:rsid w:val="0020770D"/>
    <w:rsid w:val="00211804"/>
    <w:rsid w:val="002134C4"/>
    <w:rsid w:val="002160A0"/>
    <w:rsid w:val="00217C02"/>
    <w:rsid w:val="00222AE8"/>
    <w:rsid w:val="00222CBD"/>
    <w:rsid w:val="0023017F"/>
    <w:rsid w:val="002322A2"/>
    <w:rsid w:val="002348D8"/>
    <w:rsid w:val="00234F6D"/>
    <w:rsid w:val="0023585B"/>
    <w:rsid w:val="00236266"/>
    <w:rsid w:val="00237413"/>
    <w:rsid w:val="00241826"/>
    <w:rsid w:val="00242904"/>
    <w:rsid w:val="002433A8"/>
    <w:rsid w:val="00243C82"/>
    <w:rsid w:val="00244AAF"/>
    <w:rsid w:val="002459BE"/>
    <w:rsid w:val="00250EB1"/>
    <w:rsid w:val="0025603A"/>
    <w:rsid w:val="00262A98"/>
    <w:rsid w:val="00264D1F"/>
    <w:rsid w:val="00266B76"/>
    <w:rsid w:val="00270C8A"/>
    <w:rsid w:val="002722F2"/>
    <w:rsid w:val="0027363D"/>
    <w:rsid w:val="0027406F"/>
    <w:rsid w:val="00274278"/>
    <w:rsid w:val="00274A53"/>
    <w:rsid w:val="00275847"/>
    <w:rsid w:val="002808A4"/>
    <w:rsid w:val="00284B38"/>
    <w:rsid w:val="0028565B"/>
    <w:rsid w:val="002865F3"/>
    <w:rsid w:val="00286F02"/>
    <w:rsid w:val="00291E73"/>
    <w:rsid w:val="00293F74"/>
    <w:rsid w:val="00294238"/>
    <w:rsid w:val="002A36BE"/>
    <w:rsid w:val="002A5B85"/>
    <w:rsid w:val="002A6011"/>
    <w:rsid w:val="002B544B"/>
    <w:rsid w:val="002B629C"/>
    <w:rsid w:val="002C0377"/>
    <w:rsid w:val="002C51D5"/>
    <w:rsid w:val="002D07EB"/>
    <w:rsid w:val="002D1EB5"/>
    <w:rsid w:val="002D229B"/>
    <w:rsid w:val="002D416C"/>
    <w:rsid w:val="002D4ADA"/>
    <w:rsid w:val="002D54D7"/>
    <w:rsid w:val="002D6495"/>
    <w:rsid w:val="002D662C"/>
    <w:rsid w:val="002E3A36"/>
    <w:rsid w:val="002E4663"/>
    <w:rsid w:val="002E53E0"/>
    <w:rsid w:val="002E640D"/>
    <w:rsid w:val="002E6DB2"/>
    <w:rsid w:val="002F3CCD"/>
    <w:rsid w:val="0030279B"/>
    <w:rsid w:val="00302BD4"/>
    <w:rsid w:val="00303315"/>
    <w:rsid w:val="00304FA7"/>
    <w:rsid w:val="00305595"/>
    <w:rsid w:val="00305B04"/>
    <w:rsid w:val="00306059"/>
    <w:rsid w:val="00306430"/>
    <w:rsid w:val="00313021"/>
    <w:rsid w:val="00316742"/>
    <w:rsid w:val="00316ED9"/>
    <w:rsid w:val="003204FA"/>
    <w:rsid w:val="00323CA0"/>
    <w:rsid w:val="003249E3"/>
    <w:rsid w:val="00326984"/>
    <w:rsid w:val="00326989"/>
    <w:rsid w:val="00330059"/>
    <w:rsid w:val="00331E34"/>
    <w:rsid w:val="003332A4"/>
    <w:rsid w:val="003379C4"/>
    <w:rsid w:val="00340BD8"/>
    <w:rsid w:val="003454A9"/>
    <w:rsid w:val="00346758"/>
    <w:rsid w:val="00352A1C"/>
    <w:rsid w:val="003561A3"/>
    <w:rsid w:val="003566B0"/>
    <w:rsid w:val="00356E21"/>
    <w:rsid w:val="00360B05"/>
    <w:rsid w:val="00363E15"/>
    <w:rsid w:val="00364FF2"/>
    <w:rsid w:val="003663C5"/>
    <w:rsid w:val="00370640"/>
    <w:rsid w:val="00370988"/>
    <w:rsid w:val="003713A5"/>
    <w:rsid w:val="00371F60"/>
    <w:rsid w:val="0037286F"/>
    <w:rsid w:val="00383789"/>
    <w:rsid w:val="003843A8"/>
    <w:rsid w:val="00385198"/>
    <w:rsid w:val="00390E62"/>
    <w:rsid w:val="003943D9"/>
    <w:rsid w:val="00394F6C"/>
    <w:rsid w:val="003A35AE"/>
    <w:rsid w:val="003A5E2A"/>
    <w:rsid w:val="003A64E4"/>
    <w:rsid w:val="003B1884"/>
    <w:rsid w:val="003B3A59"/>
    <w:rsid w:val="003B621D"/>
    <w:rsid w:val="003C142D"/>
    <w:rsid w:val="003C2117"/>
    <w:rsid w:val="003C2473"/>
    <w:rsid w:val="003C317A"/>
    <w:rsid w:val="003C5B64"/>
    <w:rsid w:val="003D29B9"/>
    <w:rsid w:val="003D2B7F"/>
    <w:rsid w:val="003D2FE7"/>
    <w:rsid w:val="003D3551"/>
    <w:rsid w:val="003D3FF4"/>
    <w:rsid w:val="003D6B3C"/>
    <w:rsid w:val="003E0178"/>
    <w:rsid w:val="003E0292"/>
    <w:rsid w:val="003E1C2A"/>
    <w:rsid w:val="003E40FA"/>
    <w:rsid w:val="003E4812"/>
    <w:rsid w:val="003E6B12"/>
    <w:rsid w:val="003F5C76"/>
    <w:rsid w:val="0040085B"/>
    <w:rsid w:val="00401A17"/>
    <w:rsid w:val="00404492"/>
    <w:rsid w:val="0040594A"/>
    <w:rsid w:val="00411323"/>
    <w:rsid w:val="004129FD"/>
    <w:rsid w:val="00414525"/>
    <w:rsid w:val="00415C51"/>
    <w:rsid w:val="00416BD5"/>
    <w:rsid w:val="00417898"/>
    <w:rsid w:val="00421398"/>
    <w:rsid w:val="0042307C"/>
    <w:rsid w:val="00423A62"/>
    <w:rsid w:val="00423DF6"/>
    <w:rsid w:val="0042639A"/>
    <w:rsid w:val="004333EE"/>
    <w:rsid w:val="0043534F"/>
    <w:rsid w:val="00442348"/>
    <w:rsid w:val="00443AA7"/>
    <w:rsid w:val="00444884"/>
    <w:rsid w:val="0044667A"/>
    <w:rsid w:val="00446E45"/>
    <w:rsid w:val="0044747B"/>
    <w:rsid w:val="00447F7B"/>
    <w:rsid w:val="004571D0"/>
    <w:rsid w:val="004573E8"/>
    <w:rsid w:val="00461013"/>
    <w:rsid w:val="004610C4"/>
    <w:rsid w:val="00464868"/>
    <w:rsid w:val="004666A7"/>
    <w:rsid w:val="00470895"/>
    <w:rsid w:val="00473368"/>
    <w:rsid w:val="004746C9"/>
    <w:rsid w:val="004776CD"/>
    <w:rsid w:val="004779B4"/>
    <w:rsid w:val="00477DE6"/>
    <w:rsid w:val="00485308"/>
    <w:rsid w:val="00487E4F"/>
    <w:rsid w:val="00491522"/>
    <w:rsid w:val="00493497"/>
    <w:rsid w:val="00493841"/>
    <w:rsid w:val="0049389A"/>
    <w:rsid w:val="00494601"/>
    <w:rsid w:val="004946AC"/>
    <w:rsid w:val="004A0F9E"/>
    <w:rsid w:val="004A2D77"/>
    <w:rsid w:val="004A2F3C"/>
    <w:rsid w:val="004A3BA5"/>
    <w:rsid w:val="004A3FEA"/>
    <w:rsid w:val="004A6483"/>
    <w:rsid w:val="004A65B9"/>
    <w:rsid w:val="004A6EF1"/>
    <w:rsid w:val="004B1448"/>
    <w:rsid w:val="004B2EF2"/>
    <w:rsid w:val="004B52C0"/>
    <w:rsid w:val="004B537F"/>
    <w:rsid w:val="004B64F7"/>
    <w:rsid w:val="004C15F5"/>
    <w:rsid w:val="004C7983"/>
    <w:rsid w:val="004D1482"/>
    <w:rsid w:val="004D2C4B"/>
    <w:rsid w:val="004D3260"/>
    <w:rsid w:val="004D4CC7"/>
    <w:rsid w:val="004D6D62"/>
    <w:rsid w:val="004E183A"/>
    <w:rsid w:val="004E4370"/>
    <w:rsid w:val="004E6BF8"/>
    <w:rsid w:val="004F1390"/>
    <w:rsid w:val="004F1821"/>
    <w:rsid w:val="004F247A"/>
    <w:rsid w:val="004F38F4"/>
    <w:rsid w:val="004F4E5E"/>
    <w:rsid w:val="004F564D"/>
    <w:rsid w:val="004F605B"/>
    <w:rsid w:val="005009E4"/>
    <w:rsid w:val="00505C56"/>
    <w:rsid w:val="0051026E"/>
    <w:rsid w:val="0051426F"/>
    <w:rsid w:val="00515AC4"/>
    <w:rsid w:val="0052218D"/>
    <w:rsid w:val="0052219B"/>
    <w:rsid w:val="00523202"/>
    <w:rsid w:val="00523E30"/>
    <w:rsid w:val="0052423C"/>
    <w:rsid w:val="00526EC5"/>
    <w:rsid w:val="005301FE"/>
    <w:rsid w:val="00532FB7"/>
    <w:rsid w:val="005335FF"/>
    <w:rsid w:val="00535007"/>
    <w:rsid w:val="0053667D"/>
    <w:rsid w:val="00537405"/>
    <w:rsid w:val="00540661"/>
    <w:rsid w:val="005418E7"/>
    <w:rsid w:val="0054466D"/>
    <w:rsid w:val="00544F87"/>
    <w:rsid w:val="00546269"/>
    <w:rsid w:val="005472B5"/>
    <w:rsid w:val="0055076F"/>
    <w:rsid w:val="005534F7"/>
    <w:rsid w:val="005554C5"/>
    <w:rsid w:val="00560870"/>
    <w:rsid w:val="00560881"/>
    <w:rsid w:val="0056126B"/>
    <w:rsid w:val="005623C2"/>
    <w:rsid w:val="00563E28"/>
    <w:rsid w:val="00565C86"/>
    <w:rsid w:val="005662C4"/>
    <w:rsid w:val="00567753"/>
    <w:rsid w:val="00567950"/>
    <w:rsid w:val="00575EEB"/>
    <w:rsid w:val="005822C0"/>
    <w:rsid w:val="00584095"/>
    <w:rsid w:val="0058493B"/>
    <w:rsid w:val="0058512D"/>
    <w:rsid w:val="005871E4"/>
    <w:rsid w:val="00592A9E"/>
    <w:rsid w:val="0059323F"/>
    <w:rsid w:val="00593DA6"/>
    <w:rsid w:val="00593FEA"/>
    <w:rsid w:val="00594F91"/>
    <w:rsid w:val="005967A4"/>
    <w:rsid w:val="005A088A"/>
    <w:rsid w:val="005A44D4"/>
    <w:rsid w:val="005B091E"/>
    <w:rsid w:val="005B5B78"/>
    <w:rsid w:val="005B5D10"/>
    <w:rsid w:val="005B70A7"/>
    <w:rsid w:val="005B749C"/>
    <w:rsid w:val="005B7D53"/>
    <w:rsid w:val="005C0888"/>
    <w:rsid w:val="005C1724"/>
    <w:rsid w:val="005C1AAD"/>
    <w:rsid w:val="005C470E"/>
    <w:rsid w:val="005C5138"/>
    <w:rsid w:val="005C7F1D"/>
    <w:rsid w:val="005D070E"/>
    <w:rsid w:val="005D0A80"/>
    <w:rsid w:val="005D3DBD"/>
    <w:rsid w:val="005D49E1"/>
    <w:rsid w:val="005D60D6"/>
    <w:rsid w:val="005D64C4"/>
    <w:rsid w:val="005E08D6"/>
    <w:rsid w:val="005E1794"/>
    <w:rsid w:val="005E31C5"/>
    <w:rsid w:val="005E7B35"/>
    <w:rsid w:val="005F0E37"/>
    <w:rsid w:val="005F16B3"/>
    <w:rsid w:val="005F396C"/>
    <w:rsid w:val="005F5ACE"/>
    <w:rsid w:val="005F7DE4"/>
    <w:rsid w:val="005F7F2F"/>
    <w:rsid w:val="006002DC"/>
    <w:rsid w:val="00601935"/>
    <w:rsid w:val="00603F97"/>
    <w:rsid w:val="006046E3"/>
    <w:rsid w:val="00605E9D"/>
    <w:rsid w:val="006073B5"/>
    <w:rsid w:val="0061188B"/>
    <w:rsid w:val="00611B52"/>
    <w:rsid w:val="00611B90"/>
    <w:rsid w:val="00612FFD"/>
    <w:rsid w:val="00614741"/>
    <w:rsid w:val="00614799"/>
    <w:rsid w:val="00616508"/>
    <w:rsid w:val="006203D1"/>
    <w:rsid w:val="006203FF"/>
    <w:rsid w:val="00620ED0"/>
    <w:rsid w:val="00622AE6"/>
    <w:rsid w:val="0062530E"/>
    <w:rsid w:val="006273C5"/>
    <w:rsid w:val="00631522"/>
    <w:rsid w:val="0063153A"/>
    <w:rsid w:val="00633AAF"/>
    <w:rsid w:val="00636469"/>
    <w:rsid w:val="00637B82"/>
    <w:rsid w:val="00637F45"/>
    <w:rsid w:val="00641464"/>
    <w:rsid w:val="0064372D"/>
    <w:rsid w:val="0064788C"/>
    <w:rsid w:val="00651459"/>
    <w:rsid w:val="00651559"/>
    <w:rsid w:val="006527E3"/>
    <w:rsid w:val="00654837"/>
    <w:rsid w:val="006559C5"/>
    <w:rsid w:val="006561D4"/>
    <w:rsid w:val="006566DB"/>
    <w:rsid w:val="00656A97"/>
    <w:rsid w:val="0066323C"/>
    <w:rsid w:val="00666B90"/>
    <w:rsid w:val="00667B97"/>
    <w:rsid w:val="006753D2"/>
    <w:rsid w:val="00681830"/>
    <w:rsid w:val="00681D87"/>
    <w:rsid w:val="00686CD8"/>
    <w:rsid w:val="00690127"/>
    <w:rsid w:val="00692622"/>
    <w:rsid w:val="0069354E"/>
    <w:rsid w:val="006A63AD"/>
    <w:rsid w:val="006A7DBD"/>
    <w:rsid w:val="006B1BA5"/>
    <w:rsid w:val="006B23B5"/>
    <w:rsid w:val="006B2E44"/>
    <w:rsid w:val="006B2EC0"/>
    <w:rsid w:val="006B5435"/>
    <w:rsid w:val="006C174A"/>
    <w:rsid w:val="006C49B6"/>
    <w:rsid w:val="006C558A"/>
    <w:rsid w:val="006D0A98"/>
    <w:rsid w:val="006D1F1B"/>
    <w:rsid w:val="006D4025"/>
    <w:rsid w:val="006D43A5"/>
    <w:rsid w:val="006D6951"/>
    <w:rsid w:val="006E0521"/>
    <w:rsid w:val="006E0FD9"/>
    <w:rsid w:val="006E1167"/>
    <w:rsid w:val="006E1445"/>
    <w:rsid w:val="006E22AA"/>
    <w:rsid w:val="006E5E12"/>
    <w:rsid w:val="006F17A3"/>
    <w:rsid w:val="006F36AB"/>
    <w:rsid w:val="006F6667"/>
    <w:rsid w:val="006F7763"/>
    <w:rsid w:val="00700119"/>
    <w:rsid w:val="00702350"/>
    <w:rsid w:val="00702868"/>
    <w:rsid w:val="0070502A"/>
    <w:rsid w:val="00705170"/>
    <w:rsid w:val="007109A3"/>
    <w:rsid w:val="00711457"/>
    <w:rsid w:val="00722B3E"/>
    <w:rsid w:val="00722E07"/>
    <w:rsid w:val="00724F3C"/>
    <w:rsid w:val="00725036"/>
    <w:rsid w:val="007273F0"/>
    <w:rsid w:val="00727826"/>
    <w:rsid w:val="00727853"/>
    <w:rsid w:val="00733F48"/>
    <w:rsid w:val="00736257"/>
    <w:rsid w:val="0074248F"/>
    <w:rsid w:val="00743B0B"/>
    <w:rsid w:val="0074691D"/>
    <w:rsid w:val="007469E2"/>
    <w:rsid w:val="00747F06"/>
    <w:rsid w:val="007515AD"/>
    <w:rsid w:val="00754033"/>
    <w:rsid w:val="00754E94"/>
    <w:rsid w:val="00756AEA"/>
    <w:rsid w:val="0076034D"/>
    <w:rsid w:val="007614F5"/>
    <w:rsid w:val="007627F1"/>
    <w:rsid w:val="00763861"/>
    <w:rsid w:val="00766A77"/>
    <w:rsid w:val="00766B57"/>
    <w:rsid w:val="00767927"/>
    <w:rsid w:val="00767E11"/>
    <w:rsid w:val="007701B7"/>
    <w:rsid w:val="00771323"/>
    <w:rsid w:val="00772B1F"/>
    <w:rsid w:val="00772BE5"/>
    <w:rsid w:val="007730C4"/>
    <w:rsid w:val="007747E0"/>
    <w:rsid w:val="00775B4A"/>
    <w:rsid w:val="00783181"/>
    <w:rsid w:val="00785225"/>
    <w:rsid w:val="00786F20"/>
    <w:rsid w:val="00787C3F"/>
    <w:rsid w:val="007942B2"/>
    <w:rsid w:val="00794FB9"/>
    <w:rsid w:val="00795741"/>
    <w:rsid w:val="00796F11"/>
    <w:rsid w:val="007A0F0A"/>
    <w:rsid w:val="007A36C4"/>
    <w:rsid w:val="007A3E9E"/>
    <w:rsid w:val="007B046C"/>
    <w:rsid w:val="007B3A87"/>
    <w:rsid w:val="007B677C"/>
    <w:rsid w:val="007B6872"/>
    <w:rsid w:val="007C0AF0"/>
    <w:rsid w:val="007C4673"/>
    <w:rsid w:val="007C4D70"/>
    <w:rsid w:val="007D1C34"/>
    <w:rsid w:val="007D3465"/>
    <w:rsid w:val="007D3763"/>
    <w:rsid w:val="007D40EC"/>
    <w:rsid w:val="007D4CB9"/>
    <w:rsid w:val="007D5717"/>
    <w:rsid w:val="007D723E"/>
    <w:rsid w:val="007E0A40"/>
    <w:rsid w:val="007E1F71"/>
    <w:rsid w:val="007E383B"/>
    <w:rsid w:val="007E3941"/>
    <w:rsid w:val="007E513E"/>
    <w:rsid w:val="007E735F"/>
    <w:rsid w:val="007E7E80"/>
    <w:rsid w:val="007F4A23"/>
    <w:rsid w:val="00800A96"/>
    <w:rsid w:val="008017BF"/>
    <w:rsid w:val="00804C25"/>
    <w:rsid w:val="00804DE6"/>
    <w:rsid w:val="00805ECF"/>
    <w:rsid w:val="008077A5"/>
    <w:rsid w:val="0080792D"/>
    <w:rsid w:val="00810CAA"/>
    <w:rsid w:val="00815737"/>
    <w:rsid w:val="00817E64"/>
    <w:rsid w:val="00820553"/>
    <w:rsid w:val="00820D20"/>
    <w:rsid w:val="008236B7"/>
    <w:rsid w:val="00823886"/>
    <w:rsid w:val="0083093D"/>
    <w:rsid w:val="008312C4"/>
    <w:rsid w:val="00831BF5"/>
    <w:rsid w:val="008425B2"/>
    <w:rsid w:val="00842A5A"/>
    <w:rsid w:val="00844030"/>
    <w:rsid w:val="00852354"/>
    <w:rsid w:val="00853076"/>
    <w:rsid w:val="0085509B"/>
    <w:rsid w:val="00861508"/>
    <w:rsid w:val="00862EF8"/>
    <w:rsid w:val="008634C2"/>
    <w:rsid w:val="008639BA"/>
    <w:rsid w:val="00864E17"/>
    <w:rsid w:val="00865DCC"/>
    <w:rsid w:val="00870F8F"/>
    <w:rsid w:val="008724B2"/>
    <w:rsid w:val="00872748"/>
    <w:rsid w:val="00872926"/>
    <w:rsid w:val="0087424F"/>
    <w:rsid w:val="008760F7"/>
    <w:rsid w:val="00876116"/>
    <w:rsid w:val="00876799"/>
    <w:rsid w:val="00891514"/>
    <w:rsid w:val="00891EC5"/>
    <w:rsid w:val="008928B0"/>
    <w:rsid w:val="00892E19"/>
    <w:rsid w:val="00895031"/>
    <w:rsid w:val="00897825"/>
    <w:rsid w:val="00897D36"/>
    <w:rsid w:val="008A1F1D"/>
    <w:rsid w:val="008A35E4"/>
    <w:rsid w:val="008A5946"/>
    <w:rsid w:val="008B24F5"/>
    <w:rsid w:val="008B651A"/>
    <w:rsid w:val="008B6650"/>
    <w:rsid w:val="008B7987"/>
    <w:rsid w:val="008C1A6E"/>
    <w:rsid w:val="008C3317"/>
    <w:rsid w:val="008C5845"/>
    <w:rsid w:val="008C62BD"/>
    <w:rsid w:val="008C630E"/>
    <w:rsid w:val="008C7C4C"/>
    <w:rsid w:val="008D1AEA"/>
    <w:rsid w:val="008D1C53"/>
    <w:rsid w:val="008D35C2"/>
    <w:rsid w:val="008E1F80"/>
    <w:rsid w:val="008E2F83"/>
    <w:rsid w:val="008E435E"/>
    <w:rsid w:val="008F0D91"/>
    <w:rsid w:val="008F2031"/>
    <w:rsid w:val="008F2304"/>
    <w:rsid w:val="008F3E97"/>
    <w:rsid w:val="008F5F85"/>
    <w:rsid w:val="00902D7D"/>
    <w:rsid w:val="0090330B"/>
    <w:rsid w:val="00903C4D"/>
    <w:rsid w:val="0090657C"/>
    <w:rsid w:val="00911BC6"/>
    <w:rsid w:val="00915826"/>
    <w:rsid w:val="009177C9"/>
    <w:rsid w:val="0092388B"/>
    <w:rsid w:val="009245D6"/>
    <w:rsid w:val="00924646"/>
    <w:rsid w:val="009253DA"/>
    <w:rsid w:val="00926735"/>
    <w:rsid w:val="00935AB1"/>
    <w:rsid w:val="009406FF"/>
    <w:rsid w:val="00940DF7"/>
    <w:rsid w:val="009457F8"/>
    <w:rsid w:val="009474E7"/>
    <w:rsid w:val="00950EC8"/>
    <w:rsid w:val="009522A7"/>
    <w:rsid w:val="0095342E"/>
    <w:rsid w:val="00954AB7"/>
    <w:rsid w:val="00954CFA"/>
    <w:rsid w:val="009557D2"/>
    <w:rsid w:val="00960A34"/>
    <w:rsid w:val="009616F8"/>
    <w:rsid w:val="009632A9"/>
    <w:rsid w:val="00963884"/>
    <w:rsid w:val="00965CA9"/>
    <w:rsid w:val="00967540"/>
    <w:rsid w:val="00973753"/>
    <w:rsid w:val="0097422C"/>
    <w:rsid w:val="00976943"/>
    <w:rsid w:val="00976B25"/>
    <w:rsid w:val="00982A47"/>
    <w:rsid w:val="00985C38"/>
    <w:rsid w:val="00986632"/>
    <w:rsid w:val="00987D4C"/>
    <w:rsid w:val="0099243E"/>
    <w:rsid w:val="0099294E"/>
    <w:rsid w:val="00993002"/>
    <w:rsid w:val="00995D7E"/>
    <w:rsid w:val="009A0A0A"/>
    <w:rsid w:val="009A1B98"/>
    <w:rsid w:val="009A392B"/>
    <w:rsid w:val="009A4792"/>
    <w:rsid w:val="009A4AF2"/>
    <w:rsid w:val="009A72C5"/>
    <w:rsid w:val="009A7E22"/>
    <w:rsid w:val="009B2613"/>
    <w:rsid w:val="009B31D8"/>
    <w:rsid w:val="009B3BF4"/>
    <w:rsid w:val="009B59A1"/>
    <w:rsid w:val="009B6D6E"/>
    <w:rsid w:val="009C2D17"/>
    <w:rsid w:val="009C3B30"/>
    <w:rsid w:val="009C40A7"/>
    <w:rsid w:val="009D0367"/>
    <w:rsid w:val="009D46FD"/>
    <w:rsid w:val="009D5AD9"/>
    <w:rsid w:val="009D62A9"/>
    <w:rsid w:val="009E1CE0"/>
    <w:rsid w:val="009E5CD5"/>
    <w:rsid w:val="009E6E3E"/>
    <w:rsid w:val="009F0747"/>
    <w:rsid w:val="009F0832"/>
    <w:rsid w:val="009F24F8"/>
    <w:rsid w:val="009F4602"/>
    <w:rsid w:val="009F738D"/>
    <w:rsid w:val="00A008EC"/>
    <w:rsid w:val="00A02D3C"/>
    <w:rsid w:val="00A0336A"/>
    <w:rsid w:val="00A041AA"/>
    <w:rsid w:val="00A05732"/>
    <w:rsid w:val="00A0672C"/>
    <w:rsid w:val="00A110CD"/>
    <w:rsid w:val="00A1705C"/>
    <w:rsid w:val="00A170B1"/>
    <w:rsid w:val="00A20335"/>
    <w:rsid w:val="00A2049C"/>
    <w:rsid w:val="00A26B68"/>
    <w:rsid w:val="00A30FBD"/>
    <w:rsid w:val="00A31D86"/>
    <w:rsid w:val="00A31F7B"/>
    <w:rsid w:val="00A41DE0"/>
    <w:rsid w:val="00A46CFB"/>
    <w:rsid w:val="00A504B3"/>
    <w:rsid w:val="00A52F56"/>
    <w:rsid w:val="00A55B34"/>
    <w:rsid w:val="00A56632"/>
    <w:rsid w:val="00A56A38"/>
    <w:rsid w:val="00A57DB8"/>
    <w:rsid w:val="00A605D8"/>
    <w:rsid w:val="00A60692"/>
    <w:rsid w:val="00A620E4"/>
    <w:rsid w:val="00A62CE2"/>
    <w:rsid w:val="00A63695"/>
    <w:rsid w:val="00A641C5"/>
    <w:rsid w:val="00A65C93"/>
    <w:rsid w:val="00A66939"/>
    <w:rsid w:val="00A67FA1"/>
    <w:rsid w:val="00A73F29"/>
    <w:rsid w:val="00A803C6"/>
    <w:rsid w:val="00A81DDE"/>
    <w:rsid w:val="00A82314"/>
    <w:rsid w:val="00A83396"/>
    <w:rsid w:val="00A83A99"/>
    <w:rsid w:val="00A83F29"/>
    <w:rsid w:val="00A85774"/>
    <w:rsid w:val="00A85A24"/>
    <w:rsid w:val="00A90E5D"/>
    <w:rsid w:val="00A92E19"/>
    <w:rsid w:val="00A9301D"/>
    <w:rsid w:val="00AA0588"/>
    <w:rsid w:val="00AA2B94"/>
    <w:rsid w:val="00AA3022"/>
    <w:rsid w:val="00AA409B"/>
    <w:rsid w:val="00AA4ACB"/>
    <w:rsid w:val="00AA5A94"/>
    <w:rsid w:val="00AA7F1B"/>
    <w:rsid w:val="00AB1EEC"/>
    <w:rsid w:val="00AB3D9F"/>
    <w:rsid w:val="00AB4001"/>
    <w:rsid w:val="00AB5B5F"/>
    <w:rsid w:val="00AC1369"/>
    <w:rsid w:val="00AC191C"/>
    <w:rsid w:val="00AC2A0C"/>
    <w:rsid w:val="00AC31A4"/>
    <w:rsid w:val="00AC3F3B"/>
    <w:rsid w:val="00AC4959"/>
    <w:rsid w:val="00AC4C75"/>
    <w:rsid w:val="00AD1196"/>
    <w:rsid w:val="00AD58AB"/>
    <w:rsid w:val="00AD7704"/>
    <w:rsid w:val="00AD7846"/>
    <w:rsid w:val="00AD7E20"/>
    <w:rsid w:val="00AD7EFD"/>
    <w:rsid w:val="00AE28EC"/>
    <w:rsid w:val="00AE3F87"/>
    <w:rsid w:val="00AF0DCB"/>
    <w:rsid w:val="00AF7FA4"/>
    <w:rsid w:val="00B00498"/>
    <w:rsid w:val="00B00D09"/>
    <w:rsid w:val="00B0110F"/>
    <w:rsid w:val="00B0281F"/>
    <w:rsid w:val="00B06144"/>
    <w:rsid w:val="00B101A6"/>
    <w:rsid w:val="00B12A55"/>
    <w:rsid w:val="00B13C17"/>
    <w:rsid w:val="00B15673"/>
    <w:rsid w:val="00B15C05"/>
    <w:rsid w:val="00B15EA7"/>
    <w:rsid w:val="00B17E23"/>
    <w:rsid w:val="00B21C68"/>
    <w:rsid w:val="00B23421"/>
    <w:rsid w:val="00B3160A"/>
    <w:rsid w:val="00B31AA6"/>
    <w:rsid w:val="00B33346"/>
    <w:rsid w:val="00B346B0"/>
    <w:rsid w:val="00B34924"/>
    <w:rsid w:val="00B36FB6"/>
    <w:rsid w:val="00B37087"/>
    <w:rsid w:val="00B37B32"/>
    <w:rsid w:val="00B4038F"/>
    <w:rsid w:val="00B41C56"/>
    <w:rsid w:val="00B526DA"/>
    <w:rsid w:val="00B54862"/>
    <w:rsid w:val="00B57CE4"/>
    <w:rsid w:val="00B63527"/>
    <w:rsid w:val="00B66A0A"/>
    <w:rsid w:val="00B6732B"/>
    <w:rsid w:val="00B70952"/>
    <w:rsid w:val="00B70A67"/>
    <w:rsid w:val="00B71CEE"/>
    <w:rsid w:val="00B763D7"/>
    <w:rsid w:val="00B8233D"/>
    <w:rsid w:val="00B82F48"/>
    <w:rsid w:val="00B83F9C"/>
    <w:rsid w:val="00B85F9F"/>
    <w:rsid w:val="00B872E1"/>
    <w:rsid w:val="00B8782E"/>
    <w:rsid w:val="00B905A0"/>
    <w:rsid w:val="00B9421B"/>
    <w:rsid w:val="00B97C80"/>
    <w:rsid w:val="00BA003D"/>
    <w:rsid w:val="00BA0A37"/>
    <w:rsid w:val="00BA4993"/>
    <w:rsid w:val="00BA6337"/>
    <w:rsid w:val="00BB0896"/>
    <w:rsid w:val="00BB11B3"/>
    <w:rsid w:val="00BB3321"/>
    <w:rsid w:val="00BB49F1"/>
    <w:rsid w:val="00BB4C6A"/>
    <w:rsid w:val="00BB6310"/>
    <w:rsid w:val="00BB76EC"/>
    <w:rsid w:val="00BC6E45"/>
    <w:rsid w:val="00BD29B6"/>
    <w:rsid w:val="00BD31C1"/>
    <w:rsid w:val="00BD5DA7"/>
    <w:rsid w:val="00BD66E4"/>
    <w:rsid w:val="00BF0412"/>
    <w:rsid w:val="00BF1A65"/>
    <w:rsid w:val="00BF2361"/>
    <w:rsid w:val="00BF2AB9"/>
    <w:rsid w:val="00BF659F"/>
    <w:rsid w:val="00BF67CF"/>
    <w:rsid w:val="00BF6F84"/>
    <w:rsid w:val="00C0392E"/>
    <w:rsid w:val="00C0694A"/>
    <w:rsid w:val="00C107C3"/>
    <w:rsid w:val="00C11CC1"/>
    <w:rsid w:val="00C13C14"/>
    <w:rsid w:val="00C14920"/>
    <w:rsid w:val="00C1647C"/>
    <w:rsid w:val="00C16F1D"/>
    <w:rsid w:val="00C21066"/>
    <w:rsid w:val="00C25F34"/>
    <w:rsid w:val="00C31E90"/>
    <w:rsid w:val="00C32FD0"/>
    <w:rsid w:val="00C336A5"/>
    <w:rsid w:val="00C37E3B"/>
    <w:rsid w:val="00C40A4B"/>
    <w:rsid w:val="00C44387"/>
    <w:rsid w:val="00C45408"/>
    <w:rsid w:val="00C46C30"/>
    <w:rsid w:val="00C50314"/>
    <w:rsid w:val="00C521EB"/>
    <w:rsid w:val="00C5268F"/>
    <w:rsid w:val="00C5358F"/>
    <w:rsid w:val="00C542A5"/>
    <w:rsid w:val="00C54BEF"/>
    <w:rsid w:val="00C57596"/>
    <w:rsid w:val="00C57A62"/>
    <w:rsid w:val="00C63E70"/>
    <w:rsid w:val="00C64AFA"/>
    <w:rsid w:val="00C65ACC"/>
    <w:rsid w:val="00C700BF"/>
    <w:rsid w:val="00C73426"/>
    <w:rsid w:val="00C736A9"/>
    <w:rsid w:val="00C7380C"/>
    <w:rsid w:val="00C753D6"/>
    <w:rsid w:val="00C765C4"/>
    <w:rsid w:val="00C77002"/>
    <w:rsid w:val="00C8185E"/>
    <w:rsid w:val="00C8316C"/>
    <w:rsid w:val="00C83ABF"/>
    <w:rsid w:val="00C85935"/>
    <w:rsid w:val="00C86D08"/>
    <w:rsid w:val="00C90758"/>
    <w:rsid w:val="00C9768F"/>
    <w:rsid w:val="00C97806"/>
    <w:rsid w:val="00CA49A3"/>
    <w:rsid w:val="00CA5F5A"/>
    <w:rsid w:val="00CA79F8"/>
    <w:rsid w:val="00CB0FA2"/>
    <w:rsid w:val="00CB1F3A"/>
    <w:rsid w:val="00CB20D4"/>
    <w:rsid w:val="00CB4D20"/>
    <w:rsid w:val="00CB5EA4"/>
    <w:rsid w:val="00CB6F2D"/>
    <w:rsid w:val="00CB7B0C"/>
    <w:rsid w:val="00CC007D"/>
    <w:rsid w:val="00CC278D"/>
    <w:rsid w:val="00CC287D"/>
    <w:rsid w:val="00CC32BC"/>
    <w:rsid w:val="00CC33F8"/>
    <w:rsid w:val="00CD29E9"/>
    <w:rsid w:val="00CD3C9F"/>
    <w:rsid w:val="00CD5CE7"/>
    <w:rsid w:val="00CE13A6"/>
    <w:rsid w:val="00CE14A3"/>
    <w:rsid w:val="00CE1E8C"/>
    <w:rsid w:val="00CE2DDA"/>
    <w:rsid w:val="00CE6E23"/>
    <w:rsid w:val="00CF6E1F"/>
    <w:rsid w:val="00CF7994"/>
    <w:rsid w:val="00D006EB"/>
    <w:rsid w:val="00D021BD"/>
    <w:rsid w:val="00D0237E"/>
    <w:rsid w:val="00D04317"/>
    <w:rsid w:val="00D07FED"/>
    <w:rsid w:val="00D11592"/>
    <w:rsid w:val="00D15635"/>
    <w:rsid w:val="00D16845"/>
    <w:rsid w:val="00D221E6"/>
    <w:rsid w:val="00D248F1"/>
    <w:rsid w:val="00D251AC"/>
    <w:rsid w:val="00D262E2"/>
    <w:rsid w:val="00D32289"/>
    <w:rsid w:val="00D3320E"/>
    <w:rsid w:val="00D37A35"/>
    <w:rsid w:val="00D4105C"/>
    <w:rsid w:val="00D42549"/>
    <w:rsid w:val="00D440A9"/>
    <w:rsid w:val="00D45E6F"/>
    <w:rsid w:val="00D504BD"/>
    <w:rsid w:val="00D50890"/>
    <w:rsid w:val="00D512CB"/>
    <w:rsid w:val="00D52FC2"/>
    <w:rsid w:val="00D550F3"/>
    <w:rsid w:val="00D55ACE"/>
    <w:rsid w:val="00D602D2"/>
    <w:rsid w:val="00D61299"/>
    <w:rsid w:val="00D61E2E"/>
    <w:rsid w:val="00D63054"/>
    <w:rsid w:val="00D64B72"/>
    <w:rsid w:val="00D67F11"/>
    <w:rsid w:val="00D7018D"/>
    <w:rsid w:val="00D748AC"/>
    <w:rsid w:val="00D77641"/>
    <w:rsid w:val="00D806BD"/>
    <w:rsid w:val="00D8080A"/>
    <w:rsid w:val="00D8674C"/>
    <w:rsid w:val="00D86BC0"/>
    <w:rsid w:val="00D90F7F"/>
    <w:rsid w:val="00D95FF0"/>
    <w:rsid w:val="00D962E8"/>
    <w:rsid w:val="00D96AD3"/>
    <w:rsid w:val="00D978AC"/>
    <w:rsid w:val="00DA1B79"/>
    <w:rsid w:val="00DA21F3"/>
    <w:rsid w:val="00DA425C"/>
    <w:rsid w:val="00DA4F64"/>
    <w:rsid w:val="00DA60C1"/>
    <w:rsid w:val="00DB08E3"/>
    <w:rsid w:val="00DB0F9F"/>
    <w:rsid w:val="00DC2EFC"/>
    <w:rsid w:val="00DC3C67"/>
    <w:rsid w:val="00DC4C2E"/>
    <w:rsid w:val="00DC7FFB"/>
    <w:rsid w:val="00DD022D"/>
    <w:rsid w:val="00DD0765"/>
    <w:rsid w:val="00DD1710"/>
    <w:rsid w:val="00DD36A5"/>
    <w:rsid w:val="00DD5C61"/>
    <w:rsid w:val="00DD7FD2"/>
    <w:rsid w:val="00DE1CFA"/>
    <w:rsid w:val="00DE2E65"/>
    <w:rsid w:val="00DE4EFC"/>
    <w:rsid w:val="00DE651E"/>
    <w:rsid w:val="00DE774C"/>
    <w:rsid w:val="00DF24AC"/>
    <w:rsid w:val="00DF69FC"/>
    <w:rsid w:val="00DF752F"/>
    <w:rsid w:val="00E01FC7"/>
    <w:rsid w:val="00E0220A"/>
    <w:rsid w:val="00E0295E"/>
    <w:rsid w:val="00E03EB5"/>
    <w:rsid w:val="00E132AC"/>
    <w:rsid w:val="00E14443"/>
    <w:rsid w:val="00E15489"/>
    <w:rsid w:val="00E16089"/>
    <w:rsid w:val="00E1664F"/>
    <w:rsid w:val="00E22C26"/>
    <w:rsid w:val="00E230EC"/>
    <w:rsid w:val="00E23B3B"/>
    <w:rsid w:val="00E30022"/>
    <w:rsid w:val="00E328F1"/>
    <w:rsid w:val="00E33062"/>
    <w:rsid w:val="00E33FD7"/>
    <w:rsid w:val="00E3464B"/>
    <w:rsid w:val="00E40FD1"/>
    <w:rsid w:val="00E42BA9"/>
    <w:rsid w:val="00E4387A"/>
    <w:rsid w:val="00E505D4"/>
    <w:rsid w:val="00E52CDC"/>
    <w:rsid w:val="00E55831"/>
    <w:rsid w:val="00E56882"/>
    <w:rsid w:val="00E57C15"/>
    <w:rsid w:val="00E62218"/>
    <w:rsid w:val="00E668E9"/>
    <w:rsid w:val="00E66F86"/>
    <w:rsid w:val="00E700EC"/>
    <w:rsid w:val="00E82EAA"/>
    <w:rsid w:val="00E8456D"/>
    <w:rsid w:val="00E92AC4"/>
    <w:rsid w:val="00E96010"/>
    <w:rsid w:val="00E97290"/>
    <w:rsid w:val="00EA4673"/>
    <w:rsid w:val="00EA7A92"/>
    <w:rsid w:val="00EB1894"/>
    <w:rsid w:val="00EB48A8"/>
    <w:rsid w:val="00EB61C7"/>
    <w:rsid w:val="00EB7CEC"/>
    <w:rsid w:val="00EC6647"/>
    <w:rsid w:val="00ED0206"/>
    <w:rsid w:val="00ED05C6"/>
    <w:rsid w:val="00ED0FCC"/>
    <w:rsid w:val="00ED586E"/>
    <w:rsid w:val="00ED5ED7"/>
    <w:rsid w:val="00ED71A2"/>
    <w:rsid w:val="00ED79F7"/>
    <w:rsid w:val="00EE1591"/>
    <w:rsid w:val="00EE2475"/>
    <w:rsid w:val="00EE35FB"/>
    <w:rsid w:val="00EE7831"/>
    <w:rsid w:val="00EF07D7"/>
    <w:rsid w:val="00EF3BF8"/>
    <w:rsid w:val="00EF7DE0"/>
    <w:rsid w:val="00F013E6"/>
    <w:rsid w:val="00F0151F"/>
    <w:rsid w:val="00F01D4F"/>
    <w:rsid w:val="00F03DF4"/>
    <w:rsid w:val="00F03E55"/>
    <w:rsid w:val="00F05737"/>
    <w:rsid w:val="00F07D0E"/>
    <w:rsid w:val="00F10CFF"/>
    <w:rsid w:val="00F14BB2"/>
    <w:rsid w:val="00F16E9C"/>
    <w:rsid w:val="00F2133F"/>
    <w:rsid w:val="00F22A1A"/>
    <w:rsid w:val="00F36663"/>
    <w:rsid w:val="00F37B2C"/>
    <w:rsid w:val="00F413AF"/>
    <w:rsid w:val="00F415A0"/>
    <w:rsid w:val="00F42D28"/>
    <w:rsid w:val="00F4529C"/>
    <w:rsid w:val="00F46669"/>
    <w:rsid w:val="00F467D0"/>
    <w:rsid w:val="00F51263"/>
    <w:rsid w:val="00F5403B"/>
    <w:rsid w:val="00F55F0B"/>
    <w:rsid w:val="00F571F3"/>
    <w:rsid w:val="00F71343"/>
    <w:rsid w:val="00F742F3"/>
    <w:rsid w:val="00F75766"/>
    <w:rsid w:val="00F76C0B"/>
    <w:rsid w:val="00F77C69"/>
    <w:rsid w:val="00F77C72"/>
    <w:rsid w:val="00F80914"/>
    <w:rsid w:val="00F83865"/>
    <w:rsid w:val="00F83FBC"/>
    <w:rsid w:val="00F84211"/>
    <w:rsid w:val="00F92592"/>
    <w:rsid w:val="00F93A47"/>
    <w:rsid w:val="00F93BAD"/>
    <w:rsid w:val="00F95683"/>
    <w:rsid w:val="00FA1351"/>
    <w:rsid w:val="00FA166A"/>
    <w:rsid w:val="00FA791F"/>
    <w:rsid w:val="00FB2DAB"/>
    <w:rsid w:val="00FB5138"/>
    <w:rsid w:val="00FB597C"/>
    <w:rsid w:val="00FB5A1E"/>
    <w:rsid w:val="00FB7D73"/>
    <w:rsid w:val="00FC17F4"/>
    <w:rsid w:val="00FC1D74"/>
    <w:rsid w:val="00FC20BE"/>
    <w:rsid w:val="00FC2CDB"/>
    <w:rsid w:val="00FC4392"/>
    <w:rsid w:val="00FC6B25"/>
    <w:rsid w:val="00FC6C90"/>
    <w:rsid w:val="00FC7500"/>
    <w:rsid w:val="00FC7D7B"/>
    <w:rsid w:val="00FD063B"/>
    <w:rsid w:val="00FD34A9"/>
    <w:rsid w:val="00FD7A15"/>
    <w:rsid w:val="00FE0280"/>
    <w:rsid w:val="00FE1B80"/>
    <w:rsid w:val="00FE204F"/>
    <w:rsid w:val="00FE39A2"/>
    <w:rsid w:val="00FE438E"/>
    <w:rsid w:val="00FE43A5"/>
    <w:rsid w:val="00FE47F3"/>
    <w:rsid w:val="00FE5EE0"/>
    <w:rsid w:val="00FF063A"/>
    <w:rsid w:val="00FF0DE6"/>
    <w:rsid w:val="00FF273E"/>
    <w:rsid w:val="00FF3F74"/>
    <w:rsid w:val="00FF4AED"/>
    <w:rsid w:val="00FF54D7"/>
    <w:rsid w:val="00FF7DC7"/>
    <w:rsid w:val="01D92FBC"/>
    <w:rsid w:val="021B18FD"/>
    <w:rsid w:val="06A27FAC"/>
    <w:rsid w:val="08C060FB"/>
    <w:rsid w:val="0B0D2F24"/>
    <w:rsid w:val="0BF4740F"/>
    <w:rsid w:val="0CDB0455"/>
    <w:rsid w:val="0CDE59C2"/>
    <w:rsid w:val="0DD46DCA"/>
    <w:rsid w:val="0DDB6F15"/>
    <w:rsid w:val="0E4D215A"/>
    <w:rsid w:val="0E9023B7"/>
    <w:rsid w:val="112473C3"/>
    <w:rsid w:val="11B64CFF"/>
    <w:rsid w:val="126231C8"/>
    <w:rsid w:val="12D937CE"/>
    <w:rsid w:val="1636654C"/>
    <w:rsid w:val="166756BA"/>
    <w:rsid w:val="1A716E7D"/>
    <w:rsid w:val="1BFE45EA"/>
    <w:rsid w:val="20140D2A"/>
    <w:rsid w:val="20C13220"/>
    <w:rsid w:val="273E0B47"/>
    <w:rsid w:val="277C4E5E"/>
    <w:rsid w:val="28094336"/>
    <w:rsid w:val="288C0393"/>
    <w:rsid w:val="2A0B5A15"/>
    <w:rsid w:val="2A862CFF"/>
    <w:rsid w:val="2BAE4DCA"/>
    <w:rsid w:val="2BE116EF"/>
    <w:rsid w:val="2CA11E71"/>
    <w:rsid w:val="2CCB3423"/>
    <w:rsid w:val="2F313C0D"/>
    <w:rsid w:val="2F8C7FAB"/>
    <w:rsid w:val="2FDB2C31"/>
    <w:rsid w:val="348D0D94"/>
    <w:rsid w:val="36183D69"/>
    <w:rsid w:val="38253620"/>
    <w:rsid w:val="3A42328B"/>
    <w:rsid w:val="3B380EDE"/>
    <w:rsid w:val="3D1C4DC2"/>
    <w:rsid w:val="3EEB4690"/>
    <w:rsid w:val="40C577BC"/>
    <w:rsid w:val="42C47946"/>
    <w:rsid w:val="436E1E06"/>
    <w:rsid w:val="45BB7C23"/>
    <w:rsid w:val="468051A3"/>
    <w:rsid w:val="473817DD"/>
    <w:rsid w:val="479E7CAD"/>
    <w:rsid w:val="496F4244"/>
    <w:rsid w:val="4AE42182"/>
    <w:rsid w:val="4B201AB4"/>
    <w:rsid w:val="4B7A6303"/>
    <w:rsid w:val="4EC56F79"/>
    <w:rsid w:val="50EB79AF"/>
    <w:rsid w:val="53DA5818"/>
    <w:rsid w:val="54296521"/>
    <w:rsid w:val="54B24092"/>
    <w:rsid w:val="55527FA3"/>
    <w:rsid w:val="56FD3FA0"/>
    <w:rsid w:val="585D3B46"/>
    <w:rsid w:val="59207AAD"/>
    <w:rsid w:val="596D661C"/>
    <w:rsid w:val="59D2726A"/>
    <w:rsid w:val="5ED864A3"/>
    <w:rsid w:val="61026EED"/>
    <w:rsid w:val="610D7C74"/>
    <w:rsid w:val="61427667"/>
    <w:rsid w:val="615229C4"/>
    <w:rsid w:val="61C64503"/>
    <w:rsid w:val="65B22A12"/>
    <w:rsid w:val="6BB44DAF"/>
    <w:rsid w:val="6CB717D7"/>
    <w:rsid w:val="6D334F44"/>
    <w:rsid w:val="713223D0"/>
    <w:rsid w:val="714753BB"/>
    <w:rsid w:val="74353137"/>
    <w:rsid w:val="788E0D62"/>
    <w:rsid w:val="789C633C"/>
    <w:rsid w:val="798839C1"/>
    <w:rsid w:val="79C5173B"/>
    <w:rsid w:val="79C7470D"/>
    <w:rsid w:val="79FC0CDC"/>
    <w:rsid w:val="7A987C79"/>
    <w:rsid w:val="7C4C481A"/>
    <w:rsid w:val="7F036637"/>
    <w:rsid w:val="7FCA2E64"/>
    <w:rsid w:val="7FD02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0"/>
    <w:qFormat/>
    <w:uiPriority w:val="9"/>
    <w:pPr>
      <w:keepNext/>
      <w:keepLines/>
      <w:outlineLvl w:val="0"/>
    </w:pPr>
    <w:rPr>
      <w:b/>
      <w:bCs/>
      <w:kern w:val="44"/>
      <w:sz w:val="44"/>
      <w:szCs w:val="44"/>
    </w:rPr>
  </w:style>
  <w:style w:type="paragraph" w:styleId="4">
    <w:name w:val="heading 2"/>
    <w:basedOn w:val="1"/>
    <w:next w:val="1"/>
    <w:link w:val="31"/>
    <w:unhideWhenUsed/>
    <w:qFormat/>
    <w:uiPriority w:val="9"/>
    <w:pPr>
      <w:keepNext/>
      <w:keepLines/>
      <w:outlineLvl w:val="1"/>
    </w:pPr>
    <w:rPr>
      <w:rFonts w:eastAsiaTheme="majorEastAsia" w:cstheme="majorBidi"/>
      <w:b/>
      <w:bCs/>
      <w:sz w:val="32"/>
      <w:szCs w:val="32"/>
    </w:rPr>
  </w:style>
  <w:style w:type="paragraph" w:styleId="2">
    <w:name w:val="heading 3"/>
    <w:basedOn w:val="1"/>
    <w:next w:val="1"/>
    <w:link w:val="32"/>
    <w:semiHidden/>
    <w:unhideWhenUsed/>
    <w:qFormat/>
    <w:uiPriority w:val="9"/>
    <w:pPr>
      <w:keepNext/>
      <w:keepLines/>
      <w:outlineLvl w:val="2"/>
    </w:pPr>
    <w:rPr>
      <w:b/>
      <w:bCs/>
      <w:sz w:val="32"/>
      <w:szCs w:val="32"/>
    </w:rPr>
  </w:style>
  <w:style w:type="paragraph" w:styleId="5">
    <w:name w:val="heading 5"/>
    <w:basedOn w:val="1"/>
    <w:next w:val="1"/>
    <w:link w:val="38"/>
    <w:semiHidden/>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43"/>
    <w:semiHidden/>
    <w:unhideWhenUsed/>
    <w:qFormat/>
    <w:uiPriority w:val="0"/>
    <w:pPr>
      <w:jc w:val="left"/>
    </w:pPr>
  </w:style>
  <w:style w:type="paragraph" w:styleId="7">
    <w:name w:val="Body Text Indent"/>
    <w:basedOn w:val="1"/>
    <w:link w:val="55"/>
    <w:unhideWhenUsed/>
    <w:qFormat/>
    <w:uiPriority w:val="99"/>
    <w:pPr>
      <w:spacing w:after="120"/>
      <w:ind w:left="420" w:leftChars="200"/>
    </w:pPr>
  </w:style>
  <w:style w:type="paragraph" w:styleId="8">
    <w:name w:val="Balloon Text"/>
    <w:basedOn w:val="1"/>
    <w:link w:val="44"/>
    <w:semiHidden/>
    <w:unhideWhenUsed/>
    <w:qFormat/>
    <w:uiPriority w:val="99"/>
    <w:pPr>
      <w:spacing w:line="240" w:lineRule="auto"/>
    </w:pPr>
    <w:rPr>
      <w:sz w:val="18"/>
      <w:szCs w:val="18"/>
    </w:rPr>
  </w:style>
  <w:style w:type="paragraph" w:styleId="9">
    <w:name w:val="footer"/>
    <w:basedOn w:val="1"/>
    <w:link w:val="23"/>
    <w:qFormat/>
    <w:uiPriority w:val="99"/>
    <w:pPr>
      <w:tabs>
        <w:tab w:val="center" w:pos="4153"/>
        <w:tab w:val="right" w:pos="8306"/>
      </w:tabs>
      <w:snapToGrid w:val="0"/>
      <w:jc w:val="left"/>
    </w:pPr>
    <w:rPr>
      <w:rFonts w:asciiTheme="minorHAnsi" w:hAnsiTheme="minorHAnsi" w:eastAsiaTheme="minorEastAsia" w:cstheme="minorBidi"/>
      <w:sz w:val="18"/>
      <w:szCs w:val="22"/>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Subtitle"/>
    <w:basedOn w:val="1"/>
    <w:next w:val="1"/>
    <w:link w:val="34"/>
    <w:qFormat/>
    <w:uiPriority w:val="11"/>
    <w:pPr>
      <w:spacing w:line="240" w:lineRule="auto"/>
      <w:jc w:val="center"/>
      <w:outlineLvl w:val="1"/>
    </w:pPr>
    <w:rPr>
      <w:rFonts w:eastAsiaTheme="minorEastAsia" w:cstheme="minorBidi"/>
      <w:b/>
      <w:bCs/>
      <w:kern w:val="28"/>
      <w:szCs w:val="32"/>
    </w:rPr>
  </w:style>
  <w:style w:type="paragraph" w:styleId="13">
    <w:name w:val="Normal (Web)"/>
    <w:basedOn w:val="1"/>
    <w:link w:val="24"/>
    <w:qFormat/>
    <w:uiPriority w:val="0"/>
    <w:pPr>
      <w:widowControl/>
      <w:spacing w:before="100" w:beforeAutospacing="1" w:after="100" w:afterAutospacing="1"/>
      <w:jc w:val="left"/>
    </w:pPr>
    <w:rPr>
      <w:rFonts w:ascii="宋体" w:hAnsi="宋体" w:cstheme="minorBidi"/>
      <w:szCs w:val="22"/>
    </w:rPr>
  </w:style>
  <w:style w:type="paragraph" w:styleId="14">
    <w:name w:val="Title"/>
    <w:basedOn w:val="1"/>
    <w:next w:val="1"/>
    <w:link w:val="33"/>
    <w:qFormat/>
    <w:uiPriority w:val="10"/>
    <w:pPr>
      <w:jc w:val="left"/>
      <w:outlineLvl w:val="0"/>
    </w:pPr>
    <w:rPr>
      <w:rFonts w:eastAsiaTheme="majorEastAsia" w:cstheme="majorBidi"/>
      <w:b/>
      <w:bCs/>
      <w:szCs w:val="32"/>
    </w:rPr>
  </w:style>
  <w:style w:type="paragraph" w:styleId="15">
    <w:name w:val="annotation subject"/>
    <w:basedOn w:val="6"/>
    <w:next w:val="6"/>
    <w:link w:val="49"/>
    <w:semiHidden/>
    <w:unhideWhenUsed/>
    <w:qFormat/>
    <w:uiPriority w:val="99"/>
    <w:pPr>
      <w:spacing w:line="240" w:lineRule="auto"/>
    </w:pPr>
    <w:rPr>
      <w:b/>
      <w:bCs/>
      <w:sz w:val="21"/>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Emphasis"/>
    <w:basedOn w:val="18"/>
    <w:qFormat/>
    <w:uiPriority w:val="20"/>
    <w:rPr>
      <w:i/>
      <w:iCs/>
    </w:rPr>
  </w:style>
  <w:style w:type="character" w:styleId="21">
    <w:name w:val="Hyperlink"/>
    <w:basedOn w:val="18"/>
    <w:unhideWhenUsed/>
    <w:qFormat/>
    <w:uiPriority w:val="99"/>
    <w:rPr>
      <w:color w:val="338DE6"/>
      <w:u w:val="none"/>
    </w:rPr>
  </w:style>
  <w:style w:type="character" w:styleId="22">
    <w:name w:val="annotation reference"/>
    <w:semiHidden/>
    <w:unhideWhenUsed/>
    <w:qFormat/>
    <w:uiPriority w:val="0"/>
    <w:rPr>
      <w:sz w:val="21"/>
    </w:rPr>
  </w:style>
  <w:style w:type="character" w:customStyle="1" w:styleId="23">
    <w:name w:val="页脚 字符"/>
    <w:link w:val="9"/>
    <w:qFormat/>
    <w:locked/>
    <w:uiPriority w:val="99"/>
    <w:rPr>
      <w:sz w:val="18"/>
    </w:rPr>
  </w:style>
  <w:style w:type="character" w:customStyle="1" w:styleId="24">
    <w:name w:val="普通(网站) 字符"/>
    <w:link w:val="13"/>
    <w:qFormat/>
    <w:locked/>
    <w:uiPriority w:val="0"/>
    <w:rPr>
      <w:rFonts w:ascii="宋体" w:hAnsi="宋体" w:eastAsia="宋体"/>
      <w:sz w:val="24"/>
    </w:rPr>
  </w:style>
  <w:style w:type="character" w:customStyle="1" w:styleId="25">
    <w:name w:val="表格 Char"/>
    <w:link w:val="26"/>
    <w:qFormat/>
    <w:locked/>
    <w:uiPriority w:val="0"/>
    <w:rPr>
      <w:rFonts w:ascii="宋体"/>
    </w:rPr>
  </w:style>
  <w:style w:type="paragraph" w:customStyle="1" w:styleId="26">
    <w:name w:val="表格"/>
    <w:basedOn w:val="1"/>
    <w:next w:val="1"/>
    <w:link w:val="25"/>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27">
    <w:name w:val="页脚 Char1"/>
    <w:basedOn w:val="18"/>
    <w:semiHidden/>
    <w:qFormat/>
    <w:uiPriority w:val="99"/>
    <w:rPr>
      <w:rFonts w:ascii="Times New Roman" w:hAnsi="Times New Roman" w:eastAsia="宋体" w:cs="Times New Roman"/>
      <w:sz w:val="18"/>
      <w:szCs w:val="18"/>
    </w:rPr>
  </w:style>
  <w:style w:type="character" w:customStyle="1" w:styleId="28">
    <w:name w:val="页眉 字符"/>
    <w:basedOn w:val="18"/>
    <w:link w:val="10"/>
    <w:qFormat/>
    <w:uiPriority w:val="99"/>
    <w:rPr>
      <w:rFonts w:ascii="Times New Roman" w:hAnsi="Times New Roman" w:eastAsia="宋体" w:cs="Times New Roman"/>
      <w:sz w:val="18"/>
      <w:szCs w:val="18"/>
    </w:rPr>
  </w:style>
  <w:style w:type="paragraph" w:styleId="29">
    <w:name w:val="List Paragraph"/>
    <w:basedOn w:val="1"/>
    <w:qFormat/>
    <w:uiPriority w:val="34"/>
    <w:pPr>
      <w:ind w:firstLine="200" w:firstLineChars="200"/>
    </w:pPr>
  </w:style>
  <w:style w:type="character" w:customStyle="1" w:styleId="30">
    <w:name w:val="标题 1 字符"/>
    <w:basedOn w:val="18"/>
    <w:link w:val="3"/>
    <w:qFormat/>
    <w:uiPriority w:val="9"/>
    <w:rPr>
      <w:rFonts w:ascii="Times New Roman" w:hAnsi="Times New Roman" w:eastAsia="宋体" w:cs="Times New Roman"/>
      <w:b/>
      <w:bCs/>
      <w:kern w:val="44"/>
      <w:sz w:val="44"/>
      <w:szCs w:val="44"/>
    </w:rPr>
  </w:style>
  <w:style w:type="character" w:customStyle="1" w:styleId="31">
    <w:name w:val="标题 2 字符"/>
    <w:basedOn w:val="18"/>
    <w:link w:val="4"/>
    <w:qFormat/>
    <w:uiPriority w:val="9"/>
    <w:rPr>
      <w:rFonts w:ascii="Times New Roman" w:hAnsi="Times New Roman" w:eastAsiaTheme="majorEastAsia" w:cstheme="majorBidi"/>
      <w:b/>
      <w:bCs/>
      <w:sz w:val="32"/>
      <w:szCs w:val="32"/>
    </w:rPr>
  </w:style>
  <w:style w:type="character" w:customStyle="1" w:styleId="32">
    <w:name w:val="标题 3 字符"/>
    <w:basedOn w:val="18"/>
    <w:link w:val="2"/>
    <w:semiHidden/>
    <w:qFormat/>
    <w:uiPriority w:val="9"/>
    <w:rPr>
      <w:rFonts w:ascii="Times New Roman" w:hAnsi="Times New Roman" w:eastAsia="宋体" w:cs="Times New Roman"/>
      <w:b/>
      <w:bCs/>
      <w:sz w:val="32"/>
      <w:szCs w:val="32"/>
    </w:rPr>
  </w:style>
  <w:style w:type="character" w:customStyle="1" w:styleId="33">
    <w:name w:val="标题 字符"/>
    <w:basedOn w:val="18"/>
    <w:link w:val="14"/>
    <w:qFormat/>
    <w:uiPriority w:val="10"/>
    <w:rPr>
      <w:rFonts w:ascii="Times New Roman" w:hAnsi="Times New Roman" w:eastAsiaTheme="majorEastAsia" w:cstheme="majorBidi"/>
      <w:b/>
      <w:bCs/>
      <w:sz w:val="24"/>
      <w:szCs w:val="32"/>
    </w:rPr>
  </w:style>
  <w:style w:type="character" w:customStyle="1" w:styleId="34">
    <w:name w:val="副标题 字符"/>
    <w:basedOn w:val="18"/>
    <w:link w:val="12"/>
    <w:qFormat/>
    <w:uiPriority w:val="11"/>
    <w:rPr>
      <w:rFonts w:ascii="Times New Roman" w:hAnsi="Times New Roman"/>
      <w:b/>
      <w:bCs/>
      <w:kern w:val="28"/>
      <w:sz w:val="24"/>
      <w:szCs w:val="32"/>
    </w:rPr>
  </w:style>
  <w:style w:type="paragraph" w:styleId="35">
    <w:name w:val="No Spacing"/>
    <w:qFormat/>
    <w:uiPriority w:val="0"/>
    <w:pPr>
      <w:widowControl w:val="0"/>
      <w:jc w:val="center"/>
    </w:pPr>
    <w:rPr>
      <w:rFonts w:ascii="Times New Roman" w:hAnsi="Times New Roman" w:eastAsia="宋体" w:cs="Times New Roman"/>
      <w:kern w:val="2"/>
      <w:sz w:val="21"/>
      <w:szCs w:val="24"/>
      <w:lang w:val="en-US" w:eastAsia="zh-CN" w:bidi="ar-SA"/>
    </w:rPr>
  </w:style>
  <w:style w:type="character" w:customStyle="1" w:styleId="36">
    <w:name w:val="NormalCharacter"/>
    <w:qFormat/>
    <w:uiPriority w:val="0"/>
  </w:style>
  <w:style w:type="paragraph" w:customStyle="1" w:styleId="37">
    <w:name w:val="列表1"/>
    <w:basedOn w:val="1"/>
    <w:qFormat/>
    <w:uiPriority w:val="0"/>
    <w:pPr>
      <w:spacing w:line="400" w:lineRule="exact"/>
      <w:jc w:val="center"/>
    </w:pPr>
    <w:rPr>
      <w:rFonts w:ascii="宋体" w:hAnsi="宋体"/>
      <w:szCs w:val="20"/>
    </w:rPr>
  </w:style>
  <w:style w:type="character" w:customStyle="1" w:styleId="38">
    <w:name w:val="标题 5 字符"/>
    <w:basedOn w:val="18"/>
    <w:link w:val="5"/>
    <w:semiHidden/>
    <w:qFormat/>
    <w:uiPriority w:val="9"/>
    <w:rPr>
      <w:rFonts w:ascii="Times New Roman" w:hAnsi="Times New Roman" w:eastAsia="宋体" w:cs="Times New Roman"/>
      <w:b/>
      <w:bCs/>
      <w:sz w:val="28"/>
      <w:szCs w:val="28"/>
    </w:rPr>
  </w:style>
  <w:style w:type="paragraph" w:customStyle="1" w:styleId="39">
    <w:name w:val="xl27"/>
    <w:basedOn w:val="1"/>
    <w:qFormat/>
    <w:uiPriority w:val="0"/>
    <w:pPr>
      <w:widowControl/>
      <w:pBdr>
        <w:bottom w:val="single" w:color="auto" w:sz="12" w:space="0"/>
      </w:pBdr>
      <w:spacing w:before="100" w:after="100" w:line="240" w:lineRule="auto"/>
      <w:jc w:val="center"/>
    </w:pPr>
    <w:rPr>
      <w:rFonts w:ascii="宋体" w:hAnsi="宋体"/>
      <w:kern w:val="0"/>
      <w:sz w:val="21"/>
      <w:szCs w:val="20"/>
    </w:rPr>
  </w:style>
  <w:style w:type="paragraph" w:customStyle="1" w:styleId="40">
    <w:name w:val="表格文字"/>
    <w:basedOn w:val="1"/>
    <w:link w:val="53"/>
    <w:qFormat/>
    <w:uiPriority w:val="0"/>
    <w:pPr>
      <w:spacing w:line="240" w:lineRule="auto"/>
      <w:jc w:val="center"/>
    </w:pPr>
    <w:rPr>
      <w:rFonts w:ascii="仿宋_GB2312" w:hAnsi="Arial Black" w:eastAsia="仿宋_GB2312"/>
      <w:kern w:val="44"/>
      <w:szCs w:val="20"/>
    </w:rPr>
  </w:style>
  <w:style w:type="paragraph" w:customStyle="1" w:styleId="41">
    <w:name w:val="表格内文字"/>
    <w:basedOn w:val="1"/>
    <w:qFormat/>
    <w:uiPriority w:val="0"/>
    <w:pPr>
      <w:tabs>
        <w:tab w:val="left" w:pos="0"/>
      </w:tabs>
      <w:snapToGrid w:val="0"/>
      <w:spacing w:line="240" w:lineRule="auto"/>
      <w:jc w:val="center"/>
    </w:pPr>
  </w:style>
  <w:style w:type="paragraph" w:customStyle="1" w:styleId="42">
    <w:name w:val="表格居中"/>
    <w:qFormat/>
    <w:uiPriority w:val="0"/>
    <w:pPr>
      <w:jc w:val="center"/>
    </w:pPr>
    <w:rPr>
      <w:rFonts w:ascii="Times New Roman" w:hAnsi="Times New Roman" w:eastAsia="宋体" w:cs="Times New Roman"/>
      <w:kern w:val="2"/>
      <w:sz w:val="24"/>
      <w:szCs w:val="24"/>
      <w:lang w:val="en-US" w:eastAsia="zh-CN" w:bidi="ar-SA"/>
    </w:rPr>
  </w:style>
  <w:style w:type="character" w:customStyle="1" w:styleId="43">
    <w:name w:val="批注文字 字符"/>
    <w:basedOn w:val="18"/>
    <w:link w:val="6"/>
    <w:semiHidden/>
    <w:qFormat/>
    <w:uiPriority w:val="0"/>
    <w:rPr>
      <w:rFonts w:ascii="Times New Roman" w:hAnsi="Times New Roman" w:eastAsia="宋体" w:cs="Times New Roman"/>
      <w:sz w:val="24"/>
      <w:szCs w:val="24"/>
    </w:rPr>
  </w:style>
  <w:style w:type="character" w:customStyle="1" w:styleId="44">
    <w:name w:val="批注框文本 字符"/>
    <w:basedOn w:val="18"/>
    <w:link w:val="8"/>
    <w:semiHidden/>
    <w:qFormat/>
    <w:uiPriority w:val="99"/>
    <w:rPr>
      <w:rFonts w:ascii="Times New Roman" w:hAnsi="Times New Roman" w:eastAsia="宋体" w:cs="Times New Roman"/>
      <w:sz w:val="18"/>
      <w:szCs w:val="18"/>
    </w:rPr>
  </w:style>
  <w:style w:type="paragraph" w:customStyle="1" w:styleId="45">
    <w:name w:val="msonormal"/>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46">
    <w:name w:val="表表文字"/>
    <w:basedOn w:val="1"/>
    <w:qFormat/>
    <w:uiPriority w:val="0"/>
    <w:pPr>
      <w:wordWrap w:val="0"/>
      <w:adjustRightInd w:val="0"/>
      <w:snapToGrid w:val="0"/>
      <w:spacing w:line="240" w:lineRule="auto"/>
      <w:jc w:val="center"/>
    </w:pPr>
    <w:rPr>
      <w:kern w:val="0"/>
      <w:sz w:val="21"/>
      <w:szCs w:val="21"/>
    </w:rPr>
  </w:style>
  <w:style w:type="paragraph" w:customStyle="1" w:styleId="47">
    <w:name w:val="标题2"/>
    <w:basedOn w:val="1"/>
    <w:next w:val="1"/>
    <w:qFormat/>
    <w:uiPriority w:val="0"/>
    <w:pPr>
      <w:spacing w:line="240" w:lineRule="auto"/>
      <w:jc w:val="center"/>
    </w:pPr>
    <w:rPr>
      <w:rFonts w:eastAsia="方正楷体_GBK"/>
      <w:sz w:val="21"/>
    </w:rPr>
  </w:style>
  <w:style w:type="character" w:customStyle="1" w:styleId="48">
    <w:name w:val="批注文字 字符2"/>
    <w:qFormat/>
    <w:locked/>
    <w:uiPriority w:val="0"/>
    <w:rPr>
      <w:sz w:val="24"/>
    </w:rPr>
  </w:style>
  <w:style w:type="character" w:customStyle="1" w:styleId="49">
    <w:name w:val="批注主题 字符"/>
    <w:basedOn w:val="43"/>
    <w:link w:val="15"/>
    <w:semiHidden/>
    <w:qFormat/>
    <w:uiPriority w:val="99"/>
    <w:rPr>
      <w:rFonts w:ascii="Times New Roman" w:hAnsi="Times New Roman" w:eastAsia="宋体" w:cs="Times New Roman"/>
      <w:b/>
      <w:bCs/>
      <w:sz w:val="24"/>
      <w:szCs w:val="24"/>
    </w:rPr>
  </w:style>
  <w:style w:type="character" w:customStyle="1" w:styleId="50">
    <w:name w:val="批注文字 字符1"/>
    <w:basedOn w:val="18"/>
    <w:semiHidden/>
    <w:qFormat/>
    <w:uiPriority w:val="0"/>
    <w:rPr>
      <w:rFonts w:ascii="Times New Roman" w:hAnsi="Times New Roman" w:eastAsia="宋体" w:cs="Times New Roman"/>
      <w:kern w:val="0"/>
      <w:sz w:val="24"/>
      <w:szCs w:val="20"/>
    </w:rPr>
  </w:style>
  <w:style w:type="paragraph" w:customStyle="1" w:styleId="51">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52">
    <w:name w:val="表格样式"/>
    <w:basedOn w:val="1"/>
    <w:qFormat/>
    <w:uiPriority w:val="0"/>
    <w:pPr>
      <w:adjustRightInd w:val="0"/>
      <w:snapToGrid w:val="0"/>
      <w:spacing w:line="240" w:lineRule="auto"/>
    </w:pPr>
  </w:style>
  <w:style w:type="character" w:customStyle="1" w:styleId="53">
    <w:name w:val="表格文字 字符"/>
    <w:link w:val="40"/>
    <w:qFormat/>
    <w:locked/>
    <w:uiPriority w:val="0"/>
    <w:rPr>
      <w:rFonts w:ascii="仿宋_GB2312" w:hAnsi="Arial Black" w:eastAsia="仿宋_GB2312" w:cs="Times New Roman"/>
      <w:kern w:val="44"/>
      <w:sz w:val="24"/>
      <w:szCs w:val="20"/>
    </w:rPr>
  </w:style>
  <w:style w:type="paragraph" w:customStyle="1" w:styleId="54">
    <w:name w:val="Body text|1"/>
    <w:basedOn w:val="1"/>
    <w:qFormat/>
    <w:uiPriority w:val="0"/>
    <w:pPr>
      <w:spacing w:line="480" w:lineRule="auto"/>
      <w:ind w:firstLine="400"/>
    </w:pPr>
    <w:rPr>
      <w:rFonts w:ascii="宋体" w:hAnsi="宋体" w:eastAsia="宋体" w:cs="宋体"/>
      <w:sz w:val="20"/>
      <w:szCs w:val="20"/>
      <w:lang w:val="zh-TW" w:eastAsia="zh-TW" w:bidi="zh-TW"/>
    </w:rPr>
  </w:style>
  <w:style w:type="character" w:customStyle="1" w:styleId="55">
    <w:name w:val="正文文本缩进 字符"/>
    <w:link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wmf"/><Relationship Id="rId23" Type="http://schemas.openxmlformats.org/officeDocument/2006/relationships/image" Target="media/image10.emf"/><Relationship Id="rId22" Type="http://schemas.openxmlformats.org/officeDocument/2006/relationships/oleObject" Target="embeddings/oleObject4.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F0E7F1-974D-42A0-A514-EDA8A1B3A102}">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37817</Words>
  <Characters>43214</Characters>
  <Lines>373</Lines>
  <Paragraphs>105</Paragraphs>
  <TotalTime>125</TotalTime>
  <ScaleCrop>false</ScaleCrop>
  <LinksUpToDate>false</LinksUpToDate>
  <CharactersWithSpaces>43609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2021-01-04T04:17:00Z</dcterms:created>
  <dc:creator>新诚润科</dc:creator>
  <cp:lastModifiedBy>Administrator</cp:lastModifiedBy>
  <cp:lastPrinted>2022-05-06T03:54:00Z</cp:lastPrinted>
  <dcterms:modified xsi:type="dcterms:W3CDTF">2022-11-02T07:32:00Z</dcterms:modified>
  <cp:revision>4380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2E42EAD110A449DA9FE9BCE4E7DC6952</vt:lpwstr>
  </property>
</Properties>
</file>