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36"/>
          <w:szCs w:val="36"/>
          <w:highlight w:val="yellow"/>
        </w:rPr>
      </w:pPr>
    </w:p>
    <w:p>
      <w:pPr>
        <w:rPr>
          <w:rFonts w:eastAsia="仿宋_GB2312"/>
          <w:sz w:val="36"/>
          <w:szCs w:val="36"/>
          <w:highlight w:val="yellow"/>
        </w:rPr>
      </w:pPr>
    </w:p>
    <w:p>
      <w:pPr>
        <w:rPr>
          <w:rFonts w:eastAsia="仿宋_GB2312"/>
          <w:sz w:val="36"/>
          <w:szCs w:val="36"/>
          <w:highlight w:val="yellow"/>
        </w:rPr>
      </w:pPr>
    </w:p>
    <w:p>
      <w:pPr>
        <w:rPr>
          <w:rFonts w:eastAsia="仿宋_GB2312"/>
          <w:sz w:val="36"/>
          <w:szCs w:val="36"/>
          <w:highlight w:val="yellow"/>
        </w:rPr>
      </w:pPr>
    </w:p>
    <w:p>
      <w:pPr>
        <w:rPr>
          <w:rFonts w:eastAsia="仿宋_GB2312"/>
          <w:sz w:val="36"/>
          <w:szCs w:val="36"/>
          <w:highlight w:val="yellow"/>
        </w:rPr>
      </w:pPr>
    </w:p>
    <w:p>
      <w:pPr>
        <w:tabs>
          <w:tab w:val="left" w:pos="2160"/>
        </w:tabs>
        <w:spacing w:line="360" w:lineRule="auto"/>
        <w:ind w:firstLine="1044" w:firstLineChars="200"/>
        <w:jc w:val="center"/>
        <w:rPr>
          <w:b/>
          <w:sz w:val="52"/>
          <w:highlight w:val="none"/>
        </w:rPr>
      </w:pPr>
      <w:r>
        <w:rPr>
          <w:b/>
          <w:sz w:val="52"/>
          <w:highlight w:val="none"/>
        </w:rPr>
        <w:t>建设项目环境影响报告表</w:t>
      </w:r>
    </w:p>
    <w:p>
      <w:pPr>
        <w:tabs>
          <w:tab w:val="left" w:pos="2160"/>
        </w:tabs>
        <w:spacing w:line="360" w:lineRule="auto"/>
        <w:ind w:firstLine="1044" w:firstLineChars="200"/>
        <w:jc w:val="center"/>
        <w:rPr>
          <w:b/>
          <w:sz w:val="52"/>
          <w:highlight w:val="none"/>
        </w:rPr>
      </w:pPr>
      <w:r>
        <w:rPr>
          <w:b/>
          <w:sz w:val="52"/>
          <w:highlight w:val="none"/>
        </w:rPr>
        <w:t>（污染影响类）</w:t>
      </w:r>
    </w:p>
    <w:p>
      <w:pPr>
        <w:jc w:val="center"/>
        <w:rPr>
          <w:rFonts w:eastAsia="仿宋"/>
          <w:sz w:val="52"/>
          <w:szCs w:val="52"/>
          <w:highlight w:val="none"/>
        </w:rPr>
      </w:pPr>
    </w:p>
    <w:p>
      <w:pPr>
        <w:jc w:val="center"/>
        <w:rPr>
          <w:rFonts w:eastAsia="仿宋"/>
          <w:sz w:val="52"/>
          <w:szCs w:val="52"/>
          <w:highlight w:val="none"/>
        </w:rPr>
      </w:pPr>
    </w:p>
    <w:p>
      <w:pPr>
        <w:jc w:val="center"/>
        <w:rPr>
          <w:rFonts w:eastAsia="仿宋"/>
          <w:sz w:val="52"/>
          <w:szCs w:val="52"/>
          <w:highlight w:val="none"/>
        </w:rPr>
      </w:pPr>
    </w:p>
    <w:p>
      <w:pPr>
        <w:ind w:firstLine="1040"/>
        <w:rPr>
          <w:rFonts w:eastAsia="仿宋"/>
          <w:sz w:val="44"/>
          <w:szCs w:val="44"/>
          <w:highlight w:val="none"/>
        </w:rPr>
      </w:pPr>
    </w:p>
    <w:p>
      <w:pPr>
        <w:ind w:firstLine="1040"/>
        <w:rPr>
          <w:rFonts w:eastAsia="仿宋"/>
          <w:sz w:val="44"/>
          <w:szCs w:val="44"/>
          <w:highlight w:val="none"/>
        </w:rPr>
      </w:pPr>
    </w:p>
    <w:p>
      <w:pPr>
        <w:rPr>
          <w:sz w:val="44"/>
          <w:szCs w:val="44"/>
          <w:highlight w:val="none"/>
        </w:rPr>
      </w:pPr>
    </w:p>
    <w:p>
      <w:pPr>
        <w:adjustRightInd w:val="0"/>
        <w:snapToGrid w:val="0"/>
        <w:spacing w:line="288" w:lineRule="auto"/>
        <w:ind w:left="2518" w:leftChars="342" w:hanging="1800" w:hangingChars="500"/>
        <w:rPr>
          <w:sz w:val="36"/>
          <w:szCs w:val="36"/>
          <w:highlight w:val="none"/>
        </w:rPr>
      </w:pPr>
      <w:r>
        <w:rPr>
          <w:sz w:val="36"/>
          <w:szCs w:val="36"/>
          <w:highlight w:val="none"/>
        </w:rPr>
        <w:t>项目名称</w:t>
      </w:r>
      <w:r>
        <w:rPr>
          <w:spacing w:val="-40"/>
          <w:sz w:val="36"/>
          <w:szCs w:val="36"/>
          <w:highlight w:val="none"/>
        </w:rPr>
        <w:t>：</w:t>
      </w:r>
      <w:r>
        <w:rPr>
          <w:spacing w:val="-40"/>
          <w:sz w:val="36"/>
          <w:szCs w:val="36"/>
          <w:highlight w:val="none"/>
          <w:u w:val="single"/>
        </w:rPr>
        <w:t xml:space="preserve">   </w:t>
      </w:r>
      <w:r>
        <w:rPr>
          <w:sz w:val="36"/>
          <w:szCs w:val="36"/>
          <w:highlight w:val="none"/>
          <w:u w:val="single"/>
        </w:rPr>
        <w:t>苏州</w:t>
      </w:r>
      <w:r>
        <w:rPr>
          <w:rFonts w:hint="eastAsia"/>
          <w:sz w:val="36"/>
          <w:szCs w:val="36"/>
          <w:highlight w:val="none"/>
          <w:u w:val="single"/>
        </w:rPr>
        <w:t>格瑞林达医疗科技有限公司</w:t>
      </w:r>
      <w:r>
        <w:rPr>
          <w:rFonts w:hint="eastAsia"/>
          <w:sz w:val="36"/>
          <w:szCs w:val="36"/>
          <w:highlight w:val="none"/>
          <w:u w:val="single"/>
          <w:lang w:eastAsia="zh-CN"/>
        </w:rPr>
        <w:t>新建</w:t>
      </w:r>
      <w:r>
        <w:rPr>
          <w:rFonts w:hint="eastAsia"/>
          <w:sz w:val="36"/>
          <w:szCs w:val="36"/>
          <w:highlight w:val="none"/>
          <w:u w:val="single"/>
        </w:rPr>
        <w:t>器械部件生产</w:t>
      </w:r>
      <w:r>
        <w:rPr>
          <w:sz w:val="36"/>
          <w:szCs w:val="36"/>
          <w:highlight w:val="none"/>
          <w:u w:val="single"/>
        </w:rPr>
        <w:t>项目</w:t>
      </w:r>
      <w:r>
        <w:rPr>
          <w:sz w:val="36"/>
          <w:szCs w:val="36"/>
          <w:highlight w:val="none"/>
        </w:rPr>
        <w:t xml:space="preserve">    </w:t>
      </w:r>
    </w:p>
    <w:p>
      <w:pPr>
        <w:adjustRightInd w:val="0"/>
        <w:snapToGrid w:val="0"/>
        <w:spacing w:line="288" w:lineRule="auto"/>
        <w:ind w:left="319" w:leftChars="152" w:firstLine="176" w:firstLineChars="49"/>
        <w:rPr>
          <w:sz w:val="36"/>
          <w:szCs w:val="36"/>
          <w:highlight w:val="none"/>
        </w:rPr>
      </w:pPr>
      <w:r>
        <w:rPr>
          <w:sz w:val="36"/>
          <w:szCs w:val="36"/>
          <w:highlight w:val="none"/>
        </w:rPr>
        <w:t>建设单位（盖章）：</w:t>
      </w:r>
      <w:r>
        <w:rPr>
          <w:sz w:val="36"/>
          <w:szCs w:val="36"/>
          <w:highlight w:val="none"/>
          <w:u w:val="single"/>
        </w:rPr>
        <w:t xml:space="preserve">   </w:t>
      </w:r>
      <w:r>
        <w:rPr>
          <w:rFonts w:hint="eastAsia"/>
          <w:sz w:val="36"/>
          <w:szCs w:val="36"/>
          <w:highlight w:val="none"/>
          <w:u w:val="single"/>
        </w:rPr>
        <w:t>苏州格瑞林达医疗科技有限公司</w:t>
      </w:r>
      <w:r>
        <w:rPr>
          <w:sz w:val="36"/>
          <w:szCs w:val="36"/>
          <w:highlight w:val="none"/>
          <w:u w:val="single"/>
        </w:rPr>
        <w:t xml:space="preserve">  </w:t>
      </w:r>
    </w:p>
    <w:p>
      <w:pPr>
        <w:adjustRightInd w:val="0"/>
        <w:snapToGrid w:val="0"/>
        <w:spacing w:line="288" w:lineRule="auto"/>
        <w:ind w:left="319" w:leftChars="152" w:firstLine="176" w:firstLineChars="49"/>
        <w:rPr>
          <w:sz w:val="36"/>
          <w:szCs w:val="36"/>
          <w:highlight w:val="none"/>
          <w:u w:val="single"/>
        </w:rPr>
      </w:pPr>
      <w:r>
        <w:rPr>
          <w:sz w:val="36"/>
          <w:szCs w:val="36"/>
          <w:highlight w:val="none"/>
        </w:rPr>
        <w:t>编制日期：</w:t>
      </w:r>
      <w:r>
        <w:rPr>
          <w:sz w:val="36"/>
          <w:szCs w:val="36"/>
          <w:highlight w:val="none"/>
          <w:u w:val="single"/>
        </w:rPr>
        <w:t xml:space="preserve">           202</w:t>
      </w:r>
      <w:r>
        <w:rPr>
          <w:rFonts w:hint="eastAsia"/>
          <w:sz w:val="36"/>
          <w:szCs w:val="36"/>
          <w:highlight w:val="none"/>
          <w:u w:val="single"/>
          <w:lang w:val="en-US" w:eastAsia="zh-CN"/>
        </w:rPr>
        <w:t>2</w:t>
      </w:r>
      <w:r>
        <w:rPr>
          <w:sz w:val="36"/>
          <w:szCs w:val="36"/>
          <w:highlight w:val="none"/>
          <w:u w:val="single"/>
        </w:rPr>
        <w:t>年</w:t>
      </w:r>
      <w:r>
        <w:rPr>
          <w:rFonts w:hint="eastAsia"/>
          <w:sz w:val="36"/>
          <w:szCs w:val="36"/>
          <w:highlight w:val="none"/>
          <w:u w:val="single"/>
          <w:lang w:val="en-US" w:eastAsia="zh-CN"/>
        </w:rPr>
        <w:t>1</w:t>
      </w:r>
      <w:r>
        <w:rPr>
          <w:sz w:val="36"/>
          <w:szCs w:val="36"/>
          <w:highlight w:val="none"/>
          <w:u w:val="single"/>
        </w:rPr>
        <w:t xml:space="preserve">月               </w:t>
      </w:r>
    </w:p>
    <w:p>
      <w:pPr>
        <w:adjustRightInd w:val="0"/>
        <w:snapToGrid w:val="0"/>
        <w:spacing w:line="288" w:lineRule="auto"/>
        <w:ind w:firstLine="1040"/>
        <w:rPr>
          <w:sz w:val="36"/>
          <w:szCs w:val="36"/>
          <w:highlight w:val="none"/>
          <w:u w:val="single"/>
        </w:rPr>
      </w:pPr>
      <w:bookmarkStart w:id="0" w:name="_Hlk57884087"/>
    </w:p>
    <w:p>
      <w:pPr>
        <w:adjustRightInd w:val="0"/>
        <w:snapToGrid w:val="0"/>
        <w:spacing w:line="288" w:lineRule="auto"/>
        <w:ind w:firstLine="1040"/>
        <w:rPr>
          <w:sz w:val="36"/>
          <w:szCs w:val="36"/>
          <w:highlight w:val="none"/>
        </w:rPr>
      </w:pPr>
    </w:p>
    <w:p>
      <w:pPr>
        <w:adjustRightInd w:val="0"/>
        <w:snapToGrid w:val="0"/>
        <w:spacing w:line="288" w:lineRule="auto"/>
        <w:ind w:firstLine="1040"/>
        <w:rPr>
          <w:rFonts w:eastAsia="仿宋_GB2312"/>
          <w:sz w:val="36"/>
          <w:szCs w:val="36"/>
          <w:highlight w:val="none"/>
        </w:rPr>
      </w:pPr>
    </w:p>
    <w:p>
      <w:pPr>
        <w:adjustRightInd w:val="0"/>
        <w:snapToGrid w:val="0"/>
        <w:spacing w:line="288" w:lineRule="auto"/>
        <w:ind w:firstLine="1040"/>
        <w:rPr>
          <w:rFonts w:eastAsia="仿宋_GB2312"/>
          <w:sz w:val="36"/>
          <w:szCs w:val="36"/>
          <w:highlight w:val="none"/>
        </w:rPr>
      </w:pPr>
    </w:p>
    <w:bookmarkEnd w:id="0"/>
    <w:p>
      <w:pPr>
        <w:adjustRightInd w:val="0"/>
        <w:snapToGrid w:val="0"/>
        <w:spacing w:line="288" w:lineRule="auto"/>
        <w:jc w:val="center"/>
        <w:rPr>
          <w:rFonts w:eastAsia="楷体_GB2312"/>
          <w:sz w:val="36"/>
          <w:szCs w:val="36"/>
          <w:highlight w:val="none"/>
        </w:rPr>
      </w:pPr>
      <w:r>
        <w:rPr>
          <w:rFonts w:eastAsia="楷体_GB2312"/>
          <w:sz w:val="36"/>
          <w:szCs w:val="36"/>
          <w:highlight w:val="none"/>
        </w:rPr>
        <w:t>中华人民共和国生态环境部制</w:t>
      </w:r>
    </w:p>
    <w:p>
      <w:pPr>
        <w:adjustRightInd w:val="0"/>
        <w:snapToGrid w:val="0"/>
        <w:spacing w:line="288" w:lineRule="auto"/>
        <w:ind w:firstLine="1040"/>
        <w:rPr>
          <w:rFonts w:eastAsia="仿宋_GB2312"/>
          <w:sz w:val="36"/>
          <w:szCs w:val="36"/>
          <w:highlight w:val="none"/>
        </w:rPr>
      </w:pPr>
    </w:p>
    <w:p>
      <w:pPr>
        <w:adjustRightInd w:val="0"/>
        <w:snapToGrid w:val="0"/>
        <w:spacing w:line="288" w:lineRule="auto"/>
        <w:ind w:firstLine="1040"/>
        <w:rPr>
          <w:rFonts w:eastAsia="仿宋_GB2312"/>
          <w:sz w:val="36"/>
          <w:szCs w:val="36"/>
          <w:highlight w:val="yellow"/>
        </w:rPr>
      </w:pPr>
    </w:p>
    <w:p>
      <w:pPr>
        <w:adjustRightInd w:val="0"/>
        <w:snapToGrid w:val="0"/>
        <w:spacing w:line="288" w:lineRule="auto"/>
        <w:ind w:firstLine="1040"/>
        <w:rPr>
          <w:rFonts w:eastAsia="仿宋_GB2312"/>
          <w:sz w:val="36"/>
          <w:szCs w:val="36"/>
          <w:highlight w:val="yellow"/>
        </w:rPr>
      </w:pPr>
    </w:p>
    <w:sdt>
      <w:sdtPr>
        <w:rPr>
          <w:rFonts w:ascii="Times New Roman" w:hAnsi="Times New Roman" w:eastAsia="宋体" w:cs="Times New Roman"/>
          <w:color w:val="auto"/>
          <w:kern w:val="2"/>
          <w:sz w:val="21"/>
          <w:szCs w:val="24"/>
          <w:highlight w:val="yellow"/>
          <w:lang w:val="zh-CN"/>
        </w:rPr>
        <w:id w:val="-1437590391"/>
        <w:docPartObj>
          <w:docPartGallery w:val="Table of Contents"/>
          <w:docPartUnique/>
        </w:docPartObj>
      </w:sdtPr>
      <w:sdtEndPr>
        <w:rPr>
          <w:rFonts w:ascii="Times New Roman" w:hAnsi="Times New Roman" w:eastAsia="宋体" w:cs="Times New Roman"/>
          <w:b/>
          <w:bCs/>
          <w:color w:val="auto"/>
          <w:kern w:val="2"/>
          <w:sz w:val="21"/>
          <w:szCs w:val="24"/>
          <w:highlight w:val="yellow"/>
          <w:lang w:val="zh-CN"/>
        </w:rPr>
      </w:sdtEndPr>
      <w:sdtContent>
        <w:p>
          <w:pPr>
            <w:pStyle w:val="71"/>
            <w:jc w:val="center"/>
            <w:rPr>
              <w:b/>
              <w:color w:val="auto"/>
              <w:highlight w:val="none"/>
            </w:rPr>
          </w:pPr>
          <w:r>
            <w:rPr>
              <w:b/>
              <w:color w:val="auto"/>
              <w:highlight w:val="none"/>
              <w:lang w:val="zh-CN"/>
            </w:rPr>
            <w:t>目录</w:t>
          </w:r>
        </w:p>
        <w:p>
          <w:pPr>
            <w:pStyle w:val="14"/>
            <w:tabs>
              <w:tab w:val="right" w:leader="dot" w:pos="9062"/>
            </w:tabs>
            <w:rPr>
              <w:rFonts w:asciiTheme="minorHAnsi" w:hAnsiTheme="minorHAnsi" w:eastAsiaTheme="minorEastAsia" w:cstheme="minorBidi"/>
              <w:sz w:val="32"/>
              <w:szCs w:val="22"/>
              <w:highlight w:val="none"/>
            </w:rPr>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"_Toc86311615" </w:instrText>
          </w:r>
          <w:r>
            <w:rPr>
              <w:highlight w:val="none"/>
            </w:rPr>
            <w:fldChar w:fldCharType="separate"/>
          </w:r>
          <w:r>
            <w:rPr>
              <w:rStyle w:val="28"/>
              <w:rFonts w:eastAsia="黑体"/>
              <w:snapToGrid w:val="0"/>
              <w:sz w:val="32"/>
              <w:highlight w:val="none"/>
            </w:rPr>
            <w:t>一、建设项目基本情况</w:t>
          </w:r>
          <w:r>
            <w:rPr>
              <w:sz w:val="32"/>
              <w:highlight w:val="none"/>
            </w:rPr>
            <w:tab/>
          </w:r>
          <w:r>
            <w:rPr>
              <w:sz w:val="32"/>
              <w:highlight w:val="none"/>
            </w:rPr>
            <w:fldChar w:fldCharType="begin"/>
          </w:r>
          <w:r>
            <w:rPr>
              <w:sz w:val="32"/>
              <w:highlight w:val="none"/>
            </w:rPr>
            <w:instrText xml:space="preserve"> PAGEREF _Toc86311615 \h </w:instrText>
          </w:r>
          <w:r>
            <w:rPr>
              <w:sz w:val="32"/>
              <w:highlight w:val="none"/>
            </w:rPr>
            <w:fldChar w:fldCharType="separate"/>
          </w:r>
          <w:r>
            <w:rPr>
              <w:sz w:val="32"/>
              <w:highlight w:val="none"/>
            </w:rPr>
            <w:t>1</w:t>
          </w:r>
          <w:r>
            <w:rPr>
              <w:sz w:val="32"/>
              <w:highlight w:val="none"/>
            </w:rPr>
            <w:fldChar w:fldCharType="end"/>
          </w:r>
          <w:r>
            <w:rPr>
              <w:sz w:val="32"/>
              <w:highlight w:val="none"/>
            </w:rPr>
            <w:fldChar w:fldCharType="end"/>
          </w:r>
        </w:p>
        <w:p>
          <w:pPr>
            <w:pStyle w:val="14"/>
            <w:tabs>
              <w:tab w:val="right" w:leader="dot" w:pos="9062"/>
            </w:tabs>
            <w:rPr>
              <w:rFonts w:asciiTheme="minorHAnsi" w:hAnsiTheme="minorHAnsi" w:eastAsiaTheme="minorEastAsia" w:cstheme="minorBidi"/>
              <w:sz w:val="32"/>
              <w:szCs w:val="22"/>
              <w:highlight w:val="none"/>
            </w:rPr>
          </w:pPr>
          <w:r>
            <w:rPr>
              <w:highlight w:val="none"/>
            </w:rPr>
            <w:fldChar w:fldCharType="begin"/>
          </w:r>
          <w:r>
            <w:rPr>
              <w:highlight w:val="none"/>
            </w:rPr>
            <w:instrText xml:space="preserve"> HYPERLINK \l "_Toc86311616" </w:instrText>
          </w:r>
          <w:r>
            <w:rPr>
              <w:highlight w:val="none"/>
            </w:rPr>
            <w:fldChar w:fldCharType="separate"/>
          </w:r>
          <w:r>
            <w:rPr>
              <w:rStyle w:val="28"/>
              <w:rFonts w:eastAsia="黑体"/>
              <w:snapToGrid w:val="0"/>
              <w:sz w:val="32"/>
              <w:highlight w:val="none"/>
            </w:rPr>
            <w:t>二、建设项目工程分析</w:t>
          </w:r>
          <w:r>
            <w:rPr>
              <w:sz w:val="32"/>
              <w:highlight w:val="none"/>
            </w:rPr>
            <w:tab/>
          </w:r>
          <w:r>
            <w:rPr>
              <w:sz w:val="32"/>
              <w:highlight w:val="none"/>
            </w:rPr>
            <w:fldChar w:fldCharType="begin"/>
          </w:r>
          <w:r>
            <w:rPr>
              <w:sz w:val="32"/>
              <w:highlight w:val="none"/>
            </w:rPr>
            <w:instrText xml:space="preserve"> PAGEREF _Toc86311616 \h </w:instrText>
          </w:r>
          <w:r>
            <w:rPr>
              <w:sz w:val="32"/>
              <w:highlight w:val="none"/>
            </w:rPr>
            <w:fldChar w:fldCharType="separate"/>
          </w:r>
          <w:r>
            <w:rPr>
              <w:sz w:val="32"/>
              <w:highlight w:val="none"/>
            </w:rPr>
            <w:t>23</w:t>
          </w:r>
          <w:r>
            <w:rPr>
              <w:sz w:val="32"/>
              <w:highlight w:val="none"/>
            </w:rPr>
            <w:fldChar w:fldCharType="end"/>
          </w:r>
          <w:r>
            <w:rPr>
              <w:sz w:val="32"/>
              <w:highlight w:val="none"/>
            </w:rPr>
            <w:fldChar w:fldCharType="end"/>
          </w:r>
        </w:p>
        <w:p>
          <w:pPr>
            <w:pStyle w:val="14"/>
            <w:tabs>
              <w:tab w:val="right" w:leader="dot" w:pos="9062"/>
            </w:tabs>
            <w:rPr>
              <w:rFonts w:asciiTheme="minorHAnsi" w:hAnsiTheme="minorHAnsi" w:eastAsiaTheme="minorEastAsia" w:cstheme="minorBidi"/>
              <w:sz w:val="32"/>
              <w:szCs w:val="22"/>
              <w:highlight w:val="none"/>
            </w:rPr>
          </w:pPr>
          <w:r>
            <w:rPr>
              <w:highlight w:val="none"/>
            </w:rPr>
            <w:fldChar w:fldCharType="begin"/>
          </w:r>
          <w:r>
            <w:rPr>
              <w:highlight w:val="none"/>
            </w:rPr>
            <w:instrText xml:space="preserve"> HYPERLINK \l "_Toc86311617" </w:instrText>
          </w:r>
          <w:r>
            <w:rPr>
              <w:highlight w:val="none"/>
            </w:rPr>
            <w:fldChar w:fldCharType="separate"/>
          </w:r>
          <w:r>
            <w:rPr>
              <w:rStyle w:val="28"/>
              <w:rFonts w:eastAsia="黑体"/>
              <w:snapToGrid w:val="0"/>
              <w:sz w:val="32"/>
              <w:highlight w:val="none"/>
            </w:rPr>
            <w:t>三、区域环境质量现状、环境保护目标及评价标准</w:t>
          </w:r>
          <w:r>
            <w:rPr>
              <w:sz w:val="32"/>
              <w:highlight w:val="none"/>
            </w:rPr>
            <w:tab/>
          </w:r>
          <w:r>
            <w:rPr>
              <w:sz w:val="32"/>
              <w:highlight w:val="none"/>
            </w:rPr>
            <w:fldChar w:fldCharType="begin"/>
          </w:r>
          <w:r>
            <w:rPr>
              <w:sz w:val="32"/>
              <w:highlight w:val="none"/>
            </w:rPr>
            <w:instrText xml:space="preserve"> PAGEREF _Toc86311617 \h </w:instrText>
          </w:r>
          <w:r>
            <w:rPr>
              <w:sz w:val="32"/>
              <w:highlight w:val="none"/>
            </w:rPr>
            <w:fldChar w:fldCharType="separate"/>
          </w:r>
          <w:r>
            <w:rPr>
              <w:sz w:val="32"/>
              <w:highlight w:val="none"/>
            </w:rPr>
            <w:t>30</w:t>
          </w:r>
          <w:r>
            <w:rPr>
              <w:sz w:val="32"/>
              <w:highlight w:val="none"/>
            </w:rPr>
            <w:fldChar w:fldCharType="end"/>
          </w:r>
          <w:r>
            <w:rPr>
              <w:sz w:val="32"/>
              <w:highlight w:val="none"/>
            </w:rPr>
            <w:fldChar w:fldCharType="end"/>
          </w:r>
        </w:p>
        <w:p>
          <w:pPr>
            <w:pStyle w:val="14"/>
            <w:tabs>
              <w:tab w:val="right" w:leader="dot" w:pos="9062"/>
            </w:tabs>
            <w:rPr>
              <w:rFonts w:asciiTheme="minorHAnsi" w:hAnsiTheme="minorHAnsi" w:eastAsiaTheme="minorEastAsia" w:cstheme="minorBidi"/>
              <w:sz w:val="32"/>
              <w:szCs w:val="22"/>
              <w:highlight w:val="none"/>
            </w:rPr>
          </w:pPr>
          <w:r>
            <w:rPr>
              <w:highlight w:val="none"/>
            </w:rPr>
            <w:fldChar w:fldCharType="begin"/>
          </w:r>
          <w:r>
            <w:rPr>
              <w:highlight w:val="none"/>
            </w:rPr>
            <w:instrText xml:space="preserve"> HYPERLINK \l "_Toc86311618" </w:instrText>
          </w:r>
          <w:r>
            <w:rPr>
              <w:highlight w:val="none"/>
            </w:rPr>
            <w:fldChar w:fldCharType="separate"/>
          </w:r>
          <w:r>
            <w:rPr>
              <w:rStyle w:val="28"/>
              <w:rFonts w:eastAsia="黑体"/>
              <w:snapToGrid w:val="0"/>
              <w:sz w:val="32"/>
              <w:highlight w:val="none"/>
            </w:rPr>
            <w:t>四、主要环境影响和保护措施</w:t>
          </w:r>
          <w:r>
            <w:rPr>
              <w:sz w:val="32"/>
              <w:highlight w:val="none"/>
            </w:rPr>
            <w:tab/>
          </w:r>
          <w:r>
            <w:rPr>
              <w:sz w:val="32"/>
              <w:highlight w:val="none"/>
            </w:rPr>
            <w:fldChar w:fldCharType="begin"/>
          </w:r>
          <w:r>
            <w:rPr>
              <w:sz w:val="32"/>
              <w:highlight w:val="none"/>
            </w:rPr>
            <w:instrText xml:space="preserve"> PAGEREF _Toc86311618 \h </w:instrText>
          </w:r>
          <w:r>
            <w:rPr>
              <w:sz w:val="32"/>
              <w:highlight w:val="none"/>
            </w:rPr>
            <w:fldChar w:fldCharType="separate"/>
          </w:r>
          <w:r>
            <w:rPr>
              <w:sz w:val="32"/>
              <w:highlight w:val="none"/>
            </w:rPr>
            <w:t>36</w:t>
          </w:r>
          <w:r>
            <w:rPr>
              <w:sz w:val="32"/>
              <w:highlight w:val="none"/>
            </w:rPr>
            <w:fldChar w:fldCharType="end"/>
          </w:r>
          <w:r>
            <w:rPr>
              <w:sz w:val="32"/>
              <w:highlight w:val="none"/>
            </w:rPr>
            <w:fldChar w:fldCharType="end"/>
          </w:r>
        </w:p>
        <w:p>
          <w:pPr>
            <w:pStyle w:val="14"/>
            <w:tabs>
              <w:tab w:val="right" w:leader="dot" w:pos="9062"/>
            </w:tabs>
            <w:rPr>
              <w:rFonts w:asciiTheme="minorHAnsi" w:hAnsiTheme="minorHAnsi" w:eastAsiaTheme="minorEastAsia" w:cstheme="minorBidi"/>
              <w:sz w:val="32"/>
              <w:szCs w:val="22"/>
              <w:highlight w:val="none"/>
            </w:rPr>
          </w:pPr>
          <w:r>
            <w:rPr>
              <w:highlight w:val="none"/>
            </w:rPr>
            <w:fldChar w:fldCharType="begin"/>
          </w:r>
          <w:r>
            <w:rPr>
              <w:highlight w:val="none"/>
            </w:rPr>
            <w:instrText xml:space="preserve"> HYPERLINK \l "_Toc86311619" </w:instrText>
          </w:r>
          <w:r>
            <w:rPr>
              <w:highlight w:val="none"/>
            </w:rPr>
            <w:fldChar w:fldCharType="separate"/>
          </w:r>
          <w:r>
            <w:rPr>
              <w:rStyle w:val="28"/>
              <w:rFonts w:eastAsia="黑体"/>
              <w:snapToGrid w:val="0"/>
              <w:sz w:val="32"/>
              <w:highlight w:val="none"/>
            </w:rPr>
            <w:t>五、环境保护措施监督检查清单</w:t>
          </w:r>
          <w:r>
            <w:rPr>
              <w:sz w:val="32"/>
              <w:highlight w:val="none"/>
            </w:rPr>
            <w:tab/>
          </w:r>
          <w:r>
            <w:rPr>
              <w:sz w:val="32"/>
              <w:highlight w:val="none"/>
            </w:rPr>
            <w:fldChar w:fldCharType="begin"/>
          </w:r>
          <w:r>
            <w:rPr>
              <w:sz w:val="32"/>
              <w:highlight w:val="none"/>
            </w:rPr>
            <w:instrText xml:space="preserve"> PAGEREF _Toc86311619 \h </w:instrText>
          </w:r>
          <w:r>
            <w:rPr>
              <w:sz w:val="32"/>
              <w:highlight w:val="none"/>
            </w:rPr>
            <w:fldChar w:fldCharType="separate"/>
          </w:r>
          <w:r>
            <w:rPr>
              <w:sz w:val="32"/>
              <w:highlight w:val="none"/>
            </w:rPr>
            <w:t>47</w:t>
          </w:r>
          <w:r>
            <w:rPr>
              <w:sz w:val="32"/>
              <w:highlight w:val="none"/>
            </w:rPr>
            <w:fldChar w:fldCharType="end"/>
          </w:r>
          <w:r>
            <w:rPr>
              <w:sz w:val="32"/>
              <w:highlight w:val="none"/>
            </w:rPr>
            <w:fldChar w:fldCharType="end"/>
          </w:r>
        </w:p>
        <w:p>
          <w:pPr>
            <w:pStyle w:val="14"/>
            <w:tabs>
              <w:tab w:val="right" w:leader="dot" w:pos="9062"/>
            </w:tabs>
            <w:rPr>
              <w:rFonts w:asciiTheme="minorHAnsi" w:hAnsiTheme="minorHAnsi" w:eastAsiaTheme="minorEastAsia" w:cstheme="minorBidi"/>
              <w:sz w:val="32"/>
              <w:szCs w:val="22"/>
              <w:highlight w:val="none"/>
            </w:rPr>
          </w:pPr>
          <w:r>
            <w:rPr>
              <w:highlight w:val="none"/>
            </w:rPr>
            <w:fldChar w:fldCharType="begin"/>
          </w:r>
          <w:r>
            <w:rPr>
              <w:highlight w:val="none"/>
            </w:rPr>
            <w:instrText xml:space="preserve"> HYPERLINK \l "_Toc86311620" </w:instrText>
          </w:r>
          <w:r>
            <w:rPr>
              <w:highlight w:val="none"/>
            </w:rPr>
            <w:fldChar w:fldCharType="separate"/>
          </w:r>
          <w:r>
            <w:rPr>
              <w:rStyle w:val="28"/>
              <w:rFonts w:eastAsia="黑体"/>
              <w:snapToGrid w:val="0"/>
              <w:sz w:val="32"/>
              <w:highlight w:val="none"/>
            </w:rPr>
            <w:t>六、结论</w:t>
          </w:r>
          <w:r>
            <w:rPr>
              <w:sz w:val="32"/>
              <w:highlight w:val="none"/>
            </w:rPr>
            <w:tab/>
          </w:r>
          <w:r>
            <w:rPr>
              <w:sz w:val="32"/>
              <w:highlight w:val="none"/>
            </w:rPr>
            <w:fldChar w:fldCharType="begin"/>
          </w:r>
          <w:r>
            <w:rPr>
              <w:sz w:val="32"/>
              <w:highlight w:val="none"/>
            </w:rPr>
            <w:instrText xml:space="preserve"> PAGEREF _Toc86311620 \h </w:instrText>
          </w:r>
          <w:r>
            <w:rPr>
              <w:sz w:val="32"/>
              <w:highlight w:val="none"/>
            </w:rPr>
            <w:fldChar w:fldCharType="separate"/>
          </w:r>
          <w:r>
            <w:rPr>
              <w:sz w:val="32"/>
              <w:highlight w:val="none"/>
            </w:rPr>
            <w:t>48</w:t>
          </w:r>
          <w:r>
            <w:rPr>
              <w:sz w:val="32"/>
              <w:highlight w:val="none"/>
            </w:rPr>
            <w:fldChar w:fldCharType="end"/>
          </w:r>
          <w:r>
            <w:rPr>
              <w:sz w:val="32"/>
              <w:highlight w:val="none"/>
            </w:rPr>
            <w:fldChar w:fldCharType="end"/>
          </w:r>
        </w:p>
        <w:p>
          <w:pPr>
            <w:pStyle w:val="14"/>
            <w:tabs>
              <w:tab w:val="right" w:leader="dot" w:pos="9062"/>
            </w:tabs>
            <w:rPr>
              <w:rStyle w:val="28"/>
              <w:b/>
              <w:bCs/>
              <w:snapToGrid w:val="0"/>
              <w:sz w:val="32"/>
              <w:highlight w:val="none"/>
            </w:rPr>
          </w:pPr>
          <w:r>
            <w:rPr>
              <w:highlight w:val="none"/>
            </w:rPr>
            <w:fldChar w:fldCharType="begin"/>
          </w:r>
          <w:r>
            <w:rPr>
              <w:highlight w:val="none"/>
            </w:rPr>
            <w:instrText xml:space="preserve"> HYPERLINK \l "_Toc86311622" </w:instrText>
          </w:r>
          <w:r>
            <w:rPr>
              <w:highlight w:val="none"/>
            </w:rPr>
            <w:fldChar w:fldCharType="separate"/>
          </w:r>
          <w:r>
            <w:rPr>
              <w:rStyle w:val="28"/>
              <w:b/>
              <w:bCs/>
              <w:snapToGrid w:val="0"/>
              <w:sz w:val="32"/>
              <w:highlight w:val="none"/>
            </w:rPr>
            <w:t>建设项目污染物排放量汇总表</w:t>
          </w:r>
          <w:r>
            <w:rPr>
              <w:rStyle w:val="28"/>
              <w:b/>
              <w:bCs/>
              <w:snapToGrid w:val="0"/>
              <w:highlight w:val="none"/>
            </w:rPr>
            <w:tab/>
          </w:r>
          <w:r>
            <w:rPr>
              <w:rStyle w:val="28"/>
              <w:b/>
              <w:bCs/>
              <w:snapToGrid w:val="0"/>
              <w:highlight w:val="none"/>
            </w:rPr>
            <w:fldChar w:fldCharType="begin"/>
          </w:r>
          <w:r>
            <w:rPr>
              <w:rStyle w:val="28"/>
              <w:b/>
              <w:bCs/>
              <w:snapToGrid w:val="0"/>
              <w:highlight w:val="none"/>
            </w:rPr>
            <w:instrText xml:space="preserve"> PAGEREF _Toc86311622 \h </w:instrText>
          </w:r>
          <w:r>
            <w:rPr>
              <w:rStyle w:val="28"/>
              <w:b/>
              <w:bCs/>
              <w:snapToGrid w:val="0"/>
              <w:highlight w:val="none"/>
            </w:rPr>
            <w:fldChar w:fldCharType="separate"/>
          </w:r>
          <w:r>
            <w:rPr>
              <w:rStyle w:val="28"/>
              <w:b/>
              <w:bCs/>
              <w:snapToGrid w:val="0"/>
              <w:highlight w:val="none"/>
            </w:rPr>
            <w:t>49</w:t>
          </w:r>
          <w:r>
            <w:rPr>
              <w:rStyle w:val="28"/>
              <w:b/>
              <w:bCs/>
              <w:snapToGrid w:val="0"/>
              <w:highlight w:val="none"/>
            </w:rPr>
            <w:fldChar w:fldCharType="end"/>
          </w:r>
          <w:r>
            <w:rPr>
              <w:rStyle w:val="28"/>
              <w:b/>
              <w:bCs/>
              <w:snapToGrid w:val="0"/>
              <w:highlight w:val="none"/>
            </w:rPr>
            <w:fldChar w:fldCharType="end"/>
          </w:r>
        </w:p>
        <w:p>
          <w:pPr>
            <w:rPr>
              <w:highlight w:val="yellow"/>
            </w:rPr>
          </w:pPr>
          <w:r>
            <w:rPr>
              <w:b/>
              <w:bCs/>
              <w:highlight w:val="none"/>
              <w:lang w:val="zh-CN"/>
            </w:rPr>
            <w:fldChar w:fldCharType="end"/>
          </w:r>
        </w:p>
      </w:sdtContent>
    </w:sdt>
    <w:p>
      <w:pPr>
        <w:adjustRightInd w:val="0"/>
        <w:snapToGrid w:val="0"/>
        <w:spacing w:line="288" w:lineRule="auto"/>
        <w:ind w:firstLine="1040"/>
        <w:rPr>
          <w:rFonts w:eastAsia="仿宋_GB2312"/>
          <w:sz w:val="36"/>
          <w:szCs w:val="36"/>
          <w:highlight w:val="yellow"/>
        </w:rPr>
        <w:sectPr>
          <w:headerReference r:id="rId3" w:type="default"/>
          <w:footerReference r:id="rId4" w:type="default"/>
          <w:footerReference r:id="rId5" w:type="even"/>
          <w:pgSz w:w="11906" w:h="16838"/>
          <w:pgMar w:top="1701" w:right="1417" w:bottom="1701" w:left="1417" w:header="851" w:footer="1077" w:gutter="0"/>
          <w:pgNumType w:start="3"/>
          <w:cols w:space="720" w:num="1"/>
          <w:docGrid w:linePitch="312" w:charSpace="0"/>
        </w:sectPr>
      </w:pPr>
    </w:p>
    <w:p>
      <w:pPr>
        <w:pStyle w:val="19"/>
        <w:spacing w:before="0" w:beforeAutospacing="0" w:after="0" w:afterAutospacing="0"/>
        <w:ind w:firstLine="600"/>
        <w:jc w:val="center"/>
        <w:outlineLvl w:val="0"/>
        <w:rPr>
          <w:rFonts w:ascii="Times New Roman" w:hAnsi="Times New Roman" w:eastAsia="黑体"/>
          <w:snapToGrid w:val="0"/>
          <w:sz w:val="30"/>
          <w:szCs w:val="30"/>
          <w:highlight w:val="none"/>
        </w:rPr>
      </w:pPr>
      <w:bookmarkStart w:id="1" w:name="_Toc86311615"/>
      <w:r>
        <w:rPr>
          <w:rFonts w:ascii="Times New Roman" w:hAnsi="Times New Roman" w:eastAsia="黑体"/>
          <w:snapToGrid w:val="0"/>
          <w:sz w:val="30"/>
          <w:szCs w:val="30"/>
          <w:highlight w:val="none"/>
        </w:rPr>
        <w:t>一、建设项目基本情况</w:t>
      </w:r>
      <w:bookmarkEnd w:id="1"/>
    </w:p>
    <w:tbl>
      <w:tblPr>
        <w:tblStyle w:val="22"/>
        <w:tblW w:w="92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444"/>
        <w:gridCol w:w="1327"/>
        <w:gridCol w:w="2513"/>
        <w:gridCol w:w="1957"/>
        <w:gridCol w:w="30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7" w:hRule="atLeast"/>
          <w:jc w:val="center"/>
        </w:trPr>
        <w:tc>
          <w:tcPr>
            <w:tcW w:w="1771" w:type="dxa"/>
            <w:gridSpan w:val="2"/>
            <w:tcMar>
              <w:top w:w="16" w:type="dxa"/>
              <w:left w:w="16" w:type="dxa"/>
              <w:right w:w="16" w:type="dxa"/>
            </w:tcMar>
            <w:vAlign w:val="center"/>
          </w:tcPr>
          <w:p>
            <w:pPr>
              <w:adjustRightInd w:val="0"/>
              <w:snapToGrid w:val="0"/>
              <w:jc w:val="center"/>
              <w:rPr>
                <w:b/>
                <w:bCs/>
                <w:sz w:val="24"/>
                <w:highlight w:val="none"/>
              </w:rPr>
            </w:pPr>
            <w:r>
              <w:rPr>
                <w:b/>
                <w:bCs/>
                <w:sz w:val="24"/>
                <w:highlight w:val="none"/>
              </w:rPr>
              <w:t>建设项目名称</w:t>
            </w:r>
          </w:p>
        </w:tc>
        <w:tc>
          <w:tcPr>
            <w:tcW w:w="7516" w:type="dxa"/>
            <w:gridSpan w:val="3"/>
            <w:vAlign w:val="center"/>
          </w:tcPr>
          <w:p>
            <w:pPr>
              <w:adjustRightInd w:val="0"/>
              <w:snapToGrid w:val="0"/>
              <w:jc w:val="center"/>
              <w:rPr>
                <w:sz w:val="24"/>
                <w:highlight w:val="yellow"/>
              </w:rPr>
            </w:pPr>
            <w:r>
              <w:rPr>
                <w:rFonts w:hint="eastAsia"/>
                <w:sz w:val="24"/>
                <w:highlight w:val="none"/>
              </w:rPr>
              <w:t>苏州格瑞林达医疗科技有限公司新建器械部件生产项目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7" w:hRule="atLeast"/>
          <w:jc w:val="center"/>
        </w:trPr>
        <w:tc>
          <w:tcPr>
            <w:tcW w:w="1771" w:type="dxa"/>
            <w:gridSpan w:val="2"/>
            <w:tcMar>
              <w:top w:w="16" w:type="dxa"/>
              <w:left w:w="16" w:type="dxa"/>
              <w:right w:w="16" w:type="dxa"/>
            </w:tcMar>
            <w:vAlign w:val="center"/>
          </w:tcPr>
          <w:p>
            <w:pPr>
              <w:adjustRightInd w:val="0"/>
              <w:snapToGrid w:val="0"/>
              <w:jc w:val="center"/>
              <w:rPr>
                <w:b/>
                <w:bCs/>
                <w:sz w:val="24"/>
                <w:highlight w:val="none"/>
              </w:rPr>
            </w:pPr>
            <w:r>
              <w:rPr>
                <w:b/>
                <w:bCs/>
                <w:sz w:val="24"/>
                <w:highlight w:val="none"/>
              </w:rPr>
              <w:t>项目代码</w:t>
            </w:r>
          </w:p>
        </w:tc>
        <w:tc>
          <w:tcPr>
            <w:tcW w:w="7516" w:type="dxa"/>
            <w:gridSpan w:val="3"/>
            <w:vAlign w:val="center"/>
          </w:tcPr>
          <w:p>
            <w:pPr>
              <w:adjustRightInd w:val="0"/>
              <w:snapToGrid w:val="0"/>
              <w:jc w:val="center"/>
              <w:rPr>
                <w:rFonts w:hint="default" w:eastAsia="宋体"/>
                <w:sz w:val="24"/>
                <w:highlight w:val="yellow"/>
                <w:lang w:val="en-US" w:eastAsia="zh-CN"/>
              </w:rPr>
            </w:pPr>
            <w:r>
              <w:rPr>
                <w:rFonts w:hint="eastAsia"/>
                <w:sz w:val="24"/>
                <w:highlight w:val="green"/>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7" w:hRule="atLeast"/>
          <w:jc w:val="center"/>
        </w:trPr>
        <w:tc>
          <w:tcPr>
            <w:tcW w:w="1771" w:type="dxa"/>
            <w:gridSpan w:val="2"/>
            <w:tcMar>
              <w:top w:w="16" w:type="dxa"/>
              <w:left w:w="16" w:type="dxa"/>
              <w:right w:w="16" w:type="dxa"/>
            </w:tcMar>
            <w:vAlign w:val="center"/>
          </w:tcPr>
          <w:p>
            <w:pPr>
              <w:adjustRightInd w:val="0"/>
              <w:snapToGrid w:val="0"/>
              <w:jc w:val="center"/>
              <w:rPr>
                <w:b/>
                <w:bCs/>
                <w:sz w:val="24"/>
                <w:highlight w:val="none"/>
              </w:rPr>
            </w:pPr>
            <w:r>
              <w:rPr>
                <w:b/>
                <w:bCs/>
                <w:sz w:val="24"/>
                <w:highlight w:val="none"/>
              </w:rPr>
              <w:t>建设单位联系人</w:t>
            </w:r>
          </w:p>
        </w:tc>
        <w:tc>
          <w:tcPr>
            <w:tcW w:w="2513" w:type="dxa"/>
            <w:vAlign w:val="center"/>
          </w:tcPr>
          <w:p>
            <w:pPr>
              <w:adjustRightInd w:val="0"/>
              <w:snapToGrid w:val="0"/>
              <w:jc w:val="center"/>
              <w:rPr>
                <w:sz w:val="24"/>
                <w:highlight w:val="none"/>
              </w:rPr>
            </w:pPr>
            <w:r>
              <w:rPr>
                <w:rFonts w:hint="eastAsia"/>
                <w:sz w:val="24"/>
                <w:highlight w:val="none"/>
              </w:rPr>
              <w:t>吴小军</w:t>
            </w:r>
          </w:p>
        </w:tc>
        <w:tc>
          <w:tcPr>
            <w:tcW w:w="1957" w:type="dxa"/>
            <w:vAlign w:val="center"/>
          </w:tcPr>
          <w:p>
            <w:pPr>
              <w:adjustRightInd w:val="0"/>
              <w:snapToGrid w:val="0"/>
              <w:jc w:val="center"/>
              <w:rPr>
                <w:sz w:val="24"/>
                <w:highlight w:val="none"/>
              </w:rPr>
            </w:pPr>
            <w:r>
              <w:rPr>
                <w:b/>
                <w:bCs/>
                <w:sz w:val="24"/>
                <w:highlight w:val="none"/>
              </w:rPr>
              <w:t>联系方式</w:t>
            </w:r>
          </w:p>
        </w:tc>
        <w:tc>
          <w:tcPr>
            <w:tcW w:w="3046" w:type="dxa"/>
            <w:vAlign w:val="center"/>
          </w:tcPr>
          <w:p>
            <w:pPr>
              <w:adjustRightInd w:val="0"/>
              <w:snapToGrid w:val="0"/>
              <w:jc w:val="center"/>
              <w:rPr>
                <w:sz w:val="24"/>
                <w:highlight w:val="none"/>
              </w:rPr>
            </w:pPr>
            <w:r>
              <w:rPr>
                <w:rFonts w:hint="eastAsia"/>
                <w:sz w:val="24"/>
                <w:highlight w:val="none"/>
              </w:rPr>
              <w:t>13771841909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7" w:hRule="atLeast"/>
          <w:jc w:val="center"/>
        </w:trPr>
        <w:tc>
          <w:tcPr>
            <w:tcW w:w="1771" w:type="dxa"/>
            <w:gridSpan w:val="2"/>
            <w:tcMar>
              <w:top w:w="16" w:type="dxa"/>
              <w:left w:w="16" w:type="dxa"/>
              <w:right w:w="16" w:type="dxa"/>
            </w:tcMar>
            <w:vAlign w:val="center"/>
          </w:tcPr>
          <w:p>
            <w:pPr>
              <w:adjustRightInd w:val="0"/>
              <w:snapToGrid w:val="0"/>
              <w:jc w:val="center"/>
              <w:rPr>
                <w:b/>
                <w:bCs/>
                <w:sz w:val="24"/>
                <w:highlight w:val="none"/>
              </w:rPr>
            </w:pPr>
            <w:r>
              <w:rPr>
                <w:b/>
                <w:bCs/>
                <w:sz w:val="24"/>
                <w:highlight w:val="none"/>
              </w:rPr>
              <w:t>建设地点</w:t>
            </w:r>
          </w:p>
        </w:tc>
        <w:tc>
          <w:tcPr>
            <w:tcW w:w="7516" w:type="dxa"/>
            <w:gridSpan w:val="3"/>
            <w:vAlign w:val="center"/>
          </w:tcPr>
          <w:p>
            <w:pPr>
              <w:adjustRightInd w:val="0"/>
              <w:snapToGrid w:val="0"/>
              <w:jc w:val="center"/>
              <w:rPr>
                <w:sz w:val="24"/>
                <w:highlight w:val="none"/>
              </w:rPr>
            </w:pPr>
            <w:r>
              <w:rPr>
                <w:rFonts w:hint="eastAsia"/>
                <w:sz w:val="24"/>
                <w:highlight w:val="none"/>
              </w:rPr>
              <w:t>苏州高新区科技城华佗路12号2号楼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7" w:hRule="atLeast"/>
          <w:jc w:val="center"/>
        </w:trPr>
        <w:tc>
          <w:tcPr>
            <w:tcW w:w="1771" w:type="dxa"/>
            <w:gridSpan w:val="2"/>
            <w:tcMar>
              <w:top w:w="16" w:type="dxa"/>
              <w:left w:w="16" w:type="dxa"/>
              <w:right w:w="16" w:type="dxa"/>
            </w:tcMar>
            <w:vAlign w:val="center"/>
          </w:tcPr>
          <w:p>
            <w:pPr>
              <w:adjustRightInd w:val="0"/>
              <w:snapToGrid w:val="0"/>
              <w:jc w:val="center"/>
              <w:rPr>
                <w:b/>
                <w:bCs/>
                <w:sz w:val="24"/>
                <w:highlight w:val="none"/>
              </w:rPr>
            </w:pPr>
            <w:r>
              <w:rPr>
                <w:b/>
                <w:bCs/>
                <w:sz w:val="24"/>
                <w:highlight w:val="none"/>
              </w:rPr>
              <w:t>地理坐标</w:t>
            </w:r>
          </w:p>
        </w:tc>
        <w:tc>
          <w:tcPr>
            <w:tcW w:w="7516" w:type="dxa"/>
            <w:gridSpan w:val="3"/>
            <w:vAlign w:val="center"/>
          </w:tcPr>
          <w:p>
            <w:pPr>
              <w:jc w:val="center"/>
              <w:rPr>
                <w:sz w:val="24"/>
                <w:highlight w:val="none"/>
              </w:rPr>
            </w:pPr>
            <w:r>
              <w:rPr>
                <w:bCs/>
                <w:sz w:val="24"/>
                <w:highlight w:val="none"/>
              </w:rPr>
              <w:t>东经</w:t>
            </w:r>
            <w:r>
              <w:rPr>
                <w:sz w:val="24"/>
                <w:highlight w:val="none"/>
              </w:rPr>
              <w:t>：</w:t>
            </w:r>
            <w:r>
              <w:rPr>
                <w:bCs/>
                <w:sz w:val="24"/>
                <w:highlight w:val="none"/>
              </w:rPr>
              <w:t>120°</w:t>
            </w:r>
            <w:r>
              <w:rPr>
                <w:rFonts w:hint="eastAsia"/>
                <w:bCs/>
                <w:sz w:val="24"/>
                <w:highlight w:val="none"/>
              </w:rPr>
              <w:t>43</w:t>
            </w:r>
            <w:r>
              <w:rPr>
                <w:bCs/>
                <w:sz w:val="24"/>
                <w:highlight w:val="none"/>
              </w:rPr>
              <w:t>′</w:t>
            </w:r>
            <w:r>
              <w:rPr>
                <w:rFonts w:hint="eastAsia"/>
                <w:bCs/>
                <w:sz w:val="24"/>
                <w:highlight w:val="none"/>
              </w:rPr>
              <w:t>91</w:t>
            </w:r>
            <w:r>
              <w:rPr>
                <w:rFonts w:hint="eastAsia"/>
                <w:bCs/>
                <w:sz w:val="24"/>
                <w:highlight w:val="none"/>
                <w:lang w:val="en-US" w:eastAsia="zh-CN"/>
              </w:rPr>
              <w:t>.</w:t>
            </w:r>
            <w:r>
              <w:rPr>
                <w:rFonts w:hint="eastAsia"/>
                <w:bCs/>
                <w:sz w:val="24"/>
                <w:highlight w:val="none"/>
              </w:rPr>
              <w:t>62</w:t>
            </w:r>
            <w:r>
              <w:rPr>
                <w:bCs/>
                <w:sz w:val="24"/>
                <w:highlight w:val="none"/>
              </w:rPr>
              <w:t>″</w:t>
            </w:r>
            <w:r>
              <w:rPr>
                <w:sz w:val="24"/>
                <w:highlight w:val="none"/>
              </w:rPr>
              <w:t>，北纬：</w:t>
            </w:r>
            <w:r>
              <w:rPr>
                <w:bCs/>
                <w:sz w:val="24"/>
                <w:highlight w:val="none"/>
              </w:rPr>
              <w:t>31°</w:t>
            </w:r>
            <w:r>
              <w:rPr>
                <w:rFonts w:hint="eastAsia"/>
                <w:bCs/>
                <w:sz w:val="24"/>
                <w:highlight w:val="none"/>
                <w:lang w:val="en-US" w:eastAsia="zh-CN"/>
              </w:rPr>
              <w:t>31</w:t>
            </w:r>
            <w:r>
              <w:rPr>
                <w:bCs/>
                <w:sz w:val="24"/>
                <w:highlight w:val="none"/>
              </w:rPr>
              <w:t>′</w:t>
            </w:r>
            <w:r>
              <w:rPr>
                <w:rFonts w:hint="eastAsia"/>
                <w:bCs/>
                <w:sz w:val="24"/>
                <w:highlight w:val="none"/>
                <w:lang w:val="en-US" w:eastAsia="zh-CN"/>
              </w:rPr>
              <w:t>50</w:t>
            </w:r>
            <w:r>
              <w:rPr>
                <w:bCs/>
                <w:sz w:val="24"/>
                <w:highlight w:val="none"/>
              </w:rPr>
              <w:t>.</w:t>
            </w:r>
            <w:r>
              <w:rPr>
                <w:rFonts w:hint="eastAsia"/>
                <w:bCs/>
                <w:sz w:val="24"/>
                <w:highlight w:val="none"/>
                <w:lang w:val="en-US" w:eastAsia="zh-CN"/>
              </w:rPr>
              <w:t>37</w:t>
            </w:r>
            <w:r>
              <w:rPr>
                <w:bCs/>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24" w:hRule="atLeast"/>
          <w:jc w:val="center"/>
        </w:trPr>
        <w:tc>
          <w:tcPr>
            <w:tcW w:w="1771" w:type="dxa"/>
            <w:gridSpan w:val="2"/>
            <w:tcMar>
              <w:top w:w="16" w:type="dxa"/>
              <w:left w:w="16" w:type="dxa"/>
              <w:right w:w="16" w:type="dxa"/>
            </w:tcMar>
            <w:vAlign w:val="center"/>
          </w:tcPr>
          <w:p>
            <w:pPr>
              <w:adjustRightInd w:val="0"/>
              <w:snapToGrid w:val="0"/>
              <w:jc w:val="center"/>
              <w:rPr>
                <w:b/>
                <w:bCs/>
                <w:sz w:val="24"/>
                <w:highlight w:val="none"/>
              </w:rPr>
            </w:pPr>
            <w:r>
              <w:rPr>
                <w:b/>
                <w:bCs/>
                <w:sz w:val="24"/>
                <w:highlight w:val="none"/>
              </w:rPr>
              <w:t>国民经济</w:t>
            </w:r>
          </w:p>
          <w:p>
            <w:pPr>
              <w:adjustRightInd w:val="0"/>
              <w:snapToGrid w:val="0"/>
              <w:jc w:val="center"/>
              <w:rPr>
                <w:b/>
                <w:bCs/>
                <w:sz w:val="24"/>
                <w:highlight w:val="none"/>
              </w:rPr>
            </w:pPr>
            <w:r>
              <w:rPr>
                <w:b/>
                <w:bCs/>
                <w:sz w:val="24"/>
                <w:highlight w:val="none"/>
              </w:rPr>
              <w:t>行业类别</w:t>
            </w:r>
          </w:p>
        </w:tc>
        <w:tc>
          <w:tcPr>
            <w:tcW w:w="2513" w:type="dxa"/>
            <w:vAlign w:val="center"/>
          </w:tcPr>
          <w:p>
            <w:pPr>
              <w:adjustRightInd w:val="0"/>
              <w:snapToGrid w:val="0"/>
              <w:jc w:val="left"/>
              <w:rPr>
                <w:sz w:val="24"/>
                <w:highlight w:val="none"/>
              </w:rPr>
            </w:pPr>
            <w:r>
              <w:rPr>
                <w:rFonts w:hint="eastAsia"/>
                <w:bCs/>
                <w:sz w:val="24"/>
                <w:highlight w:val="none"/>
              </w:rPr>
              <w:t>3589  其他医疗设备及器械制造</w:t>
            </w:r>
          </w:p>
        </w:tc>
        <w:tc>
          <w:tcPr>
            <w:tcW w:w="1957" w:type="dxa"/>
            <w:vAlign w:val="center"/>
          </w:tcPr>
          <w:p>
            <w:pPr>
              <w:adjustRightInd w:val="0"/>
              <w:snapToGrid w:val="0"/>
              <w:jc w:val="center"/>
              <w:rPr>
                <w:b/>
                <w:bCs/>
                <w:sz w:val="24"/>
                <w:highlight w:val="none"/>
              </w:rPr>
            </w:pPr>
            <w:bookmarkStart w:id="2" w:name="_Hlk49843745"/>
            <w:r>
              <w:rPr>
                <w:b/>
                <w:bCs/>
                <w:sz w:val="24"/>
                <w:highlight w:val="none"/>
              </w:rPr>
              <w:t>建设项目</w:t>
            </w:r>
          </w:p>
          <w:p>
            <w:pPr>
              <w:adjustRightInd w:val="0"/>
              <w:snapToGrid w:val="0"/>
              <w:jc w:val="center"/>
              <w:rPr>
                <w:b/>
                <w:bCs/>
                <w:sz w:val="24"/>
                <w:highlight w:val="none"/>
              </w:rPr>
            </w:pPr>
            <w:r>
              <w:rPr>
                <w:b/>
                <w:bCs/>
                <w:sz w:val="24"/>
                <w:highlight w:val="none"/>
              </w:rPr>
              <w:t>行业类别</w:t>
            </w:r>
            <w:bookmarkEnd w:id="2"/>
          </w:p>
        </w:tc>
        <w:tc>
          <w:tcPr>
            <w:tcW w:w="3046" w:type="dxa"/>
            <w:vAlign w:val="center"/>
          </w:tcPr>
          <w:p>
            <w:pPr>
              <w:adjustRightInd w:val="0"/>
              <w:snapToGrid w:val="0"/>
              <w:rPr>
                <w:rFonts w:hint="eastAsia"/>
                <w:sz w:val="24"/>
                <w:highlight w:val="none"/>
              </w:rPr>
            </w:pPr>
            <w:r>
              <w:rPr>
                <w:rFonts w:hint="eastAsia"/>
                <w:sz w:val="24"/>
                <w:highlight w:val="none"/>
              </w:rPr>
              <w:t>三十二、专用设备制造业 35医疗仪器设备及器械制造</w:t>
            </w:r>
          </w:p>
          <w:p>
            <w:pPr>
              <w:adjustRightInd w:val="0"/>
              <w:snapToGrid w:val="0"/>
              <w:rPr>
                <w:sz w:val="24"/>
                <w:highlight w:val="none"/>
              </w:rPr>
            </w:pPr>
            <w:r>
              <w:rPr>
                <w:rFonts w:hint="eastAsia"/>
                <w:sz w:val="24"/>
                <w:highlight w:val="none"/>
              </w:rPr>
              <w:t>358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19" w:hRule="atLeast"/>
          <w:jc w:val="center"/>
        </w:trPr>
        <w:tc>
          <w:tcPr>
            <w:tcW w:w="1771" w:type="dxa"/>
            <w:gridSpan w:val="2"/>
            <w:tcMar>
              <w:top w:w="16" w:type="dxa"/>
              <w:left w:w="16" w:type="dxa"/>
              <w:right w:w="16" w:type="dxa"/>
            </w:tcMar>
            <w:vAlign w:val="center"/>
          </w:tcPr>
          <w:p>
            <w:pPr>
              <w:adjustRightInd w:val="0"/>
              <w:snapToGrid w:val="0"/>
              <w:jc w:val="center"/>
              <w:rPr>
                <w:b/>
                <w:bCs/>
                <w:sz w:val="24"/>
                <w:highlight w:val="none"/>
              </w:rPr>
            </w:pPr>
            <w:r>
              <w:rPr>
                <w:b/>
                <w:bCs/>
                <w:sz w:val="24"/>
                <w:highlight w:val="none"/>
              </w:rPr>
              <w:t>建设性质</w:t>
            </w:r>
          </w:p>
        </w:tc>
        <w:tc>
          <w:tcPr>
            <w:tcW w:w="2513" w:type="dxa"/>
            <w:vAlign w:val="center"/>
          </w:tcPr>
          <w:p>
            <w:pPr>
              <w:jc w:val="left"/>
              <w:rPr>
                <w:sz w:val="24"/>
                <w:highlight w:val="none"/>
              </w:rPr>
            </w:pPr>
            <w:r>
              <w:rPr>
                <w:sz w:val="24"/>
                <w:highlight w:val="none"/>
              </w:rPr>
              <w:sym w:font="Wingdings 2" w:char="0052"/>
            </w:r>
            <w:r>
              <w:rPr>
                <w:sz w:val="24"/>
                <w:highlight w:val="none"/>
              </w:rPr>
              <w:t>新建（迁建）</w:t>
            </w:r>
          </w:p>
          <w:p>
            <w:pPr>
              <w:jc w:val="left"/>
              <w:rPr>
                <w:sz w:val="24"/>
                <w:highlight w:val="none"/>
              </w:rPr>
            </w:pPr>
            <w:r>
              <w:rPr>
                <w:sz w:val="24"/>
                <w:highlight w:val="none"/>
              </w:rPr>
              <w:sym w:font="Wingdings 2" w:char="00A3"/>
            </w:r>
            <w:r>
              <w:rPr>
                <w:sz w:val="24"/>
                <w:highlight w:val="none"/>
              </w:rPr>
              <w:t>改建</w:t>
            </w:r>
          </w:p>
          <w:p>
            <w:pPr>
              <w:jc w:val="left"/>
              <w:rPr>
                <w:sz w:val="24"/>
                <w:highlight w:val="none"/>
              </w:rPr>
            </w:pPr>
            <w:r>
              <w:rPr>
                <w:sz w:val="24"/>
                <w:highlight w:val="none"/>
              </w:rPr>
              <w:sym w:font="Wingdings 2" w:char="00A3"/>
            </w:r>
            <w:r>
              <w:rPr>
                <w:sz w:val="24"/>
                <w:highlight w:val="none"/>
              </w:rPr>
              <w:t>扩建</w:t>
            </w:r>
          </w:p>
          <w:p>
            <w:pPr>
              <w:jc w:val="left"/>
              <w:rPr>
                <w:sz w:val="24"/>
                <w:highlight w:val="none"/>
              </w:rPr>
            </w:pPr>
            <w:r>
              <w:rPr>
                <w:sz w:val="24"/>
                <w:highlight w:val="none"/>
              </w:rPr>
              <w:sym w:font="Wingdings 2" w:char="00A3"/>
            </w:r>
            <w:r>
              <w:rPr>
                <w:sz w:val="24"/>
                <w:highlight w:val="none"/>
              </w:rPr>
              <w:t>技术改造</w:t>
            </w:r>
          </w:p>
        </w:tc>
        <w:tc>
          <w:tcPr>
            <w:tcW w:w="1957" w:type="dxa"/>
            <w:vAlign w:val="center"/>
          </w:tcPr>
          <w:p>
            <w:pPr>
              <w:adjustRightInd w:val="0"/>
              <w:snapToGrid w:val="0"/>
              <w:jc w:val="center"/>
              <w:rPr>
                <w:b/>
                <w:bCs/>
                <w:sz w:val="24"/>
                <w:highlight w:val="none"/>
              </w:rPr>
            </w:pPr>
            <w:r>
              <w:rPr>
                <w:b/>
                <w:bCs/>
                <w:sz w:val="24"/>
                <w:highlight w:val="none"/>
              </w:rPr>
              <w:t>建设项目</w:t>
            </w:r>
          </w:p>
          <w:p>
            <w:pPr>
              <w:adjustRightInd w:val="0"/>
              <w:snapToGrid w:val="0"/>
              <w:jc w:val="center"/>
              <w:rPr>
                <w:b/>
                <w:bCs/>
                <w:sz w:val="24"/>
                <w:highlight w:val="none"/>
              </w:rPr>
            </w:pPr>
            <w:r>
              <w:rPr>
                <w:b/>
                <w:bCs/>
                <w:sz w:val="24"/>
                <w:highlight w:val="none"/>
              </w:rPr>
              <w:t>申报情形</w:t>
            </w:r>
          </w:p>
        </w:tc>
        <w:tc>
          <w:tcPr>
            <w:tcW w:w="3046" w:type="dxa"/>
            <w:vAlign w:val="center"/>
          </w:tcPr>
          <w:p>
            <w:pPr>
              <w:jc w:val="left"/>
              <w:rPr>
                <w:sz w:val="24"/>
                <w:highlight w:val="none"/>
              </w:rPr>
            </w:pPr>
            <w:r>
              <w:rPr>
                <w:sz w:val="24"/>
                <w:highlight w:val="none"/>
              </w:rPr>
              <w:sym w:font="Wingdings 2" w:char="0052"/>
            </w:r>
            <w:r>
              <w:rPr>
                <w:sz w:val="24"/>
                <w:highlight w:val="none"/>
              </w:rPr>
              <w:t>首次申报项目</w:t>
            </w:r>
          </w:p>
          <w:p>
            <w:pPr>
              <w:jc w:val="left"/>
              <w:rPr>
                <w:sz w:val="24"/>
                <w:highlight w:val="none"/>
              </w:rPr>
            </w:pPr>
            <w:r>
              <w:rPr>
                <w:sz w:val="24"/>
                <w:highlight w:val="none"/>
              </w:rPr>
              <w:sym w:font="Wingdings 2" w:char="00A3"/>
            </w:r>
            <w:r>
              <w:rPr>
                <w:sz w:val="24"/>
                <w:highlight w:val="none"/>
              </w:rPr>
              <w:t>不予批准后再次申报项目</w:t>
            </w:r>
          </w:p>
          <w:p>
            <w:pPr>
              <w:jc w:val="left"/>
              <w:rPr>
                <w:sz w:val="24"/>
                <w:highlight w:val="none"/>
              </w:rPr>
            </w:pPr>
            <w:r>
              <w:rPr>
                <w:sz w:val="24"/>
                <w:highlight w:val="none"/>
              </w:rPr>
              <w:sym w:font="Wingdings 2" w:char="00A3"/>
            </w:r>
            <w:r>
              <w:rPr>
                <w:sz w:val="24"/>
                <w:highlight w:val="none"/>
              </w:rPr>
              <w:t>超五年重新审核项目</w:t>
            </w:r>
          </w:p>
          <w:p>
            <w:pPr>
              <w:jc w:val="left"/>
              <w:rPr>
                <w:sz w:val="24"/>
                <w:highlight w:val="none"/>
              </w:rPr>
            </w:pPr>
            <w:r>
              <w:rPr>
                <w:sz w:val="24"/>
                <w:highlight w:val="none"/>
              </w:rPr>
              <w:sym w:font="Wingdings 2" w:char="00A3"/>
            </w:r>
            <w:r>
              <w:rPr>
                <w:sz w:val="24"/>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1771" w:type="dxa"/>
            <w:gridSpan w:val="2"/>
            <w:tcMar>
              <w:top w:w="16" w:type="dxa"/>
              <w:left w:w="16" w:type="dxa"/>
              <w:right w:w="16" w:type="dxa"/>
            </w:tcMar>
            <w:vAlign w:val="center"/>
          </w:tcPr>
          <w:p>
            <w:pPr>
              <w:adjustRightInd w:val="0"/>
              <w:snapToGrid w:val="0"/>
              <w:jc w:val="center"/>
              <w:rPr>
                <w:b/>
                <w:bCs/>
                <w:sz w:val="24"/>
                <w:highlight w:val="none"/>
              </w:rPr>
            </w:pPr>
            <w:r>
              <w:rPr>
                <w:b/>
                <w:bCs/>
                <w:sz w:val="24"/>
                <w:highlight w:val="none"/>
              </w:rPr>
              <w:t>项目审批</w:t>
            </w:r>
          </w:p>
          <w:p>
            <w:pPr>
              <w:adjustRightInd w:val="0"/>
              <w:snapToGrid w:val="0"/>
              <w:jc w:val="center"/>
              <w:rPr>
                <w:b/>
                <w:bCs/>
                <w:sz w:val="24"/>
                <w:highlight w:val="none"/>
              </w:rPr>
            </w:pPr>
            <w:r>
              <w:rPr>
                <w:b/>
                <w:bCs/>
                <w:sz w:val="24"/>
                <w:highlight w:val="none"/>
              </w:rPr>
              <w:t>（核准/备案）</w:t>
            </w:r>
          </w:p>
          <w:p>
            <w:pPr>
              <w:adjustRightInd w:val="0"/>
              <w:snapToGrid w:val="0"/>
              <w:jc w:val="center"/>
              <w:rPr>
                <w:b/>
                <w:bCs/>
                <w:sz w:val="24"/>
                <w:highlight w:val="none"/>
              </w:rPr>
            </w:pPr>
            <w:r>
              <w:rPr>
                <w:b/>
                <w:bCs/>
                <w:sz w:val="24"/>
                <w:highlight w:val="none"/>
              </w:rPr>
              <w:t>部门</w:t>
            </w:r>
          </w:p>
        </w:tc>
        <w:tc>
          <w:tcPr>
            <w:tcW w:w="2513" w:type="dxa"/>
            <w:vAlign w:val="center"/>
          </w:tcPr>
          <w:p>
            <w:pPr>
              <w:adjustRightInd w:val="0"/>
              <w:snapToGrid w:val="0"/>
              <w:jc w:val="center"/>
              <w:rPr>
                <w:sz w:val="24"/>
                <w:highlight w:val="none"/>
              </w:rPr>
            </w:pPr>
            <w:r>
              <w:rPr>
                <w:rFonts w:hint="eastAsia"/>
                <w:sz w:val="24"/>
                <w:highlight w:val="green"/>
              </w:rPr>
              <w:t>/</w:t>
            </w:r>
          </w:p>
        </w:tc>
        <w:tc>
          <w:tcPr>
            <w:tcW w:w="1957" w:type="dxa"/>
            <w:vAlign w:val="center"/>
          </w:tcPr>
          <w:p>
            <w:pPr>
              <w:adjustRightInd w:val="0"/>
              <w:snapToGrid w:val="0"/>
              <w:jc w:val="center"/>
              <w:rPr>
                <w:b/>
                <w:bCs/>
                <w:sz w:val="24"/>
                <w:highlight w:val="none"/>
              </w:rPr>
            </w:pPr>
            <w:r>
              <w:rPr>
                <w:b/>
                <w:bCs/>
                <w:sz w:val="24"/>
                <w:highlight w:val="none"/>
              </w:rPr>
              <w:t>项目审批</w:t>
            </w:r>
          </w:p>
          <w:p>
            <w:pPr>
              <w:adjustRightInd w:val="0"/>
              <w:snapToGrid w:val="0"/>
              <w:jc w:val="center"/>
              <w:rPr>
                <w:b/>
                <w:bCs/>
                <w:sz w:val="24"/>
                <w:highlight w:val="none"/>
              </w:rPr>
            </w:pPr>
            <w:r>
              <w:rPr>
                <w:b/>
                <w:bCs/>
                <w:sz w:val="24"/>
                <w:highlight w:val="none"/>
              </w:rPr>
              <w:t>（核准/备案）</w:t>
            </w:r>
          </w:p>
          <w:p>
            <w:pPr>
              <w:adjustRightInd w:val="0"/>
              <w:snapToGrid w:val="0"/>
              <w:jc w:val="center"/>
              <w:rPr>
                <w:b/>
                <w:bCs/>
                <w:sz w:val="24"/>
                <w:highlight w:val="none"/>
              </w:rPr>
            </w:pPr>
            <w:r>
              <w:rPr>
                <w:b/>
                <w:bCs/>
                <w:sz w:val="24"/>
                <w:highlight w:val="none"/>
              </w:rPr>
              <w:t>文号</w:t>
            </w:r>
          </w:p>
        </w:tc>
        <w:tc>
          <w:tcPr>
            <w:tcW w:w="3046" w:type="dxa"/>
            <w:vAlign w:val="center"/>
          </w:tcPr>
          <w:p>
            <w:pPr>
              <w:adjustRightInd w:val="0"/>
              <w:snapToGrid w:val="0"/>
              <w:jc w:val="center"/>
              <w:rPr>
                <w:sz w:val="24"/>
                <w:highlight w:val="none"/>
              </w:rPr>
            </w:pPr>
            <w:r>
              <w:rPr>
                <w:rFonts w:hint="eastAsia"/>
                <w:sz w:val="24"/>
                <w:highlight w:val="gree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2" w:hRule="atLeast"/>
          <w:jc w:val="center"/>
        </w:trPr>
        <w:tc>
          <w:tcPr>
            <w:tcW w:w="1771" w:type="dxa"/>
            <w:gridSpan w:val="2"/>
            <w:tcMar>
              <w:top w:w="16" w:type="dxa"/>
              <w:left w:w="16" w:type="dxa"/>
              <w:right w:w="16" w:type="dxa"/>
            </w:tcMar>
            <w:vAlign w:val="center"/>
          </w:tcPr>
          <w:p>
            <w:pPr>
              <w:adjustRightInd w:val="0"/>
              <w:snapToGrid w:val="0"/>
              <w:jc w:val="center"/>
              <w:rPr>
                <w:b/>
                <w:bCs/>
                <w:sz w:val="24"/>
                <w:highlight w:val="none"/>
              </w:rPr>
            </w:pPr>
            <w:r>
              <w:rPr>
                <w:b/>
                <w:bCs/>
                <w:sz w:val="24"/>
                <w:highlight w:val="none"/>
              </w:rPr>
              <w:t>总投资（万元）</w:t>
            </w:r>
          </w:p>
        </w:tc>
        <w:tc>
          <w:tcPr>
            <w:tcW w:w="2513" w:type="dxa"/>
            <w:vAlign w:val="center"/>
          </w:tcPr>
          <w:p>
            <w:pPr>
              <w:adjustRightInd w:val="0"/>
              <w:snapToGrid w:val="0"/>
              <w:jc w:val="center"/>
              <w:rPr>
                <w:rFonts w:hint="default" w:eastAsia="宋体"/>
                <w:sz w:val="24"/>
                <w:highlight w:val="none"/>
                <w:lang w:val="en-US" w:eastAsia="zh-CN"/>
              </w:rPr>
            </w:pPr>
            <w:r>
              <w:rPr>
                <w:rFonts w:hint="eastAsia"/>
                <w:sz w:val="24"/>
                <w:highlight w:val="none"/>
                <w:lang w:val="en-US" w:eastAsia="zh-CN"/>
              </w:rPr>
              <w:t>2000</w:t>
            </w:r>
          </w:p>
        </w:tc>
        <w:tc>
          <w:tcPr>
            <w:tcW w:w="1957" w:type="dxa"/>
            <w:tcMar>
              <w:top w:w="16" w:type="dxa"/>
              <w:left w:w="16" w:type="dxa"/>
              <w:right w:w="16" w:type="dxa"/>
            </w:tcMar>
            <w:vAlign w:val="center"/>
          </w:tcPr>
          <w:p>
            <w:pPr>
              <w:adjustRightInd w:val="0"/>
              <w:snapToGrid w:val="0"/>
              <w:jc w:val="center"/>
              <w:rPr>
                <w:b/>
                <w:bCs/>
                <w:sz w:val="24"/>
                <w:highlight w:val="none"/>
              </w:rPr>
            </w:pPr>
            <w:r>
              <w:rPr>
                <w:b/>
                <w:bCs/>
                <w:sz w:val="24"/>
                <w:highlight w:val="none"/>
              </w:rPr>
              <w:t>环保投资（万元）</w:t>
            </w:r>
          </w:p>
        </w:tc>
        <w:tc>
          <w:tcPr>
            <w:tcW w:w="3046" w:type="dxa"/>
            <w:vAlign w:val="center"/>
          </w:tcPr>
          <w:p>
            <w:pPr>
              <w:adjustRightInd w:val="0"/>
              <w:snapToGrid w:val="0"/>
              <w:jc w:val="center"/>
              <w:rPr>
                <w:rFonts w:hint="default" w:eastAsia="宋体"/>
                <w:sz w:val="24"/>
                <w:highlight w:val="none"/>
                <w:lang w:val="en-US" w:eastAsia="zh-CN"/>
              </w:rPr>
            </w:pPr>
            <w:r>
              <w:rPr>
                <w:rFonts w:hint="eastAsia"/>
                <w:sz w:val="24"/>
                <w:highlight w:val="none"/>
                <w:lang w:val="en-US" w:eastAsia="zh-CN"/>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7" w:hRule="atLeast"/>
          <w:jc w:val="center"/>
        </w:trPr>
        <w:tc>
          <w:tcPr>
            <w:tcW w:w="1771" w:type="dxa"/>
            <w:gridSpan w:val="2"/>
            <w:tcMar>
              <w:top w:w="16" w:type="dxa"/>
              <w:left w:w="16" w:type="dxa"/>
              <w:right w:w="16" w:type="dxa"/>
            </w:tcMar>
            <w:vAlign w:val="center"/>
          </w:tcPr>
          <w:p>
            <w:pPr>
              <w:adjustRightInd w:val="0"/>
              <w:snapToGrid w:val="0"/>
              <w:jc w:val="center"/>
              <w:rPr>
                <w:b/>
                <w:bCs/>
                <w:sz w:val="24"/>
                <w:highlight w:val="none"/>
              </w:rPr>
            </w:pPr>
            <w:r>
              <w:rPr>
                <w:b/>
                <w:bCs/>
                <w:sz w:val="24"/>
                <w:highlight w:val="none"/>
              </w:rPr>
              <w:t>环保投资</w:t>
            </w:r>
          </w:p>
          <w:p>
            <w:pPr>
              <w:adjustRightInd w:val="0"/>
              <w:snapToGrid w:val="0"/>
              <w:jc w:val="center"/>
              <w:rPr>
                <w:b/>
                <w:bCs/>
                <w:sz w:val="24"/>
                <w:highlight w:val="none"/>
              </w:rPr>
            </w:pPr>
            <w:r>
              <w:rPr>
                <w:b/>
                <w:bCs/>
                <w:sz w:val="24"/>
                <w:highlight w:val="none"/>
              </w:rPr>
              <w:t>占比（%）</w:t>
            </w:r>
          </w:p>
        </w:tc>
        <w:tc>
          <w:tcPr>
            <w:tcW w:w="2513" w:type="dxa"/>
            <w:vAlign w:val="center"/>
          </w:tcPr>
          <w:p>
            <w:pPr>
              <w:adjustRightInd w:val="0"/>
              <w:snapToGrid w:val="0"/>
              <w:jc w:val="center"/>
              <w:rPr>
                <w:rFonts w:hint="default" w:eastAsia="宋体"/>
                <w:sz w:val="24"/>
                <w:highlight w:val="none"/>
                <w:lang w:val="en-US" w:eastAsia="zh-CN"/>
              </w:rPr>
            </w:pPr>
            <w:r>
              <w:rPr>
                <w:rFonts w:hint="eastAsia"/>
                <w:sz w:val="24"/>
                <w:highlight w:val="none"/>
                <w:lang w:val="en-US" w:eastAsia="zh-CN"/>
              </w:rPr>
              <w:t>2.5</w:t>
            </w:r>
          </w:p>
        </w:tc>
        <w:tc>
          <w:tcPr>
            <w:tcW w:w="1957" w:type="dxa"/>
            <w:tcMar>
              <w:top w:w="16" w:type="dxa"/>
              <w:left w:w="16" w:type="dxa"/>
              <w:right w:w="16" w:type="dxa"/>
            </w:tcMar>
            <w:vAlign w:val="center"/>
          </w:tcPr>
          <w:p>
            <w:pPr>
              <w:adjustRightInd w:val="0"/>
              <w:snapToGrid w:val="0"/>
              <w:jc w:val="center"/>
              <w:rPr>
                <w:b/>
                <w:bCs/>
                <w:sz w:val="24"/>
                <w:highlight w:val="none"/>
              </w:rPr>
            </w:pPr>
            <w:r>
              <w:rPr>
                <w:b/>
                <w:bCs/>
                <w:sz w:val="24"/>
                <w:highlight w:val="none"/>
              </w:rPr>
              <w:t>施工工期</w:t>
            </w:r>
          </w:p>
        </w:tc>
        <w:tc>
          <w:tcPr>
            <w:tcW w:w="3046" w:type="dxa"/>
            <w:vAlign w:val="center"/>
          </w:tcPr>
          <w:p>
            <w:pPr>
              <w:adjustRightInd w:val="0"/>
              <w:snapToGrid w:val="0"/>
              <w:jc w:val="center"/>
              <w:rPr>
                <w:sz w:val="24"/>
                <w:highlight w:val="none"/>
              </w:rPr>
            </w:pPr>
            <w:r>
              <w:rPr>
                <w:rFonts w:hint="eastAsia"/>
                <w:sz w:val="24"/>
                <w:highlight w:val="none"/>
                <w:lang w:val="en-US" w:eastAsia="zh-CN"/>
              </w:rPr>
              <w:t>2</w:t>
            </w:r>
            <w:r>
              <w:rPr>
                <w:sz w:val="24"/>
                <w:highlight w:val="non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7" w:hRule="atLeast"/>
          <w:jc w:val="center"/>
        </w:trPr>
        <w:tc>
          <w:tcPr>
            <w:tcW w:w="1771" w:type="dxa"/>
            <w:gridSpan w:val="2"/>
            <w:tcMar>
              <w:top w:w="16" w:type="dxa"/>
              <w:left w:w="16" w:type="dxa"/>
              <w:right w:w="16" w:type="dxa"/>
            </w:tcMar>
            <w:vAlign w:val="center"/>
          </w:tcPr>
          <w:p>
            <w:pPr>
              <w:adjustRightInd w:val="0"/>
              <w:snapToGrid w:val="0"/>
              <w:jc w:val="center"/>
              <w:rPr>
                <w:b/>
                <w:bCs/>
                <w:sz w:val="24"/>
                <w:highlight w:val="none"/>
              </w:rPr>
            </w:pPr>
            <w:r>
              <w:rPr>
                <w:b/>
                <w:bCs/>
                <w:sz w:val="24"/>
                <w:highlight w:val="none"/>
              </w:rPr>
              <w:t>是否</w:t>
            </w:r>
          </w:p>
          <w:p>
            <w:pPr>
              <w:adjustRightInd w:val="0"/>
              <w:snapToGrid w:val="0"/>
              <w:jc w:val="center"/>
              <w:rPr>
                <w:b/>
                <w:bCs/>
                <w:sz w:val="24"/>
                <w:highlight w:val="none"/>
              </w:rPr>
            </w:pPr>
            <w:r>
              <w:rPr>
                <w:b/>
                <w:bCs/>
                <w:sz w:val="24"/>
                <w:highlight w:val="none"/>
              </w:rPr>
              <w:t>开工建设</w:t>
            </w:r>
          </w:p>
        </w:tc>
        <w:tc>
          <w:tcPr>
            <w:tcW w:w="2513" w:type="dxa"/>
            <w:vAlign w:val="center"/>
          </w:tcPr>
          <w:p>
            <w:pPr>
              <w:adjustRightInd w:val="0"/>
              <w:snapToGrid w:val="0"/>
              <w:rPr>
                <w:sz w:val="24"/>
                <w:highlight w:val="none"/>
              </w:rPr>
            </w:pPr>
            <w:r>
              <w:rPr>
                <w:sz w:val="24"/>
                <w:highlight w:val="none"/>
              </w:rPr>
              <w:sym w:font="Wingdings 2" w:char="0052"/>
            </w:r>
            <w:r>
              <w:rPr>
                <w:sz w:val="24"/>
                <w:highlight w:val="none"/>
              </w:rPr>
              <w:t>否</w:t>
            </w:r>
          </w:p>
          <w:p>
            <w:pPr>
              <w:adjustRightInd w:val="0"/>
              <w:snapToGrid w:val="0"/>
              <w:rPr>
                <w:sz w:val="24"/>
                <w:highlight w:val="none"/>
              </w:rPr>
            </w:pPr>
            <w:r>
              <w:rPr>
                <w:sz w:val="24"/>
                <w:highlight w:val="none"/>
              </w:rPr>
              <w:sym w:font="Wingdings 2" w:char="00A3"/>
            </w:r>
            <w:r>
              <w:rPr>
                <w:sz w:val="24"/>
                <w:highlight w:val="none"/>
              </w:rPr>
              <w:t>是：</w:t>
            </w:r>
            <w:r>
              <w:rPr>
                <w:sz w:val="24"/>
                <w:highlight w:val="none"/>
                <w:u w:val="single"/>
              </w:rPr>
              <w:t xml:space="preserve">             </w:t>
            </w:r>
          </w:p>
        </w:tc>
        <w:tc>
          <w:tcPr>
            <w:tcW w:w="1957" w:type="dxa"/>
            <w:tcMar>
              <w:top w:w="16" w:type="dxa"/>
              <w:left w:w="16" w:type="dxa"/>
              <w:right w:w="16" w:type="dxa"/>
            </w:tcMar>
            <w:vAlign w:val="center"/>
          </w:tcPr>
          <w:p>
            <w:pPr>
              <w:adjustRightInd w:val="0"/>
              <w:snapToGrid w:val="0"/>
              <w:jc w:val="center"/>
              <w:rPr>
                <w:b/>
                <w:bCs/>
                <w:spacing w:val="-6"/>
                <w:sz w:val="24"/>
                <w:highlight w:val="none"/>
              </w:rPr>
            </w:pPr>
            <w:r>
              <w:rPr>
                <w:b/>
                <w:bCs/>
                <w:spacing w:val="-6"/>
                <w:sz w:val="24"/>
                <w:highlight w:val="none"/>
              </w:rPr>
              <w:t>用地面积</w:t>
            </w:r>
          </w:p>
          <w:p>
            <w:pPr>
              <w:adjustRightInd w:val="0"/>
              <w:snapToGrid w:val="0"/>
              <w:jc w:val="center"/>
              <w:rPr>
                <w:b/>
                <w:bCs/>
                <w:sz w:val="24"/>
                <w:highlight w:val="none"/>
              </w:rPr>
            </w:pPr>
            <w:r>
              <w:rPr>
                <w:b/>
                <w:bCs/>
                <w:spacing w:val="-6"/>
                <w:sz w:val="24"/>
                <w:highlight w:val="none"/>
              </w:rPr>
              <w:t>（m</w:t>
            </w:r>
            <w:r>
              <w:rPr>
                <w:b/>
                <w:bCs/>
                <w:spacing w:val="-6"/>
                <w:sz w:val="24"/>
                <w:highlight w:val="none"/>
                <w:vertAlign w:val="superscript"/>
              </w:rPr>
              <w:t>2</w:t>
            </w:r>
            <w:r>
              <w:rPr>
                <w:b/>
                <w:bCs/>
                <w:spacing w:val="-6"/>
                <w:sz w:val="24"/>
                <w:highlight w:val="none"/>
              </w:rPr>
              <w:t>）</w:t>
            </w:r>
          </w:p>
        </w:tc>
        <w:tc>
          <w:tcPr>
            <w:tcW w:w="3046" w:type="dxa"/>
            <w:vAlign w:val="center"/>
          </w:tcPr>
          <w:p>
            <w:pPr>
              <w:spacing w:line="380" w:lineRule="exact"/>
              <w:jc w:val="center"/>
              <w:rPr>
                <w:kern w:val="0"/>
                <w:sz w:val="24"/>
                <w:highlight w:val="none"/>
              </w:rPr>
            </w:pPr>
            <w:r>
              <w:rPr>
                <w:rFonts w:hint="eastAsia"/>
                <w:kern w:val="0"/>
                <w:sz w:val="24"/>
                <w:highlight w:val="none"/>
              </w:rPr>
              <w:t>1480（建筑面积）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1771" w:type="dxa"/>
            <w:gridSpan w:val="2"/>
            <w:vAlign w:val="center"/>
          </w:tcPr>
          <w:p>
            <w:pPr>
              <w:autoSpaceDE w:val="0"/>
              <w:autoSpaceDN w:val="0"/>
              <w:adjustRightInd w:val="0"/>
              <w:snapToGrid w:val="0"/>
              <w:jc w:val="center"/>
              <w:rPr>
                <w:b/>
                <w:bCs/>
                <w:kern w:val="0"/>
                <w:sz w:val="24"/>
                <w:highlight w:val="none"/>
              </w:rPr>
            </w:pPr>
            <w:r>
              <w:rPr>
                <w:b/>
                <w:bCs/>
                <w:kern w:val="0"/>
                <w:sz w:val="24"/>
                <w:highlight w:val="none"/>
              </w:rPr>
              <w:t>专项评价设置情况</w:t>
            </w:r>
          </w:p>
        </w:tc>
        <w:tc>
          <w:tcPr>
            <w:tcW w:w="7516" w:type="dxa"/>
            <w:gridSpan w:val="3"/>
            <w:vAlign w:val="center"/>
          </w:tcPr>
          <w:p>
            <w:pPr>
              <w:autoSpaceDE w:val="0"/>
              <w:autoSpaceDN w:val="0"/>
              <w:adjustRightInd w:val="0"/>
              <w:snapToGrid w:val="0"/>
              <w:jc w:val="center"/>
              <w:rPr>
                <w:kern w:val="0"/>
                <w:sz w:val="24"/>
                <w:highlight w:val="none"/>
              </w:rPr>
            </w:pPr>
            <w:r>
              <w:rPr>
                <w:kern w:val="0"/>
                <w:sz w:val="24"/>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1" w:hRule="atLeast"/>
          <w:jc w:val="center"/>
        </w:trPr>
        <w:tc>
          <w:tcPr>
            <w:tcW w:w="1771" w:type="dxa"/>
            <w:gridSpan w:val="2"/>
            <w:vAlign w:val="center"/>
          </w:tcPr>
          <w:p>
            <w:pPr>
              <w:autoSpaceDE w:val="0"/>
              <w:autoSpaceDN w:val="0"/>
              <w:adjustRightInd w:val="0"/>
              <w:snapToGrid w:val="0"/>
              <w:jc w:val="center"/>
              <w:rPr>
                <w:b/>
                <w:bCs/>
                <w:kern w:val="0"/>
                <w:sz w:val="24"/>
                <w:highlight w:val="none"/>
              </w:rPr>
            </w:pPr>
            <w:r>
              <w:rPr>
                <w:b/>
                <w:bCs/>
                <w:kern w:val="0"/>
                <w:sz w:val="24"/>
                <w:highlight w:val="none"/>
              </w:rPr>
              <w:t>规划情况</w:t>
            </w:r>
          </w:p>
        </w:tc>
        <w:tc>
          <w:tcPr>
            <w:tcW w:w="7516" w:type="dxa"/>
            <w:gridSpan w:val="3"/>
            <w:vAlign w:val="center"/>
          </w:tcPr>
          <w:p>
            <w:pPr>
              <w:adjustRightInd w:val="0"/>
              <w:snapToGrid w:val="0"/>
              <w:spacing w:line="360" w:lineRule="auto"/>
              <w:rPr>
                <w:sz w:val="24"/>
                <w:highlight w:val="none"/>
              </w:rPr>
            </w:pPr>
            <w:r>
              <w:rPr>
                <w:rFonts w:hint="eastAsia"/>
                <w:sz w:val="24"/>
                <w:highlight w:val="none"/>
              </w:rPr>
              <w:t>规划名称：苏州国家高新技术产业开发区建设规划（2</w:t>
            </w:r>
            <w:r>
              <w:rPr>
                <w:sz w:val="24"/>
                <w:highlight w:val="none"/>
              </w:rPr>
              <w:t>015-2030</w:t>
            </w:r>
            <w:r>
              <w:rPr>
                <w:rFonts w:hint="eastAsia"/>
                <w:sz w:val="24"/>
                <w:highlight w:val="none"/>
              </w:rPr>
              <w:t>年）</w:t>
            </w:r>
          </w:p>
          <w:p>
            <w:pPr>
              <w:adjustRightInd w:val="0"/>
              <w:snapToGrid w:val="0"/>
              <w:spacing w:line="360" w:lineRule="auto"/>
              <w:rPr>
                <w:sz w:val="24"/>
                <w:highlight w:val="none"/>
              </w:rPr>
            </w:pPr>
            <w:r>
              <w:rPr>
                <w:rFonts w:hint="eastAsia"/>
                <w:sz w:val="24"/>
                <w:highlight w:val="none"/>
              </w:rPr>
              <w:t>审批机关：苏州市政府</w:t>
            </w:r>
          </w:p>
          <w:p>
            <w:pPr>
              <w:adjustRightInd w:val="0"/>
              <w:snapToGrid w:val="0"/>
              <w:spacing w:line="360" w:lineRule="auto"/>
              <w:rPr>
                <w:sz w:val="24"/>
                <w:highlight w:val="none"/>
              </w:rPr>
            </w:pPr>
            <w:r>
              <w:rPr>
                <w:rFonts w:hint="eastAsia"/>
                <w:sz w:val="24"/>
                <w:highlight w:val="none"/>
              </w:rPr>
              <w:t>审批文件名称及文号：/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1771" w:type="dxa"/>
            <w:gridSpan w:val="2"/>
            <w:vAlign w:val="center"/>
          </w:tcPr>
          <w:p>
            <w:pPr>
              <w:autoSpaceDE w:val="0"/>
              <w:autoSpaceDN w:val="0"/>
              <w:adjustRightInd w:val="0"/>
              <w:snapToGrid w:val="0"/>
              <w:jc w:val="center"/>
              <w:rPr>
                <w:b/>
                <w:bCs/>
                <w:kern w:val="0"/>
                <w:sz w:val="24"/>
                <w:highlight w:val="none"/>
              </w:rPr>
            </w:pPr>
            <w:r>
              <w:rPr>
                <w:b/>
                <w:bCs/>
                <w:kern w:val="0"/>
                <w:sz w:val="24"/>
                <w:highlight w:val="none"/>
              </w:rPr>
              <w:t>规划环境</w:t>
            </w:r>
          </w:p>
          <w:p>
            <w:pPr>
              <w:autoSpaceDE w:val="0"/>
              <w:autoSpaceDN w:val="0"/>
              <w:adjustRightInd w:val="0"/>
              <w:snapToGrid w:val="0"/>
              <w:jc w:val="center"/>
              <w:rPr>
                <w:b/>
                <w:bCs/>
                <w:kern w:val="0"/>
                <w:sz w:val="24"/>
                <w:highlight w:val="none"/>
              </w:rPr>
            </w:pPr>
            <w:r>
              <w:rPr>
                <w:b/>
                <w:bCs/>
                <w:kern w:val="0"/>
                <w:sz w:val="24"/>
                <w:highlight w:val="none"/>
              </w:rPr>
              <w:t>影响评价情况</w:t>
            </w:r>
          </w:p>
        </w:tc>
        <w:tc>
          <w:tcPr>
            <w:tcW w:w="7516" w:type="dxa"/>
            <w:gridSpan w:val="3"/>
            <w:vAlign w:val="center"/>
          </w:tcPr>
          <w:p>
            <w:pPr>
              <w:adjustRightInd w:val="0"/>
              <w:snapToGrid w:val="0"/>
              <w:spacing w:line="360" w:lineRule="auto"/>
              <w:rPr>
                <w:sz w:val="24"/>
                <w:highlight w:val="none"/>
              </w:rPr>
            </w:pPr>
            <w:r>
              <w:rPr>
                <w:sz w:val="24"/>
                <w:highlight w:val="none"/>
              </w:rPr>
              <w:t>规划</w:t>
            </w:r>
            <w:r>
              <w:rPr>
                <w:rFonts w:hint="eastAsia"/>
                <w:sz w:val="24"/>
                <w:highlight w:val="none"/>
              </w:rPr>
              <w:t>环评</w:t>
            </w:r>
            <w:r>
              <w:rPr>
                <w:sz w:val="24"/>
                <w:highlight w:val="none"/>
              </w:rPr>
              <w:t xml:space="preserve">名称：苏州高新技术产业开发区开发建设规划（2015-2030年）环境影响报告书。 </w:t>
            </w:r>
            <w:r>
              <w:rPr>
                <w:sz w:val="24"/>
                <w:highlight w:val="none"/>
              </w:rPr>
              <w:br w:type="textWrapping"/>
            </w:r>
            <w:r>
              <w:rPr>
                <w:sz w:val="24"/>
                <w:highlight w:val="none"/>
              </w:rPr>
              <w:t xml:space="preserve">召集审查机关：中华人民共和国环境保护部。 </w:t>
            </w:r>
            <w:r>
              <w:rPr>
                <w:sz w:val="24"/>
                <w:highlight w:val="none"/>
              </w:rPr>
              <w:br w:type="textWrapping"/>
            </w:r>
            <w:r>
              <w:rPr>
                <w:sz w:val="24"/>
                <w:highlight w:val="none"/>
              </w:rPr>
              <w:t>审查文件名称及文号：《关于&lt;苏州高新技术产业开发区开发建设规划（2015-2030年）环境影响报告书&gt;的审查意见》（环审[2016]158号）。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73" w:hRule="atLeast"/>
          <w:jc w:val="center"/>
        </w:trPr>
        <w:tc>
          <w:tcPr>
            <w:tcW w:w="444" w:type="dxa"/>
            <w:vAlign w:val="center"/>
          </w:tcPr>
          <w:p>
            <w:pPr>
              <w:spacing w:line="360" w:lineRule="auto"/>
              <w:rPr>
                <w:kern w:val="0"/>
                <w:sz w:val="24"/>
                <w:highlight w:val="yellow"/>
              </w:rPr>
            </w:pPr>
            <w:r>
              <w:rPr>
                <w:b/>
                <w:bCs/>
                <w:kern w:val="0"/>
                <w:sz w:val="24"/>
                <w:highlight w:val="yellow"/>
              </w:rPr>
              <w:t>规划及规划环境影响评价符合性分析</w:t>
            </w:r>
          </w:p>
        </w:tc>
        <w:tc>
          <w:tcPr>
            <w:tcW w:w="8843" w:type="dxa"/>
            <w:gridSpan w:val="4"/>
            <w:vAlign w:val="center"/>
          </w:tcPr>
          <w:p>
            <w:pPr>
              <w:tabs>
                <w:tab w:val="left" w:pos="2160"/>
              </w:tabs>
              <w:spacing w:line="360" w:lineRule="auto"/>
              <w:ind w:firstLine="482" w:firstLineChars="200"/>
              <w:rPr>
                <w:b/>
                <w:bCs/>
                <w:sz w:val="24"/>
                <w:highlight w:val="none"/>
              </w:rPr>
            </w:pPr>
            <w:r>
              <w:rPr>
                <w:b/>
                <w:bCs/>
                <w:sz w:val="24"/>
                <w:highlight w:val="none"/>
              </w:rPr>
              <w:t>（1）与</w:t>
            </w:r>
            <w:r>
              <w:rPr>
                <w:rFonts w:hint="eastAsia"/>
                <w:b/>
                <w:bCs/>
                <w:sz w:val="24"/>
                <w:highlight w:val="none"/>
              </w:rPr>
              <w:t>《苏州国家高新技术产业开发区建设规划》（2015-2030年）</w:t>
            </w:r>
            <w:r>
              <w:rPr>
                <w:b/>
                <w:bCs/>
                <w:sz w:val="24"/>
                <w:highlight w:val="none"/>
              </w:rPr>
              <w:t>相符性分析</w:t>
            </w:r>
          </w:p>
          <w:p>
            <w:pPr>
              <w:tabs>
                <w:tab w:val="left" w:pos="2160"/>
              </w:tabs>
              <w:spacing w:line="360" w:lineRule="auto"/>
              <w:ind w:firstLine="480" w:firstLineChars="200"/>
              <w:rPr>
                <w:sz w:val="24"/>
                <w:highlight w:val="none"/>
              </w:rPr>
            </w:pPr>
            <w:r>
              <w:rPr>
                <w:sz w:val="24"/>
                <w:highlight w:val="none"/>
              </w:rPr>
              <w:t>苏州高新区于1995年编制了《苏州高新区总体规划》，规划面积为52.06km</w:t>
            </w:r>
            <w:r>
              <w:rPr>
                <w:sz w:val="24"/>
                <w:highlight w:val="none"/>
                <w:vertAlign w:val="superscript"/>
              </w:rPr>
              <w:t>2</w:t>
            </w:r>
            <w:r>
              <w:rPr>
                <w:sz w:val="24"/>
                <w:highlight w:val="none"/>
              </w:rPr>
              <w:t>，规划范围为当时的整个辖区范围。2002年区划调整后，苏州高新区于2003年适时编制了《苏州高新区协调发展规划》，规划面积为223km</w:t>
            </w:r>
            <w:r>
              <w:rPr>
                <w:sz w:val="24"/>
                <w:highlight w:val="none"/>
                <w:vertAlign w:val="superscript"/>
              </w:rPr>
              <w:t>2</w:t>
            </w:r>
            <w:r>
              <w:rPr>
                <w:sz w:val="24"/>
                <w:highlight w:val="none"/>
              </w:rPr>
              <w:t xml:space="preserve">，规划范围为整个辖区。为进一步促进苏州高新区城乡协调发展，推进国家创新型园区建设，保障高新区山水生态格局，指导苏州高新区二次创业的城乡建设与发展，2015年苏州高新区对2003年的规划做了修订和完善，编制了《苏州高新区开发建设规划（2015-2030年）》。《苏州国家高新技术产业开发区开发建设规划（2015-2030 年）环境影响报告书》于2016年11月29日取得了环境保护部的审查意见，批文号：环审[2016]158号。 </w:t>
            </w:r>
          </w:p>
          <w:p>
            <w:pPr>
              <w:tabs>
                <w:tab w:val="left" w:pos="2160"/>
              </w:tabs>
              <w:spacing w:line="360" w:lineRule="auto"/>
              <w:ind w:firstLine="480" w:firstLineChars="200"/>
              <w:rPr>
                <w:sz w:val="24"/>
                <w:highlight w:val="none"/>
              </w:rPr>
            </w:pPr>
            <w:r>
              <w:rPr>
                <w:sz w:val="24"/>
                <w:highlight w:val="none"/>
              </w:rPr>
              <w:t>苏州高新技术产业开发区规划如下：</w:t>
            </w:r>
          </w:p>
          <w:p>
            <w:pPr>
              <w:tabs>
                <w:tab w:val="left" w:pos="2160"/>
              </w:tabs>
              <w:spacing w:line="360" w:lineRule="auto"/>
              <w:ind w:firstLine="480" w:firstLineChars="200"/>
              <w:rPr>
                <w:sz w:val="24"/>
                <w:highlight w:val="none"/>
              </w:rPr>
            </w:pPr>
            <w:r>
              <w:rPr>
                <w:sz w:val="24"/>
                <w:highlight w:val="none"/>
              </w:rPr>
              <w:t xml:space="preserve">（1）规划目标 </w:t>
            </w:r>
          </w:p>
          <w:p>
            <w:pPr>
              <w:tabs>
                <w:tab w:val="left" w:pos="2160"/>
              </w:tabs>
              <w:spacing w:line="360" w:lineRule="auto"/>
              <w:ind w:firstLine="480" w:firstLineChars="200"/>
              <w:rPr>
                <w:sz w:val="24"/>
                <w:highlight w:val="none"/>
              </w:rPr>
            </w:pPr>
            <w:r>
              <w:rPr>
                <w:sz w:val="24"/>
                <w:highlight w:val="none"/>
              </w:rPr>
              <w:t xml:space="preserve">将苏州高新区建设成为先进产业的聚集区、体制创新和科技创新的先导区、生态环保的示范区、现代化的新城区。 </w:t>
            </w:r>
          </w:p>
          <w:p>
            <w:pPr>
              <w:tabs>
                <w:tab w:val="left" w:pos="2160"/>
              </w:tabs>
              <w:spacing w:line="360" w:lineRule="auto"/>
              <w:ind w:firstLine="480" w:firstLineChars="200"/>
              <w:rPr>
                <w:sz w:val="24"/>
                <w:highlight w:val="none"/>
              </w:rPr>
            </w:pPr>
            <w:r>
              <w:rPr>
                <w:sz w:val="24"/>
                <w:highlight w:val="none"/>
              </w:rPr>
              <w:t xml:space="preserve">（2）功能定位 </w:t>
            </w:r>
          </w:p>
          <w:p>
            <w:pPr>
              <w:tabs>
                <w:tab w:val="left" w:pos="2160"/>
              </w:tabs>
              <w:spacing w:line="360" w:lineRule="auto"/>
              <w:ind w:firstLine="480" w:firstLineChars="200"/>
              <w:rPr>
                <w:sz w:val="24"/>
                <w:highlight w:val="none"/>
              </w:rPr>
            </w:pPr>
            <w:r>
              <w:rPr>
                <w:sz w:val="24"/>
                <w:highlight w:val="none"/>
              </w:rPr>
              <w:t>真山真水新苏州：以城乡一体化为先导，以山水人文为特色，以科技、人文、生态、高效为主题，集创新科技生产、高端现代服务、人文生态居住、旅游休闲度假四大功能于一体的现代化城区。</w:t>
            </w:r>
          </w:p>
          <w:p>
            <w:pPr>
              <w:tabs>
                <w:tab w:val="left" w:pos="2160"/>
              </w:tabs>
              <w:spacing w:line="360" w:lineRule="auto"/>
              <w:ind w:firstLine="480" w:firstLineChars="200"/>
              <w:rPr>
                <w:sz w:val="24"/>
                <w:highlight w:val="none"/>
              </w:rPr>
            </w:pPr>
            <w:r>
              <w:rPr>
                <w:sz w:val="24"/>
                <w:highlight w:val="none"/>
              </w:rPr>
              <w:t xml:space="preserve">（3）规划范围 </w:t>
            </w:r>
          </w:p>
          <w:p>
            <w:pPr>
              <w:tabs>
                <w:tab w:val="left" w:pos="2160"/>
              </w:tabs>
              <w:spacing w:line="360" w:lineRule="auto"/>
              <w:ind w:firstLine="480" w:firstLineChars="200"/>
              <w:rPr>
                <w:sz w:val="24"/>
                <w:highlight w:val="yellow"/>
              </w:rPr>
            </w:pPr>
            <w:r>
              <w:rPr>
                <w:sz w:val="24"/>
                <w:highlight w:val="none"/>
              </w:rPr>
              <w:t xml:space="preserve">苏州高新区规划范围为：北至相城区交界处，南至与吴中区交界处，西至太湖大堤，东至京杭运河，规划范围内用地面积约为223平方公里。 </w:t>
            </w:r>
          </w:p>
          <w:p>
            <w:pPr>
              <w:tabs>
                <w:tab w:val="left" w:pos="2160"/>
              </w:tabs>
              <w:spacing w:line="360" w:lineRule="auto"/>
              <w:ind w:firstLine="480" w:firstLineChars="200"/>
              <w:rPr>
                <w:sz w:val="24"/>
                <w:highlight w:val="none"/>
              </w:rPr>
            </w:pPr>
            <w:r>
              <w:rPr>
                <w:sz w:val="24"/>
                <w:highlight w:val="none"/>
              </w:rPr>
              <w:t>（4）</w:t>
            </w:r>
            <w:r>
              <w:rPr>
                <w:rFonts w:hint="eastAsia"/>
                <w:sz w:val="24"/>
                <w:highlight w:val="none"/>
              </w:rPr>
              <w:t>产业定位及产业选择</w:t>
            </w:r>
            <w:r>
              <w:rPr>
                <w:sz w:val="24"/>
                <w:highlight w:val="none"/>
              </w:rPr>
              <w:t xml:space="preserve"> </w:t>
            </w:r>
          </w:p>
          <w:p>
            <w:pPr>
              <w:tabs>
                <w:tab w:val="left" w:pos="2160"/>
              </w:tabs>
              <w:spacing w:line="360" w:lineRule="auto"/>
              <w:ind w:firstLine="480" w:firstLineChars="200"/>
              <w:rPr>
                <w:rFonts w:hint="eastAsia"/>
                <w:sz w:val="24"/>
                <w:highlight w:val="none"/>
              </w:rPr>
            </w:pPr>
            <w:r>
              <w:rPr>
                <w:rFonts w:hint="eastAsia"/>
                <w:sz w:val="24"/>
                <w:highlight w:val="none"/>
              </w:rPr>
              <w:t>目前高新区转型主要为五个方面，一是加快从注重发展工业向先进制造业、高新技术产业和现代服务业协同发展转型；二是从偏重引进资金向重视引进先进技术、科学管理和高素质人才转型；三是从注重规模扩张向注重质量效益提升转型；四是从依靠政策优惠向提升综合服务功能转型；五是由消耗环境资源向环境友好型转型。</w:t>
            </w:r>
          </w:p>
          <w:p>
            <w:pPr>
              <w:tabs>
                <w:tab w:val="left" w:pos="2160"/>
              </w:tabs>
              <w:spacing w:line="360" w:lineRule="auto"/>
              <w:ind w:firstLine="480" w:firstLineChars="200"/>
              <w:rPr>
                <w:rFonts w:hint="eastAsia"/>
                <w:sz w:val="24"/>
                <w:highlight w:val="none"/>
              </w:rPr>
            </w:pPr>
            <w:r>
              <w:rPr>
                <w:rFonts w:hint="eastAsia"/>
                <w:sz w:val="24"/>
                <w:highlight w:val="none"/>
              </w:rPr>
              <w:t>全国各地高新区围绕科技创新、生态循环、新兴产业等方面实施发展转型策略，打造各类示范园区。苏州高新区正在经历“二次创业”浪潮，并已成为全国首批国家生态工业园示范园区，同时，在历版苏州市总体规划中，太湖周边地区的发展策略已经开始由原来的“西控”走向“西育”。这也进一步指引了苏州高新区产业发展的动向。在产业政策方面，国家层面上有国家十大产业振兴计划，省域层面亦有相应产业调整规划，自身层面也制订了“4+2”产业规划（新一代信息技术、轨道交通、新能源、医疗器械四大优先发展产业和电子信息、装备制造两大提升发展产业）。新兴产业的培育、现代产业体系构建以及自身产业品牌的塑造必然是苏州高新区实现发展突破的关键。对于区内的化工集中区，主要发展专用化学品产业、日用化学品产业、新材料产业、生物技术及医药。</w:t>
            </w:r>
          </w:p>
          <w:p>
            <w:pPr>
              <w:tabs>
                <w:tab w:val="left" w:pos="2160"/>
              </w:tabs>
              <w:spacing w:line="360" w:lineRule="auto"/>
              <w:ind w:firstLine="480" w:firstLineChars="200"/>
              <w:rPr>
                <w:rFonts w:hint="eastAsia"/>
                <w:sz w:val="24"/>
                <w:highlight w:val="none"/>
              </w:rPr>
            </w:pPr>
            <w:r>
              <w:rPr>
                <w:rFonts w:hint="eastAsia"/>
                <w:sz w:val="24"/>
                <w:highlight w:val="none"/>
              </w:rPr>
              <w:t>综合考虑以上因素，并结合苏州高新区目前自身的产业发展基础，将其未来的产业定位内容确定如下：</w:t>
            </w:r>
          </w:p>
          <w:p>
            <w:pPr>
              <w:tabs>
                <w:tab w:val="left" w:pos="2160"/>
              </w:tabs>
              <w:spacing w:line="360" w:lineRule="auto"/>
              <w:ind w:firstLine="480" w:firstLineChars="200"/>
              <w:rPr>
                <w:rFonts w:hint="eastAsia"/>
                <w:sz w:val="24"/>
                <w:highlight w:val="none"/>
              </w:rPr>
            </w:pPr>
            <w:r>
              <w:rPr>
                <w:rFonts w:hint="eastAsia"/>
                <w:sz w:val="24"/>
                <w:highlight w:val="none"/>
              </w:rPr>
              <w:t>国家高新区产业持续创新和生态经济培育的示范区；</w:t>
            </w:r>
          </w:p>
          <w:p>
            <w:pPr>
              <w:tabs>
                <w:tab w:val="left" w:pos="2160"/>
              </w:tabs>
              <w:spacing w:line="360" w:lineRule="auto"/>
              <w:ind w:firstLine="480" w:firstLineChars="200"/>
              <w:rPr>
                <w:rFonts w:hint="eastAsia"/>
                <w:sz w:val="24"/>
                <w:highlight w:val="none"/>
              </w:rPr>
            </w:pPr>
            <w:r>
              <w:rPr>
                <w:rFonts w:hint="eastAsia"/>
                <w:sz w:val="24"/>
                <w:highlight w:val="none"/>
              </w:rPr>
              <w:t>长三角和苏州城市现代服务业集聚区和重要的研发创新基地；</w:t>
            </w:r>
          </w:p>
          <w:p>
            <w:pPr>
              <w:tabs>
                <w:tab w:val="left" w:pos="2160"/>
              </w:tabs>
              <w:spacing w:line="360" w:lineRule="auto"/>
              <w:ind w:firstLine="480" w:firstLineChars="200"/>
              <w:rPr>
                <w:rFonts w:hint="eastAsia"/>
                <w:sz w:val="24"/>
                <w:highlight w:val="none"/>
              </w:rPr>
            </w:pPr>
            <w:r>
              <w:rPr>
                <w:rFonts w:hint="eastAsia"/>
                <w:sz w:val="24"/>
                <w:highlight w:val="none"/>
              </w:rPr>
              <w:t>环太湖地区功能完备的国际高端商务休闲型旅游度假目的地。</w:t>
            </w:r>
          </w:p>
          <w:p>
            <w:pPr>
              <w:tabs>
                <w:tab w:val="left" w:pos="2160"/>
              </w:tabs>
              <w:spacing w:line="360" w:lineRule="auto"/>
              <w:ind w:firstLine="480" w:firstLineChars="200"/>
              <w:rPr>
                <w:sz w:val="24"/>
                <w:highlight w:val="none"/>
              </w:rPr>
            </w:pPr>
            <w:r>
              <w:rPr>
                <w:sz w:val="24"/>
                <w:highlight w:val="none"/>
              </w:rPr>
              <w:t xml:space="preserve">（5）功能分区：规划依托中心城区片区、浒通片区、湖滨片区三大片区与阳山“绿心”划分出狮山组团、浒通组团、横塘组团、科技城组团、生态城组团和阳山组团，形成六个独立组团空间，并对各组团的形态构建与功能组织进行引导。 </w:t>
            </w:r>
          </w:p>
          <w:p>
            <w:pPr>
              <w:tabs>
                <w:tab w:val="left" w:pos="2160"/>
              </w:tabs>
              <w:spacing w:line="360" w:lineRule="auto"/>
              <w:ind w:firstLine="480" w:firstLineChars="200"/>
              <w:rPr>
                <w:sz w:val="24"/>
                <w:highlight w:val="none"/>
              </w:rPr>
            </w:pPr>
            <w:r>
              <w:rPr>
                <w:sz w:val="24"/>
                <w:highlight w:val="none"/>
              </w:rPr>
              <w:t>（6）产业</w:t>
            </w:r>
            <w:r>
              <w:rPr>
                <w:rFonts w:hint="eastAsia"/>
                <w:sz w:val="24"/>
                <w:highlight w:val="none"/>
              </w:rPr>
              <w:t>空间布局与引导</w:t>
            </w:r>
          </w:p>
          <w:p>
            <w:pPr>
              <w:tabs>
                <w:tab w:val="left" w:pos="2160"/>
              </w:tabs>
              <w:spacing w:line="360" w:lineRule="auto"/>
              <w:ind w:firstLine="480" w:firstLineChars="200"/>
              <w:rPr>
                <w:sz w:val="24"/>
                <w:highlight w:val="none"/>
              </w:rPr>
            </w:pPr>
            <w:r>
              <w:rPr>
                <w:rFonts w:hint="eastAsia"/>
                <w:sz w:val="24"/>
                <w:highlight w:val="none"/>
              </w:rPr>
              <w:t>分组团产业发展引导</w:t>
            </w:r>
          </w:p>
          <w:p>
            <w:pPr>
              <w:tabs>
                <w:tab w:val="left" w:pos="2160"/>
              </w:tabs>
              <w:spacing w:line="360" w:lineRule="auto"/>
              <w:ind w:firstLine="480" w:firstLineChars="200"/>
              <w:rPr>
                <w:sz w:val="24"/>
                <w:highlight w:val="none"/>
              </w:rPr>
            </w:pPr>
            <w:r>
              <w:rPr>
                <w:sz w:val="24"/>
                <w:highlight w:val="none"/>
              </w:rPr>
              <w:t>对高新区各重点组团进行产业引导是进行产业选择的前提，战略引导涉及发展方向和发展引导两个方面，如下表所示</w:t>
            </w:r>
            <w:r>
              <w:rPr>
                <w:rFonts w:hint="eastAsia"/>
                <w:sz w:val="24"/>
                <w:highlight w:val="none"/>
              </w:rPr>
              <w:t>，</w:t>
            </w:r>
          </w:p>
          <w:p>
            <w:pPr>
              <w:autoSpaceDE w:val="0"/>
              <w:autoSpaceDN w:val="0"/>
              <w:adjustRightInd w:val="0"/>
              <w:snapToGrid w:val="0"/>
              <w:ind w:firstLine="482" w:firstLineChars="200"/>
              <w:jc w:val="center"/>
              <w:rPr>
                <w:b/>
                <w:sz w:val="24"/>
                <w:highlight w:val="none"/>
              </w:rPr>
            </w:pPr>
            <w:r>
              <w:rPr>
                <w:b/>
                <w:sz w:val="24"/>
                <w:highlight w:val="none"/>
              </w:rPr>
              <w:t xml:space="preserve">表1-1  </w:t>
            </w:r>
            <w:r>
              <w:rPr>
                <w:rFonts w:hint="eastAsia"/>
                <w:b/>
                <w:sz w:val="24"/>
                <w:highlight w:val="none"/>
              </w:rPr>
              <w:t>苏州市高新区各重点组团产业引导</w:t>
            </w:r>
          </w:p>
          <w:tbl>
            <w:tblPr>
              <w:tblStyle w:val="22"/>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706"/>
              <w:gridCol w:w="1416"/>
              <w:gridCol w:w="1418"/>
              <w:gridCol w:w="2782"/>
              <w:gridCol w:w="16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pct"/>
                  <w:vAlign w:val="center"/>
                </w:tcPr>
                <w:p>
                  <w:pPr>
                    <w:autoSpaceDE w:val="0"/>
                    <w:autoSpaceDN w:val="0"/>
                    <w:adjustRightInd w:val="0"/>
                    <w:snapToGrid w:val="0"/>
                    <w:jc w:val="center"/>
                    <w:rPr>
                      <w:b/>
                      <w:szCs w:val="21"/>
                      <w:highlight w:val="none"/>
                    </w:rPr>
                  </w:pPr>
                  <w:r>
                    <w:rPr>
                      <w:rFonts w:hint="eastAsia"/>
                      <w:b/>
                      <w:szCs w:val="21"/>
                      <w:highlight w:val="none"/>
                    </w:rPr>
                    <w:t>组团</w:t>
                  </w:r>
                </w:p>
              </w:tc>
              <w:tc>
                <w:tcPr>
                  <w:tcW w:w="402" w:type="pct"/>
                  <w:vAlign w:val="center"/>
                </w:tcPr>
                <w:p>
                  <w:pPr>
                    <w:autoSpaceDE w:val="0"/>
                    <w:autoSpaceDN w:val="0"/>
                    <w:adjustRightInd w:val="0"/>
                    <w:snapToGrid w:val="0"/>
                    <w:jc w:val="center"/>
                    <w:rPr>
                      <w:b/>
                      <w:szCs w:val="21"/>
                      <w:highlight w:val="none"/>
                    </w:rPr>
                  </w:pPr>
                  <w:r>
                    <w:rPr>
                      <w:rFonts w:hint="eastAsia"/>
                      <w:b/>
                      <w:szCs w:val="21"/>
                      <w:highlight w:val="none"/>
                    </w:rPr>
                    <w:t>产业片区</w:t>
                  </w:r>
                </w:p>
              </w:tc>
              <w:tc>
                <w:tcPr>
                  <w:tcW w:w="806" w:type="pct"/>
                  <w:vAlign w:val="center"/>
                </w:tcPr>
                <w:p>
                  <w:pPr>
                    <w:autoSpaceDE w:val="0"/>
                    <w:autoSpaceDN w:val="0"/>
                    <w:adjustRightInd w:val="0"/>
                    <w:snapToGrid w:val="0"/>
                    <w:jc w:val="center"/>
                    <w:rPr>
                      <w:b/>
                      <w:szCs w:val="21"/>
                      <w:highlight w:val="none"/>
                    </w:rPr>
                  </w:pPr>
                  <w:r>
                    <w:rPr>
                      <w:rFonts w:hint="eastAsia"/>
                      <w:b/>
                      <w:szCs w:val="21"/>
                      <w:highlight w:val="none"/>
                    </w:rPr>
                    <w:t>产业现状</w:t>
                  </w:r>
                </w:p>
              </w:tc>
              <w:tc>
                <w:tcPr>
                  <w:tcW w:w="807" w:type="pct"/>
                  <w:vAlign w:val="center"/>
                </w:tcPr>
                <w:p>
                  <w:pPr>
                    <w:autoSpaceDE w:val="0"/>
                    <w:autoSpaceDN w:val="0"/>
                    <w:adjustRightInd w:val="0"/>
                    <w:snapToGrid w:val="0"/>
                    <w:jc w:val="center"/>
                    <w:rPr>
                      <w:b/>
                      <w:szCs w:val="21"/>
                      <w:highlight w:val="none"/>
                    </w:rPr>
                  </w:pPr>
                  <w:r>
                    <w:rPr>
                      <w:rFonts w:hint="eastAsia"/>
                      <w:b/>
                      <w:szCs w:val="21"/>
                      <w:highlight w:val="none"/>
                    </w:rPr>
                    <w:t>未来引导产业</w:t>
                  </w:r>
                </w:p>
              </w:tc>
              <w:tc>
                <w:tcPr>
                  <w:tcW w:w="1583" w:type="pct"/>
                  <w:vAlign w:val="center"/>
                </w:tcPr>
                <w:p>
                  <w:pPr>
                    <w:autoSpaceDE w:val="0"/>
                    <w:autoSpaceDN w:val="0"/>
                    <w:adjustRightInd w:val="0"/>
                    <w:snapToGrid w:val="0"/>
                    <w:jc w:val="center"/>
                    <w:rPr>
                      <w:b/>
                      <w:szCs w:val="21"/>
                      <w:highlight w:val="none"/>
                    </w:rPr>
                  </w:pPr>
                  <w:r>
                    <w:rPr>
                      <w:rFonts w:hint="eastAsia"/>
                      <w:b/>
                      <w:szCs w:val="21"/>
                      <w:highlight w:val="none"/>
                    </w:rPr>
                    <w:t>主要产业类型细分</w:t>
                  </w:r>
                </w:p>
              </w:tc>
              <w:tc>
                <w:tcPr>
                  <w:tcW w:w="950" w:type="pct"/>
                  <w:vAlign w:val="center"/>
                </w:tcPr>
                <w:p>
                  <w:pPr>
                    <w:autoSpaceDE w:val="0"/>
                    <w:autoSpaceDN w:val="0"/>
                    <w:adjustRightInd w:val="0"/>
                    <w:snapToGrid w:val="0"/>
                    <w:jc w:val="center"/>
                    <w:rPr>
                      <w:b/>
                      <w:szCs w:val="21"/>
                      <w:highlight w:val="none"/>
                    </w:rPr>
                  </w:pPr>
                  <w:r>
                    <w:rPr>
                      <w:rFonts w:hint="eastAsia"/>
                      <w:b/>
                      <w:szCs w:val="21"/>
                      <w:highlight w:val="none"/>
                    </w:rPr>
                    <w:t>功能定位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pct"/>
                  <w:vMerge w:val="restart"/>
                  <w:vAlign w:val="center"/>
                </w:tcPr>
                <w:p>
                  <w:pPr>
                    <w:autoSpaceDE w:val="0"/>
                    <w:autoSpaceDN w:val="0"/>
                    <w:adjustRightInd w:val="0"/>
                    <w:snapToGrid w:val="0"/>
                    <w:jc w:val="center"/>
                    <w:rPr>
                      <w:kern w:val="0"/>
                      <w:szCs w:val="21"/>
                      <w:highlight w:val="none"/>
                    </w:rPr>
                  </w:pPr>
                  <w:r>
                    <w:rPr>
                      <w:rFonts w:hint="eastAsia"/>
                      <w:kern w:val="0"/>
                      <w:szCs w:val="21"/>
                      <w:highlight w:val="none"/>
                    </w:rPr>
                    <w:t>狮山组团</w:t>
                  </w:r>
                </w:p>
              </w:tc>
              <w:tc>
                <w:tcPr>
                  <w:tcW w:w="402" w:type="pct"/>
                  <w:vAlign w:val="center"/>
                </w:tcPr>
                <w:p>
                  <w:pPr>
                    <w:autoSpaceDE w:val="0"/>
                    <w:autoSpaceDN w:val="0"/>
                    <w:adjustRightInd w:val="0"/>
                    <w:snapToGrid w:val="0"/>
                    <w:jc w:val="center"/>
                    <w:rPr>
                      <w:kern w:val="0"/>
                      <w:szCs w:val="21"/>
                      <w:highlight w:val="none"/>
                    </w:rPr>
                  </w:pPr>
                  <w:r>
                    <w:rPr>
                      <w:rFonts w:hint="eastAsia"/>
                      <w:kern w:val="0"/>
                      <w:szCs w:val="21"/>
                      <w:highlight w:val="none"/>
                    </w:rPr>
                    <w:t>狮山</w:t>
                  </w:r>
                </w:p>
                <w:p>
                  <w:pPr>
                    <w:autoSpaceDE w:val="0"/>
                    <w:autoSpaceDN w:val="0"/>
                    <w:adjustRightInd w:val="0"/>
                    <w:snapToGrid w:val="0"/>
                    <w:jc w:val="center"/>
                    <w:rPr>
                      <w:kern w:val="0"/>
                      <w:szCs w:val="21"/>
                      <w:highlight w:val="none"/>
                    </w:rPr>
                  </w:pPr>
                  <w:r>
                    <w:rPr>
                      <w:rFonts w:hint="eastAsia"/>
                      <w:kern w:val="0"/>
                      <w:szCs w:val="21"/>
                      <w:highlight w:val="none"/>
                    </w:rPr>
                    <w:t>片区</w:t>
                  </w:r>
                </w:p>
              </w:tc>
              <w:tc>
                <w:tcPr>
                  <w:tcW w:w="806" w:type="pct"/>
                  <w:vAlign w:val="center"/>
                </w:tcPr>
                <w:p>
                  <w:pPr>
                    <w:autoSpaceDE w:val="0"/>
                    <w:autoSpaceDN w:val="0"/>
                    <w:adjustRightInd w:val="0"/>
                    <w:snapToGrid w:val="0"/>
                    <w:jc w:val="center"/>
                    <w:rPr>
                      <w:kern w:val="0"/>
                      <w:szCs w:val="21"/>
                      <w:highlight w:val="none"/>
                    </w:rPr>
                  </w:pPr>
                  <w:r>
                    <w:rPr>
                      <w:rFonts w:ascii="Courier New" w:hAnsi="Courier New" w:cs="Courier New"/>
                      <w:szCs w:val="21"/>
                      <w:highlight w:val="none"/>
                    </w:rPr>
                    <w:t>电子、机械</w:t>
                  </w:r>
                </w:p>
              </w:tc>
              <w:tc>
                <w:tcPr>
                  <w:tcW w:w="807" w:type="pct"/>
                  <w:vAlign w:val="center"/>
                </w:tcPr>
                <w:p>
                  <w:pPr>
                    <w:autoSpaceDE w:val="0"/>
                    <w:autoSpaceDN w:val="0"/>
                    <w:adjustRightInd w:val="0"/>
                    <w:snapToGrid w:val="0"/>
                    <w:jc w:val="center"/>
                    <w:rPr>
                      <w:kern w:val="0"/>
                      <w:szCs w:val="21"/>
                      <w:highlight w:val="none"/>
                    </w:rPr>
                  </w:pPr>
                  <w:r>
                    <w:rPr>
                      <w:rFonts w:ascii="Courier New" w:hAnsi="Courier New" w:cs="Courier New"/>
                      <w:szCs w:val="21"/>
                      <w:highlight w:val="none"/>
                    </w:rPr>
                    <w:t>现代商贸、</w:t>
                  </w:r>
                  <w:r>
                    <w:rPr>
                      <w:szCs w:val="21"/>
                      <w:highlight w:val="none"/>
                    </w:rPr>
                    <w:br w:type="textWrapping"/>
                  </w:r>
                  <w:r>
                    <w:rPr>
                      <w:rFonts w:ascii="Courier New" w:hAnsi="Courier New" w:cs="Courier New"/>
                      <w:szCs w:val="21"/>
                      <w:highlight w:val="none"/>
                    </w:rPr>
                    <w:t>房地产、商</w:t>
                  </w:r>
                  <w:r>
                    <w:rPr>
                      <w:szCs w:val="21"/>
                      <w:highlight w:val="none"/>
                    </w:rPr>
                    <w:br w:type="textWrapping"/>
                  </w:r>
                  <w:r>
                    <w:rPr>
                      <w:rFonts w:ascii="Courier New" w:hAnsi="Courier New" w:cs="Courier New"/>
                      <w:szCs w:val="21"/>
                      <w:highlight w:val="none"/>
                    </w:rPr>
                    <w:t>务服务、金</w:t>
                  </w:r>
                  <w:r>
                    <w:rPr>
                      <w:szCs w:val="21"/>
                      <w:highlight w:val="none"/>
                    </w:rPr>
                    <w:br w:type="textWrapping"/>
                  </w:r>
                  <w:r>
                    <w:rPr>
                      <w:rFonts w:ascii="Courier New" w:hAnsi="Courier New" w:cs="Courier New"/>
                      <w:szCs w:val="21"/>
                      <w:highlight w:val="none"/>
                    </w:rPr>
                    <w:t>融保险</w:t>
                  </w:r>
                </w:p>
              </w:tc>
              <w:tc>
                <w:tcPr>
                  <w:tcW w:w="1583" w:type="pct"/>
                  <w:vAlign w:val="center"/>
                </w:tcPr>
                <w:p>
                  <w:pPr>
                    <w:autoSpaceDE w:val="0"/>
                    <w:autoSpaceDN w:val="0"/>
                    <w:adjustRightInd w:val="0"/>
                    <w:snapToGrid w:val="0"/>
                    <w:jc w:val="center"/>
                    <w:rPr>
                      <w:kern w:val="0"/>
                      <w:szCs w:val="21"/>
                      <w:highlight w:val="none"/>
                    </w:rPr>
                  </w:pPr>
                  <w:r>
                    <w:rPr>
                      <w:rFonts w:ascii="Courier New" w:hAnsi="Courier New" w:cs="Courier New"/>
                      <w:szCs w:val="21"/>
                      <w:highlight w:val="none"/>
                    </w:rPr>
                    <w:t>房地产、零售、会展、</w:t>
                  </w:r>
                  <w:r>
                    <w:rPr>
                      <w:szCs w:val="21"/>
                      <w:highlight w:val="none"/>
                    </w:rPr>
                    <w:br w:type="textWrapping"/>
                  </w:r>
                  <w:r>
                    <w:rPr>
                      <w:rFonts w:ascii="Courier New" w:hAnsi="Courier New" w:cs="Courier New"/>
                      <w:szCs w:val="21"/>
                      <w:highlight w:val="none"/>
                    </w:rPr>
                    <w:t>企业管理服务、法律服</w:t>
                  </w:r>
                  <w:r>
                    <w:rPr>
                      <w:szCs w:val="21"/>
                      <w:highlight w:val="none"/>
                    </w:rPr>
                    <w:br w:type="textWrapping"/>
                  </w:r>
                  <w:r>
                    <w:rPr>
                      <w:rFonts w:ascii="Courier New" w:hAnsi="Courier New" w:cs="Courier New"/>
                      <w:szCs w:val="21"/>
                      <w:highlight w:val="none"/>
                    </w:rPr>
                    <w:t>务、咨询与调查、广告</w:t>
                  </w:r>
                  <w:r>
                    <w:rPr>
                      <w:szCs w:val="21"/>
                      <w:highlight w:val="none"/>
                    </w:rPr>
                    <w:br w:type="textWrapping"/>
                  </w:r>
                  <w:r>
                    <w:rPr>
                      <w:rFonts w:ascii="Courier New" w:hAnsi="Courier New" w:cs="Courier New"/>
                      <w:szCs w:val="21"/>
                      <w:highlight w:val="none"/>
                    </w:rPr>
                    <w:t>业、职业中介服务、市</w:t>
                  </w:r>
                  <w:r>
                    <w:rPr>
                      <w:szCs w:val="21"/>
                      <w:highlight w:val="none"/>
                    </w:rPr>
                    <w:br w:type="textWrapping"/>
                  </w:r>
                  <w:r>
                    <w:rPr>
                      <w:rFonts w:ascii="Courier New" w:hAnsi="Courier New" w:cs="Courier New"/>
                      <w:szCs w:val="21"/>
                      <w:highlight w:val="none"/>
                    </w:rPr>
                    <w:t>场管理、电信、互联网</w:t>
                  </w:r>
                  <w:r>
                    <w:rPr>
                      <w:szCs w:val="21"/>
                      <w:highlight w:val="none"/>
                    </w:rPr>
                    <w:br w:type="textWrapping"/>
                  </w:r>
                  <w:r>
                    <w:rPr>
                      <w:rFonts w:ascii="Courier New" w:hAnsi="Courier New" w:cs="Courier New"/>
                      <w:szCs w:val="21"/>
                      <w:highlight w:val="none"/>
                    </w:rPr>
                    <w:t>信息服务、广播电视传</w:t>
                  </w:r>
                  <w:r>
                    <w:rPr>
                      <w:szCs w:val="21"/>
                      <w:highlight w:val="none"/>
                    </w:rPr>
                    <w:br w:type="textWrapping"/>
                  </w:r>
                  <w:r>
                    <w:rPr>
                      <w:rFonts w:ascii="Courier New" w:hAnsi="Courier New" w:cs="Courier New"/>
                      <w:szCs w:val="21"/>
                      <w:highlight w:val="none"/>
                    </w:rPr>
                    <w:t>输服务、金融保险</w:t>
                  </w:r>
                </w:p>
              </w:tc>
              <w:tc>
                <w:tcPr>
                  <w:tcW w:w="950" w:type="pct"/>
                  <w:vAlign w:val="center"/>
                </w:tcPr>
                <w:p>
                  <w:pPr>
                    <w:autoSpaceDE w:val="0"/>
                    <w:autoSpaceDN w:val="0"/>
                    <w:adjustRightInd w:val="0"/>
                    <w:snapToGrid w:val="0"/>
                    <w:jc w:val="center"/>
                    <w:rPr>
                      <w:kern w:val="0"/>
                      <w:szCs w:val="21"/>
                      <w:highlight w:val="none"/>
                    </w:rPr>
                  </w:pPr>
                  <w:r>
                    <w:rPr>
                      <w:szCs w:val="21"/>
                      <w:highlight w:val="none"/>
                    </w:rPr>
                    <w:t>“</w:t>
                  </w:r>
                  <w:r>
                    <w:rPr>
                      <w:rFonts w:ascii="Courier New" w:hAnsi="Courier New" w:cs="Courier New"/>
                      <w:szCs w:val="21"/>
                      <w:highlight w:val="none"/>
                    </w:rPr>
                    <w:t>退二进三</w:t>
                  </w:r>
                  <w:r>
                    <w:rPr>
                      <w:szCs w:val="21"/>
                      <w:highlight w:val="none"/>
                    </w:rPr>
                    <w:t>”</w:t>
                  </w:r>
                  <w:r>
                    <w:rPr>
                      <w:rFonts w:ascii="Courier New" w:hAnsi="Courier New" w:cs="Courier New"/>
                      <w:szCs w:val="21"/>
                      <w:highlight w:val="none"/>
                    </w:rPr>
                    <w:t>，</w:t>
                  </w:r>
                  <w:r>
                    <w:rPr>
                      <w:szCs w:val="21"/>
                      <w:highlight w:val="none"/>
                    </w:rPr>
                    <w:br w:type="textWrapping"/>
                  </w:r>
                  <w:r>
                    <w:rPr>
                      <w:rFonts w:ascii="Courier New" w:hAnsi="Courier New" w:cs="Courier New"/>
                      <w:szCs w:val="21"/>
                      <w:highlight w:val="none"/>
                    </w:rPr>
                    <w:t>体系完备的</w:t>
                  </w:r>
                  <w:r>
                    <w:rPr>
                      <w:szCs w:val="21"/>
                      <w:highlight w:val="none"/>
                    </w:rPr>
                    <w:br w:type="textWrapping"/>
                  </w:r>
                  <w:r>
                    <w:rPr>
                      <w:rFonts w:ascii="Courier New" w:hAnsi="Courier New" w:cs="Courier New"/>
                      <w:szCs w:val="21"/>
                      <w:highlight w:val="none"/>
                    </w:rPr>
                    <w:t>城市功能服</w:t>
                  </w:r>
                  <w:r>
                    <w:rPr>
                      <w:szCs w:val="21"/>
                      <w:highlight w:val="none"/>
                    </w:rPr>
                    <w:br w:type="textWrapping"/>
                  </w:r>
                  <w:r>
                    <w:rPr>
                      <w:rFonts w:ascii="Courier New" w:hAnsi="Courier New" w:cs="Courier New"/>
                      <w:szCs w:val="21"/>
                      <w:highlight w:val="none"/>
                    </w:rPr>
                    <w:t>务核心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pct"/>
                  <w:vMerge w:val="continue"/>
                  <w:vAlign w:val="center"/>
                </w:tcPr>
                <w:p>
                  <w:pPr>
                    <w:autoSpaceDE w:val="0"/>
                    <w:autoSpaceDN w:val="0"/>
                    <w:adjustRightInd w:val="0"/>
                    <w:snapToGrid w:val="0"/>
                    <w:jc w:val="center"/>
                    <w:rPr>
                      <w:kern w:val="0"/>
                      <w:szCs w:val="21"/>
                      <w:highlight w:val="none"/>
                    </w:rPr>
                  </w:pPr>
                </w:p>
              </w:tc>
              <w:tc>
                <w:tcPr>
                  <w:tcW w:w="402" w:type="pct"/>
                  <w:vAlign w:val="center"/>
                </w:tcPr>
                <w:p>
                  <w:pPr>
                    <w:autoSpaceDE w:val="0"/>
                    <w:autoSpaceDN w:val="0"/>
                    <w:adjustRightInd w:val="0"/>
                    <w:snapToGrid w:val="0"/>
                    <w:jc w:val="center"/>
                    <w:rPr>
                      <w:kern w:val="0"/>
                      <w:szCs w:val="21"/>
                      <w:highlight w:val="none"/>
                    </w:rPr>
                  </w:pPr>
                  <w:r>
                    <w:rPr>
                      <w:rFonts w:hint="eastAsia"/>
                      <w:kern w:val="0"/>
                      <w:szCs w:val="21"/>
                      <w:highlight w:val="none"/>
                    </w:rPr>
                    <w:t>枫桥</w:t>
                  </w:r>
                </w:p>
                <w:p>
                  <w:pPr>
                    <w:autoSpaceDE w:val="0"/>
                    <w:autoSpaceDN w:val="0"/>
                    <w:adjustRightInd w:val="0"/>
                    <w:snapToGrid w:val="0"/>
                    <w:jc w:val="center"/>
                    <w:rPr>
                      <w:kern w:val="0"/>
                      <w:szCs w:val="21"/>
                      <w:highlight w:val="none"/>
                    </w:rPr>
                  </w:pPr>
                  <w:r>
                    <w:rPr>
                      <w:rFonts w:hint="eastAsia"/>
                      <w:kern w:val="0"/>
                      <w:szCs w:val="21"/>
                      <w:highlight w:val="none"/>
                    </w:rPr>
                    <w:t>片区</w:t>
                  </w:r>
                </w:p>
              </w:tc>
              <w:tc>
                <w:tcPr>
                  <w:tcW w:w="806" w:type="pct"/>
                  <w:vAlign w:val="center"/>
                </w:tcPr>
                <w:p>
                  <w:pPr>
                    <w:autoSpaceDE w:val="0"/>
                    <w:autoSpaceDN w:val="0"/>
                    <w:adjustRightInd w:val="0"/>
                    <w:snapToGrid w:val="0"/>
                    <w:jc w:val="center"/>
                    <w:rPr>
                      <w:kern w:val="0"/>
                      <w:szCs w:val="21"/>
                      <w:highlight w:val="none"/>
                    </w:rPr>
                  </w:pPr>
                  <w:r>
                    <w:rPr>
                      <w:rFonts w:ascii="Courier New" w:hAnsi="Courier New" w:cs="Courier New"/>
                      <w:szCs w:val="21"/>
                      <w:highlight w:val="none"/>
                    </w:rPr>
                    <w:t>电子和机</w:t>
                  </w:r>
                  <w:r>
                    <w:rPr>
                      <w:szCs w:val="21"/>
                      <w:highlight w:val="none"/>
                    </w:rPr>
                    <w:br w:type="textWrapping"/>
                  </w:r>
                  <w:r>
                    <w:rPr>
                      <w:rFonts w:ascii="Courier New" w:hAnsi="Courier New" w:cs="Courier New"/>
                      <w:szCs w:val="21"/>
                      <w:highlight w:val="none"/>
                    </w:rPr>
                    <w:t>械设备制</w:t>
                  </w:r>
                  <w:r>
                    <w:rPr>
                      <w:szCs w:val="21"/>
                      <w:highlight w:val="none"/>
                    </w:rPr>
                    <w:br w:type="textWrapping"/>
                  </w:r>
                  <w:r>
                    <w:rPr>
                      <w:rFonts w:ascii="Courier New" w:hAnsi="Courier New" w:cs="Courier New"/>
                      <w:szCs w:val="21"/>
                      <w:highlight w:val="none"/>
                    </w:rPr>
                    <w:t>造</w:t>
                  </w:r>
                </w:p>
              </w:tc>
              <w:tc>
                <w:tcPr>
                  <w:tcW w:w="807" w:type="pct"/>
                  <w:vAlign w:val="center"/>
                </w:tcPr>
                <w:p>
                  <w:pPr>
                    <w:autoSpaceDE w:val="0"/>
                    <w:autoSpaceDN w:val="0"/>
                    <w:adjustRightInd w:val="0"/>
                    <w:snapToGrid w:val="0"/>
                    <w:jc w:val="center"/>
                    <w:rPr>
                      <w:kern w:val="0"/>
                      <w:szCs w:val="21"/>
                      <w:highlight w:val="none"/>
                    </w:rPr>
                  </w:pPr>
                  <w:r>
                    <w:rPr>
                      <w:rFonts w:ascii="Courier New" w:hAnsi="Courier New" w:cs="Courier New"/>
                      <w:szCs w:val="21"/>
                      <w:highlight w:val="none"/>
                    </w:rPr>
                    <w:t>电子信息、</w:t>
                  </w:r>
                  <w:r>
                    <w:rPr>
                      <w:szCs w:val="21"/>
                      <w:highlight w:val="none"/>
                    </w:rPr>
                    <w:br w:type="textWrapping"/>
                  </w:r>
                  <w:r>
                    <w:rPr>
                      <w:rFonts w:ascii="Courier New" w:hAnsi="Courier New" w:cs="Courier New"/>
                      <w:szCs w:val="21"/>
                      <w:highlight w:val="none"/>
                    </w:rPr>
                    <w:t>精密机械、</w:t>
                  </w:r>
                  <w:r>
                    <w:rPr>
                      <w:szCs w:val="21"/>
                      <w:highlight w:val="none"/>
                    </w:rPr>
                    <w:br w:type="textWrapping"/>
                  </w:r>
                  <w:r>
                    <w:rPr>
                      <w:rFonts w:ascii="Courier New" w:hAnsi="Courier New" w:cs="Courier New"/>
                      <w:szCs w:val="21"/>
                      <w:highlight w:val="none"/>
                    </w:rPr>
                    <w:t>商务服务、</w:t>
                  </w:r>
                  <w:r>
                    <w:rPr>
                      <w:szCs w:val="21"/>
                      <w:highlight w:val="none"/>
                    </w:rPr>
                    <w:br w:type="textWrapping"/>
                  </w:r>
                  <w:r>
                    <w:rPr>
                      <w:rFonts w:ascii="Courier New" w:hAnsi="Courier New" w:cs="Courier New"/>
                      <w:szCs w:val="21"/>
                      <w:highlight w:val="none"/>
                    </w:rPr>
                    <w:t>金融保险</w:t>
                  </w:r>
                </w:p>
              </w:tc>
              <w:tc>
                <w:tcPr>
                  <w:tcW w:w="1583" w:type="pct"/>
                  <w:vAlign w:val="center"/>
                </w:tcPr>
                <w:p>
                  <w:pPr>
                    <w:autoSpaceDE w:val="0"/>
                    <w:autoSpaceDN w:val="0"/>
                    <w:adjustRightInd w:val="0"/>
                    <w:snapToGrid w:val="0"/>
                    <w:jc w:val="center"/>
                    <w:rPr>
                      <w:kern w:val="0"/>
                      <w:szCs w:val="21"/>
                      <w:highlight w:val="none"/>
                    </w:rPr>
                  </w:pPr>
                  <w:r>
                    <w:rPr>
                      <w:rFonts w:ascii="Courier New" w:hAnsi="Courier New" w:cs="Courier New"/>
                      <w:szCs w:val="21"/>
                      <w:highlight w:val="none"/>
                    </w:rPr>
                    <w:t>计算机系统服务、数据</w:t>
                  </w:r>
                  <w:r>
                    <w:rPr>
                      <w:szCs w:val="21"/>
                      <w:highlight w:val="none"/>
                    </w:rPr>
                    <w:br w:type="textWrapping"/>
                  </w:r>
                  <w:r>
                    <w:rPr>
                      <w:rFonts w:ascii="Courier New" w:hAnsi="Courier New" w:cs="Courier New"/>
                      <w:szCs w:val="21"/>
                      <w:highlight w:val="none"/>
                    </w:rPr>
                    <w:t>处理、计算机维修及设</w:t>
                  </w:r>
                  <w:r>
                    <w:rPr>
                      <w:szCs w:val="21"/>
                      <w:highlight w:val="none"/>
                    </w:rPr>
                    <w:br w:type="textWrapping"/>
                  </w:r>
                  <w:r>
                    <w:rPr>
                      <w:rFonts w:ascii="Courier New" w:hAnsi="Courier New" w:cs="Courier New"/>
                      <w:szCs w:val="21"/>
                      <w:highlight w:val="none"/>
                    </w:rPr>
                    <w:t>计、软件服务、光缆及</w:t>
                  </w:r>
                  <w:r>
                    <w:rPr>
                      <w:szCs w:val="21"/>
                      <w:highlight w:val="none"/>
                    </w:rPr>
                    <w:br w:type="textWrapping"/>
                  </w:r>
                  <w:r>
                    <w:rPr>
                      <w:rFonts w:ascii="Courier New" w:hAnsi="Courier New" w:cs="Courier New"/>
                      <w:szCs w:val="21"/>
                      <w:highlight w:val="none"/>
                    </w:rPr>
                    <w:t>电工器具制造及设计、</w:t>
                  </w:r>
                  <w:r>
                    <w:rPr>
                      <w:szCs w:val="21"/>
                      <w:highlight w:val="none"/>
                    </w:rPr>
                    <w:br w:type="textWrapping"/>
                  </w:r>
                  <w:r>
                    <w:rPr>
                      <w:rFonts w:ascii="Courier New" w:hAnsi="Courier New" w:cs="Courier New"/>
                      <w:szCs w:val="21"/>
                      <w:highlight w:val="none"/>
                    </w:rPr>
                    <w:t>文化、办公用机械、仪</w:t>
                  </w:r>
                  <w:r>
                    <w:rPr>
                      <w:szCs w:val="21"/>
                      <w:highlight w:val="none"/>
                    </w:rPr>
                    <w:br w:type="textWrapping"/>
                  </w:r>
                  <w:r>
                    <w:rPr>
                      <w:rFonts w:ascii="Courier New" w:hAnsi="Courier New" w:cs="Courier New"/>
                      <w:szCs w:val="21"/>
                      <w:highlight w:val="none"/>
                    </w:rPr>
                    <w:t>器仪表制造及设计</w:t>
                  </w:r>
                </w:p>
              </w:tc>
              <w:tc>
                <w:tcPr>
                  <w:tcW w:w="950" w:type="pct"/>
                  <w:vAlign w:val="center"/>
                </w:tcPr>
                <w:p>
                  <w:pPr>
                    <w:autoSpaceDE w:val="0"/>
                    <w:autoSpaceDN w:val="0"/>
                    <w:adjustRightInd w:val="0"/>
                    <w:snapToGrid w:val="0"/>
                    <w:jc w:val="center"/>
                    <w:rPr>
                      <w:kern w:val="0"/>
                      <w:szCs w:val="21"/>
                      <w:highlight w:val="none"/>
                    </w:rPr>
                  </w:pPr>
                  <w:r>
                    <w:rPr>
                      <w:rFonts w:ascii="Courier New" w:hAnsi="Courier New" w:cs="Courier New"/>
                      <w:szCs w:val="21"/>
                      <w:highlight w:val="none"/>
                    </w:rPr>
                    <w:t>高新技术产</w:t>
                  </w:r>
                  <w:r>
                    <w:rPr>
                      <w:szCs w:val="21"/>
                      <w:highlight w:val="none"/>
                    </w:rPr>
                    <w:br w:type="textWrapping"/>
                  </w:r>
                  <w:r>
                    <w:rPr>
                      <w:rFonts w:ascii="Courier New" w:hAnsi="Courier New" w:cs="Courier New"/>
                      <w:szCs w:val="21"/>
                      <w:highlight w:val="none"/>
                    </w:rPr>
                    <w:t>业和服务外</w:t>
                  </w:r>
                  <w:r>
                    <w:rPr>
                      <w:szCs w:val="21"/>
                      <w:highlight w:val="none"/>
                    </w:rPr>
                    <w:br w:type="textWrapping"/>
                  </w:r>
                  <w:r>
                    <w:rPr>
                      <w:rFonts w:ascii="Courier New" w:hAnsi="Courier New" w:cs="Courier New"/>
                      <w:szCs w:val="21"/>
                      <w:highlight w:val="none"/>
                    </w:rPr>
                    <w:t>包中心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pct"/>
                  <w:vMerge w:val="restart"/>
                  <w:vAlign w:val="center"/>
                </w:tcPr>
                <w:p>
                  <w:pPr>
                    <w:autoSpaceDE w:val="0"/>
                    <w:autoSpaceDN w:val="0"/>
                    <w:adjustRightInd w:val="0"/>
                    <w:snapToGrid w:val="0"/>
                    <w:jc w:val="center"/>
                    <w:rPr>
                      <w:kern w:val="0"/>
                      <w:szCs w:val="21"/>
                      <w:highlight w:val="none"/>
                    </w:rPr>
                  </w:pPr>
                  <w:r>
                    <w:rPr>
                      <w:kern w:val="0"/>
                      <w:szCs w:val="21"/>
                      <w:highlight w:val="none"/>
                    </w:rPr>
                    <w:t>浒通组团</w:t>
                  </w:r>
                </w:p>
              </w:tc>
              <w:tc>
                <w:tcPr>
                  <w:tcW w:w="402" w:type="pct"/>
                  <w:vAlign w:val="center"/>
                </w:tcPr>
                <w:p>
                  <w:pPr>
                    <w:autoSpaceDE w:val="0"/>
                    <w:autoSpaceDN w:val="0"/>
                    <w:adjustRightInd w:val="0"/>
                    <w:snapToGrid w:val="0"/>
                    <w:jc w:val="center"/>
                    <w:rPr>
                      <w:kern w:val="0"/>
                      <w:szCs w:val="21"/>
                      <w:highlight w:val="none"/>
                    </w:rPr>
                  </w:pPr>
                  <w:r>
                    <w:rPr>
                      <w:rFonts w:hint="eastAsia"/>
                      <w:kern w:val="0"/>
                      <w:szCs w:val="21"/>
                      <w:highlight w:val="none"/>
                    </w:rPr>
                    <w:t>出口</w:t>
                  </w:r>
                </w:p>
                <w:p>
                  <w:pPr>
                    <w:autoSpaceDE w:val="0"/>
                    <w:autoSpaceDN w:val="0"/>
                    <w:adjustRightInd w:val="0"/>
                    <w:snapToGrid w:val="0"/>
                    <w:jc w:val="center"/>
                    <w:rPr>
                      <w:kern w:val="0"/>
                      <w:szCs w:val="21"/>
                      <w:highlight w:val="none"/>
                    </w:rPr>
                  </w:pPr>
                  <w:r>
                    <w:rPr>
                      <w:rFonts w:hint="eastAsia"/>
                      <w:kern w:val="0"/>
                      <w:szCs w:val="21"/>
                      <w:highlight w:val="none"/>
                    </w:rPr>
                    <w:t>加工</w:t>
                  </w:r>
                </w:p>
                <w:p>
                  <w:pPr>
                    <w:autoSpaceDE w:val="0"/>
                    <w:autoSpaceDN w:val="0"/>
                    <w:adjustRightInd w:val="0"/>
                    <w:snapToGrid w:val="0"/>
                    <w:jc w:val="center"/>
                    <w:rPr>
                      <w:kern w:val="0"/>
                      <w:szCs w:val="21"/>
                      <w:highlight w:val="none"/>
                    </w:rPr>
                  </w:pPr>
                  <w:r>
                    <w:rPr>
                      <w:rFonts w:hint="eastAsia"/>
                      <w:kern w:val="0"/>
                      <w:szCs w:val="21"/>
                      <w:highlight w:val="none"/>
                    </w:rPr>
                    <w:t>区</w:t>
                  </w:r>
                </w:p>
              </w:tc>
              <w:tc>
                <w:tcPr>
                  <w:tcW w:w="806" w:type="pct"/>
                  <w:vMerge w:val="restart"/>
                  <w:vAlign w:val="center"/>
                </w:tcPr>
                <w:p>
                  <w:pPr>
                    <w:autoSpaceDE w:val="0"/>
                    <w:autoSpaceDN w:val="0"/>
                    <w:adjustRightInd w:val="0"/>
                    <w:snapToGrid w:val="0"/>
                    <w:jc w:val="center"/>
                    <w:rPr>
                      <w:kern w:val="0"/>
                      <w:szCs w:val="21"/>
                      <w:highlight w:val="none"/>
                    </w:rPr>
                  </w:pPr>
                  <w:r>
                    <w:rPr>
                      <w:rFonts w:ascii="Courier New" w:hAnsi="Courier New" w:cs="Courier New"/>
                      <w:szCs w:val="21"/>
                      <w:highlight w:val="none"/>
                    </w:rPr>
                    <w:t>计算机制</w:t>
                  </w:r>
                  <w:r>
                    <w:rPr>
                      <w:szCs w:val="21"/>
                      <w:highlight w:val="none"/>
                    </w:rPr>
                    <w:br w:type="textWrapping"/>
                  </w:r>
                  <w:r>
                    <w:rPr>
                      <w:rFonts w:ascii="Courier New" w:hAnsi="Courier New" w:cs="Courier New"/>
                      <w:szCs w:val="21"/>
                      <w:highlight w:val="none"/>
                    </w:rPr>
                    <w:t>造、汽车制</w:t>
                  </w:r>
                  <w:r>
                    <w:rPr>
                      <w:szCs w:val="21"/>
                      <w:highlight w:val="none"/>
                    </w:rPr>
                    <w:br w:type="textWrapping"/>
                  </w:r>
                  <w:r>
                    <w:rPr>
                      <w:rFonts w:ascii="Courier New" w:hAnsi="Courier New" w:cs="Courier New"/>
                      <w:szCs w:val="21"/>
                      <w:highlight w:val="none"/>
                    </w:rPr>
                    <w:t>造</w:t>
                  </w:r>
                </w:p>
              </w:tc>
              <w:tc>
                <w:tcPr>
                  <w:tcW w:w="807" w:type="pct"/>
                  <w:vAlign w:val="center"/>
                </w:tcPr>
                <w:p>
                  <w:pPr>
                    <w:autoSpaceDE w:val="0"/>
                    <w:autoSpaceDN w:val="0"/>
                    <w:adjustRightInd w:val="0"/>
                    <w:snapToGrid w:val="0"/>
                    <w:jc w:val="center"/>
                    <w:rPr>
                      <w:kern w:val="0"/>
                      <w:szCs w:val="21"/>
                      <w:highlight w:val="none"/>
                    </w:rPr>
                  </w:pPr>
                  <w:r>
                    <w:rPr>
                      <w:rFonts w:ascii="Courier New" w:hAnsi="Courier New" w:cs="Courier New"/>
                      <w:szCs w:val="21"/>
                      <w:highlight w:val="none"/>
                    </w:rPr>
                    <w:t>电子信息</w:t>
                  </w:r>
                </w:p>
              </w:tc>
              <w:tc>
                <w:tcPr>
                  <w:tcW w:w="1583" w:type="pct"/>
                  <w:vAlign w:val="center"/>
                </w:tcPr>
                <w:p>
                  <w:pPr>
                    <w:autoSpaceDE w:val="0"/>
                    <w:autoSpaceDN w:val="0"/>
                    <w:adjustRightInd w:val="0"/>
                    <w:snapToGrid w:val="0"/>
                    <w:jc w:val="center"/>
                    <w:rPr>
                      <w:kern w:val="0"/>
                      <w:szCs w:val="21"/>
                      <w:highlight w:val="none"/>
                    </w:rPr>
                  </w:pPr>
                  <w:r>
                    <w:rPr>
                      <w:rFonts w:ascii="Courier New" w:hAnsi="Courier New" w:cs="Courier New"/>
                      <w:szCs w:val="21"/>
                      <w:highlight w:val="none"/>
                    </w:rPr>
                    <w:t>计算机及外部设备产</w:t>
                  </w:r>
                  <w:r>
                    <w:rPr>
                      <w:szCs w:val="21"/>
                      <w:highlight w:val="none"/>
                    </w:rPr>
                    <w:br w:type="textWrapping"/>
                  </w:r>
                  <w:r>
                    <w:rPr>
                      <w:rFonts w:ascii="Courier New" w:hAnsi="Courier New" w:cs="Courier New"/>
                      <w:szCs w:val="21"/>
                      <w:highlight w:val="none"/>
                    </w:rPr>
                    <w:t>业、电子器件和元件装</w:t>
                  </w:r>
                  <w:r>
                    <w:rPr>
                      <w:szCs w:val="21"/>
                      <w:highlight w:val="none"/>
                    </w:rPr>
                    <w:br w:type="textWrapping"/>
                  </w:r>
                  <w:r>
                    <w:rPr>
                      <w:rFonts w:ascii="Courier New" w:hAnsi="Courier New" w:cs="Courier New"/>
                      <w:szCs w:val="21"/>
                      <w:highlight w:val="none"/>
                    </w:rPr>
                    <w:t>配等</w:t>
                  </w:r>
                </w:p>
              </w:tc>
              <w:tc>
                <w:tcPr>
                  <w:tcW w:w="950" w:type="pct"/>
                  <w:vAlign w:val="center"/>
                </w:tcPr>
                <w:p>
                  <w:pPr>
                    <w:autoSpaceDE w:val="0"/>
                    <w:autoSpaceDN w:val="0"/>
                    <w:adjustRightInd w:val="0"/>
                    <w:snapToGrid w:val="0"/>
                    <w:jc w:val="center"/>
                    <w:rPr>
                      <w:kern w:val="0"/>
                      <w:szCs w:val="21"/>
                      <w:highlight w:val="none"/>
                    </w:rPr>
                  </w:pPr>
                  <w:r>
                    <w:rPr>
                      <w:rFonts w:ascii="Courier New" w:hAnsi="Courier New" w:cs="Courier New"/>
                      <w:szCs w:val="21"/>
                      <w:highlight w:val="none"/>
                    </w:rPr>
                    <w:t>电子产品及</w:t>
                  </w:r>
                  <w:r>
                    <w:rPr>
                      <w:szCs w:val="21"/>
                      <w:highlight w:val="none"/>
                    </w:rPr>
                    <w:br w:type="textWrapping"/>
                  </w:r>
                  <w:r>
                    <w:rPr>
                      <w:rFonts w:ascii="Courier New" w:hAnsi="Courier New" w:cs="Courier New"/>
                      <w:szCs w:val="21"/>
                      <w:highlight w:val="none"/>
                    </w:rPr>
                    <w:t>元件的制造</w:t>
                  </w:r>
                  <w:r>
                    <w:rPr>
                      <w:szCs w:val="21"/>
                      <w:highlight w:val="none"/>
                    </w:rPr>
                    <w:br w:type="textWrapping"/>
                  </w:r>
                  <w:r>
                    <w:rPr>
                      <w:rFonts w:ascii="Courier New" w:hAnsi="Courier New" w:cs="Courier New"/>
                      <w:szCs w:val="21"/>
                      <w:highlight w:val="none"/>
                    </w:rPr>
                    <w:t>和装配产业</w:t>
                  </w:r>
                  <w:r>
                    <w:rPr>
                      <w:szCs w:val="21"/>
                      <w:highlight w:val="none"/>
                    </w:rPr>
                    <w:br w:type="textWrapping"/>
                  </w:r>
                  <w:r>
                    <w:rPr>
                      <w:rFonts w:ascii="Courier New" w:hAnsi="Courier New" w:cs="Courier New"/>
                      <w:szCs w:val="21"/>
                      <w:highlight w:val="none"/>
                    </w:rPr>
                    <w:t>链发展区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pct"/>
                  <w:vMerge w:val="continue"/>
                  <w:vAlign w:val="center"/>
                </w:tcPr>
                <w:p>
                  <w:pPr>
                    <w:autoSpaceDE w:val="0"/>
                    <w:autoSpaceDN w:val="0"/>
                    <w:adjustRightInd w:val="0"/>
                    <w:snapToGrid w:val="0"/>
                    <w:jc w:val="center"/>
                    <w:rPr>
                      <w:kern w:val="0"/>
                      <w:szCs w:val="21"/>
                      <w:highlight w:val="none"/>
                    </w:rPr>
                  </w:pPr>
                </w:p>
              </w:tc>
              <w:tc>
                <w:tcPr>
                  <w:tcW w:w="402" w:type="pct"/>
                  <w:vAlign w:val="center"/>
                </w:tcPr>
                <w:p>
                  <w:pPr>
                    <w:autoSpaceDE w:val="0"/>
                    <w:autoSpaceDN w:val="0"/>
                    <w:adjustRightInd w:val="0"/>
                    <w:snapToGrid w:val="0"/>
                    <w:jc w:val="center"/>
                    <w:rPr>
                      <w:kern w:val="0"/>
                      <w:szCs w:val="21"/>
                      <w:highlight w:val="none"/>
                    </w:rPr>
                  </w:pPr>
                  <w:r>
                    <w:rPr>
                      <w:rFonts w:hint="eastAsia"/>
                      <w:kern w:val="0"/>
                      <w:szCs w:val="21"/>
                      <w:highlight w:val="none"/>
                    </w:rPr>
                    <w:t>保税</w:t>
                  </w:r>
                </w:p>
                <w:p>
                  <w:pPr>
                    <w:autoSpaceDE w:val="0"/>
                    <w:autoSpaceDN w:val="0"/>
                    <w:adjustRightInd w:val="0"/>
                    <w:snapToGrid w:val="0"/>
                    <w:jc w:val="center"/>
                    <w:rPr>
                      <w:kern w:val="0"/>
                      <w:szCs w:val="21"/>
                      <w:highlight w:val="none"/>
                    </w:rPr>
                  </w:pPr>
                  <w:r>
                    <w:rPr>
                      <w:rFonts w:hint="eastAsia"/>
                      <w:kern w:val="0"/>
                      <w:szCs w:val="21"/>
                      <w:highlight w:val="none"/>
                    </w:rPr>
                    <w:t>区</w:t>
                  </w:r>
                </w:p>
              </w:tc>
              <w:tc>
                <w:tcPr>
                  <w:tcW w:w="806" w:type="pct"/>
                  <w:vMerge w:val="continue"/>
                  <w:vAlign w:val="center"/>
                </w:tcPr>
                <w:p>
                  <w:pPr>
                    <w:autoSpaceDE w:val="0"/>
                    <w:autoSpaceDN w:val="0"/>
                    <w:adjustRightInd w:val="0"/>
                    <w:snapToGrid w:val="0"/>
                    <w:jc w:val="center"/>
                    <w:rPr>
                      <w:kern w:val="0"/>
                      <w:szCs w:val="21"/>
                      <w:highlight w:val="none"/>
                    </w:rPr>
                  </w:pPr>
                </w:p>
              </w:tc>
              <w:tc>
                <w:tcPr>
                  <w:tcW w:w="807" w:type="pct"/>
                  <w:vAlign w:val="center"/>
                </w:tcPr>
                <w:p>
                  <w:pPr>
                    <w:autoSpaceDE w:val="0"/>
                    <w:autoSpaceDN w:val="0"/>
                    <w:adjustRightInd w:val="0"/>
                    <w:snapToGrid w:val="0"/>
                    <w:jc w:val="center"/>
                    <w:rPr>
                      <w:kern w:val="0"/>
                      <w:szCs w:val="21"/>
                      <w:highlight w:val="none"/>
                    </w:rPr>
                  </w:pPr>
                  <w:r>
                    <w:rPr>
                      <w:rFonts w:ascii="Courier New" w:hAnsi="Courier New" w:cs="Courier New"/>
                      <w:szCs w:val="21"/>
                      <w:highlight w:val="none"/>
                    </w:rPr>
                    <w:t>现代物流</w:t>
                  </w:r>
                </w:p>
              </w:tc>
              <w:tc>
                <w:tcPr>
                  <w:tcW w:w="1583" w:type="pct"/>
                  <w:vAlign w:val="center"/>
                </w:tcPr>
                <w:p>
                  <w:pPr>
                    <w:autoSpaceDE w:val="0"/>
                    <w:autoSpaceDN w:val="0"/>
                    <w:adjustRightInd w:val="0"/>
                    <w:snapToGrid w:val="0"/>
                    <w:jc w:val="center"/>
                    <w:rPr>
                      <w:kern w:val="0"/>
                      <w:szCs w:val="21"/>
                      <w:highlight w:val="none"/>
                    </w:rPr>
                  </w:pPr>
                  <w:r>
                    <w:rPr>
                      <w:rFonts w:ascii="Courier New" w:hAnsi="Courier New" w:cs="Courier New"/>
                      <w:szCs w:val="21"/>
                      <w:highlight w:val="none"/>
                    </w:rPr>
                    <w:t>公路旅客运输、道路货</w:t>
                  </w:r>
                  <w:r>
                    <w:rPr>
                      <w:szCs w:val="21"/>
                      <w:highlight w:val="none"/>
                    </w:rPr>
                    <w:br w:type="textWrapping"/>
                  </w:r>
                  <w:r>
                    <w:rPr>
                      <w:rFonts w:ascii="Courier New" w:hAnsi="Courier New" w:cs="Courier New"/>
                      <w:szCs w:val="21"/>
                      <w:highlight w:val="none"/>
                    </w:rPr>
                    <w:t>物运输、道路运输辅助</w:t>
                  </w:r>
                  <w:r>
                    <w:rPr>
                      <w:szCs w:val="21"/>
                      <w:highlight w:val="none"/>
                    </w:rPr>
                    <w:br w:type="textWrapping"/>
                  </w:r>
                  <w:r>
                    <w:rPr>
                      <w:rFonts w:ascii="Courier New" w:hAnsi="Courier New" w:cs="Courier New"/>
                      <w:szCs w:val="21"/>
                      <w:highlight w:val="none"/>
                    </w:rPr>
                    <w:t>活动、运输代理服务、</w:t>
                  </w:r>
                  <w:r>
                    <w:rPr>
                      <w:szCs w:val="21"/>
                      <w:highlight w:val="none"/>
                    </w:rPr>
                    <w:br w:type="textWrapping"/>
                  </w:r>
                  <w:r>
                    <w:rPr>
                      <w:rFonts w:ascii="Courier New" w:hAnsi="Courier New" w:cs="Courier New"/>
                      <w:szCs w:val="21"/>
                      <w:highlight w:val="none"/>
                    </w:rPr>
                    <w:t>其他仓储</w:t>
                  </w:r>
                </w:p>
              </w:tc>
              <w:tc>
                <w:tcPr>
                  <w:tcW w:w="950" w:type="pct"/>
                  <w:vAlign w:val="center"/>
                </w:tcPr>
                <w:p>
                  <w:pPr>
                    <w:autoSpaceDE w:val="0"/>
                    <w:autoSpaceDN w:val="0"/>
                    <w:adjustRightInd w:val="0"/>
                    <w:snapToGrid w:val="0"/>
                    <w:jc w:val="center"/>
                    <w:rPr>
                      <w:kern w:val="0"/>
                      <w:szCs w:val="21"/>
                      <w:highlight w:val="none"/>
                    </w:rPr>
                  </w:pPr>
                  <w:r>
                    <w:rPr>
                      <w:rFonts w:ascii="Courier New" w:hAnsi="Courier New" w:cs="Courier New"/>
                      <w:szCs w:val="21"/>
                      <w:highlight w:val="none"/>
                    </w:rPr>
                    <w:t>现代物流园</w:t>
                  </w:r>
                  <w:r>
                    <w:rPr>
                      <w:szCs w:val="21"/>
                      <w:highlight w:val="none"/>
                    </w:rPr>
                    <w:br w:type="textWrapping"/>
                  </w:r>
                  <w:r>
                    <w:rPr>
                      <w:rFonts w:ascii="Courier New" w:hAnsi="Courier New" w:cs="Courier New"/>
                      <w:szCs w:val="21"/>
                      <w:highlight w:val="none"/>
                    </w:rPr>
                    <w:t>区，产品集散</w:t>
                  </w:r>
                  <w:r>
                    <w:rPr>
                      <w:szCs w:val="21"/>
                      <w:highlight w:val="none"/>
                    </w:rPr>
                    <w:br w:type="textWrapping"/>
                  </w:r>
                  <w:r>
                    <w:rPr>
                      <w:rFonts w:ascii="Courier New" w:hAnsi="Courier New" w:cs="Courier New"/>
                      <w:szCs w:val="21"/>
                      <w:highlight w:val="none"/>
                    </w:rPr>
                    <w:t>中心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pct"/>
                  <w:vMerge w:val="continue"/>
                  <w:vAlign w:val="center"/>
                </w:tcPr>
                <w:p>
                  <w:pPr>
                    <w:autoSpaceDE w:val="0"/>
                    <w:autoSpaceDN w:val="0"/>
                    <w:adjustRightInd w:val="0"/>
                    <w:snapToGrid w:val="0"/>
                    <w:jc w:val="center"/>
                    <w:rPr>
                      <w:kern w:val="0"/>
                      <w:szCs w:val="21"/>
                      <w:highlight w:val="none"/>
                    </w:rPr>
                  </w:pPr>
                </w:p>
              </w:tc>
              <w:tc>
                <w:tcPr>
                  <w:tcW w:w="402" w:type="pct"/>
                  <w:vAlign w:val="center"/>
                </w:tcPr>
                <w:p>
                  <w:pPr>
                    <w:autoSpaceDE w:val="0"/>
                    <w:autoSpaceDN w:val="0"/>
                    <w:adjustRightInd w:val="0"/>
                    <w:snapToGrid w:val="0"/>
                    <w:jc w:val="center"/>
                    <w:rPr>
                      <w:kern w:val="0"/>
                      <w:szCs w:val="21"/>
                      <w:highlight w:val="none"/>
                    </w:rPr>
                  </w:pPr>
                  <w:r>
                    <w:rPr>
                      <w:rFonts w:hint="eastAsia"/>
                      <w:kern w:val="0"/>
                      <w:szCs w:val="21"/>
                      <w:highlight w:val="none"/>
                    </w:rPr>
                    <w:t>浒墅</w:t>
                  </w:r>
                </w:p>
                <w:p>
                  <w:pPr>
                    <w:autoSpaceDE w:val="0"/>
                    <w:autoSpaceDN w:val="0"/>
                    <w:adjustRightInd w:val="0"/>
                    <w:snapToGrid w:val="0"/>
                    <w:jc w:val="center"/>
                    <w:rPr>
                      <w:kern w:val="0"/>
                      <w:szCs w:val="21"/>
                      <w:highlight w:val="none"/>
                    </w:rPr>
                  </w:pPr>
                  <w:r>
                    <w:rPr>
                      <w:rFonts w:hint="eastAsia"/>
                      <w:kern w:val="0"/>
                      <w:szCs w:val="21"/>
                      <w:highlight w:val="none"/>
                    </w:rPr>
                    <w:t>关经</w:t>
                  </w:r>
                </w:p>
                <w:p>
                  <w:pPr>
                    <w:autoSpaceDE w:val="0"/>
                    <w:autoSpaceDN w:val="0"/>
                    <w:adjustRightInd w:val="0"/>
                    <w:snapToGrid w:val="0"/>
                    <w:jc w:val="center"/>
                    <w:rPr>
                      <w:kern w:val="0"/>
                      <w:szCs w:val="21"/>
                      <w:highlight w:val="none"/>
                    </w:rPr>
                  </w:pPr>
                  <w:r>
                    <w:rPr>
                      <w:rFonts w:hint="eastAsia"/>
                      <w:kern w:val="0"/>
                      <w:szCs w:val="21"/>
                      <w:highlight w:val="none"/>
                    </w:rPr>
                    <w:t>济技</w:t>
                  </w:r>
                </w:p>
                <w:p>
                  <w:pPr>
                    <w:autoSpaceDE w:val="0"/>
                    <w:autoSpaceDN w:val="0"/>
                    <w:adjustRightInd w:val="0"/>
                    <w:snapToGrid w:val="0"/>
                    <w:jc w:val="center"/>
                    <w:rPr>
                      <w:kern w:val="0"/>
                      <w:szCs w:val="21"/>
                      <w:highlight w:val="none"/>
                    </w:rPr>
                  </w:pPr>
                  <w:r>
                    <w:rPr>
                      <w:rFonts w:hint="eastAsia"/>
                      <w:kern w:val="0"/>
                      <w:szCs w:val="21"/>
                      <w:highlight w:val="none"/>
                    </w:rPr>
                    <w:t>术开</w:t>
                  </w:r>
                </w:p>
                <w:p>
                  <w:pPr>
                    <w:autoSpaceDE w:val="0"/>
                    <w:autoSpaceDN w:val="0"/>
                    <w:adjustRightInd w:val="0"/>
                    <w:snapToGrid w:val="0"/>
                    <w:jc w:val="center"/>
                    <w:rPr>
                      <w:kern w:val="0"/>
                      <w:szCs w:val="21"/>
                      <w:highlight w:val="none"/>
                    </w:rPr>
                  </w:pPr>
                  <w:r>
                    <w:rPr>
                      <w:rFonts w:hint="eastAsia"/>
                      <w:kern w:val="0"/>
                      <w:szCs w:val="21"/>
                      <w:highlight w:val="none"/>
                    </w:rPr>
                    <w:t>发区</w:t>
                  </w:r>
                </w:p>
              </w:tc>
              <w:tc>
                <w:tcPr>
                  <w:tcW w:w="806" w:type="pct"/>
                  <w:vMerge w:val="continue"/>
                  <w:vAlign w:val="center"/>
                </w:tcPr>
                <w:p>
                  <w:pPr>
                    <w:autoSpaceDE w:val="0"/>
                    <w:autoSpaceDN w:val="0"/>
                    <w:adjustRightInd w:val="0"/>
                    <w:snapToGrid w:val="0"/>
                    <w:jc w:val="center"/>
                    <w:rPr>
                      <w:kern w:val="0"/>
                      <w:szCs w:val="21"/>
                      <w:highlight w:val="none"/>
                    </w:rPr>
                  </w:pPr>
                </w:p>
              </w:tc>
              <w:tc>
                <w:tcPr>
                  <w:tcW w:w="807" w:type="pct"/>
                  <w:vAlign w:val="center"/>
                </w:tcPr>
                <w:p>
                  <w:pPr>
                    <w:autoSpaceDE w:val="0"/>
                    <w:autoSpaceDN w:val="0"/>
                    <w:adjustRightInd w:val="0"/>
                    <w:snapToGrid w:val="0"/>
                    <w:jc w:val="center"/>
                    <w:rPr>
                      <w:kern w:val="0"/>
                      <w:szCs w:val="21"/>
                      <w:highlight w:val="none"/>
                    </w:rPr>
                  </w:pPr>
                  <w:r>
                    <w:rPr>
                      <w:rFonts w:ascii="Courier New" w:hAnsi="Courier New" w:cs="Courier New"/>
                      <w:szCs w:val="21"/>
                      <w:highlight w:val="none"/>
                    </w:rPr>
                    <w:t>电子信息、</w:t>
                  </w:r>
                  <w:r>
                    <w:rPr>
                      <w:szCs w:val="21"/>
                      <w:highlight w:val="none"/>
                    </w:rPr>
                    <w:br w:type="textWrapping"/>
                  </w:r>
                  <w:r>
                    <w:rPr>
                      <w:rFonts w:ascii="Courier New" w:hAnsi="Courier New" w:cs="Courier New"/>
                      <w:szCs w:val="21"/>
                      <w:highlight w:val="none"/>
                    </w:rPr>
                    <w:t>装备制造、</w:t>
                  </w:r>
                  <w:r>
                    <w:rPr>
                      <w:szCs w:val="21"/>
                      <w:highlight w:val="none"/>
                    </w:rPr>
                    <w:br w:type="textWrapping"/>
                  </w:r>
                  <w:r>
                    <w:rPr>
                      <w:rFonts w:ascii="Courier New" w:hAnsi="Courier New" w:cs="Courier New"/>
                      <w:szCs w:val="21"/>
                      <w:highlight w:val="none"/>
                    </w:rPr>
                    <w:t>商务服务、</w:t>
                  </w:r>
                  <w:r>
                    <w:rPr>
                      <w:szCs w:val="21"/>
                      <w:highlight w:val="none"/>
                    </w:rPr>
                    <w:br w:type="textWrapping"/>
                  </w:r>
                  <w:r>
                    <w:rPr>
                      <w:rFonts w:ascii="Courier New" w:hAnsi="Courier New" w:cs="Courier New"/>
                      <w:szCs w:val="21"/>
                      <w:highlight w:val="none"/>
                    </w:rPr>
                    <w:t>金融保险</w:t>
                  </w:r>
                </w:p>
              </w:tc>
              <w:tc>
                <w:tcPr>
                  <w:tcW w:w="1583" w:type="pct"/>
                  <w:vAlign w:val="center"/>
                </w:tcPr>
                <w:p>
                  <w:pPr>
                    <w:autoSpaceDE w:val="0"/>
                    <w:autoSpaceDN w:val="0"/>
                    <w:adjustRightInd w:val="0"/>
                    <w:snapToGrid w:val="0"/>
                    <w:jc w:val="center"/>
                    <w:rPr>
                      <w:kern w:val="0"/>
                      <w:szCs w:val="21"/>
                      <w:highlight w:val="none"/>
                    </w:rPr>
                  </w:pPr>
                  <w:r>
                    <w:rPr>
                      <w:rFonts w:ascii="Courier New" w:hAnsi="Courier New" w:cs="Courier New"/>
                      <w:szCs w:val="21"/>
                      <w:highlight w:val="none"/>
                    </w:rPr>
                    <w:t>计算机及外部设备产</w:t>
                  </w:r>
                  <w:r>
                    <w:rPr>
                      <w:szCs w:val="21"/>
                      <w:highlight w:val="none"/>
                    </w:rPr>
                    <w:br w:type="textWrapping"/>
                  </w:r>
                  <w:r>
                    <w:rPr>
                      <w:rFonts w:ascii="Courier New" w:hAnsi="Courier New" w:cs="Courier New"/>
                      <w:szCs w:val="21"/>
                      <w:highlight w:val="none"/>
                    </w:rPr>
                    <w:t>业、基础元器件。汽车</w:t>
                  </w:r>
                  <w:r>
                    <w:rPr>
                      <w:szCs w:val="21"/>
                      <w:highlight w:val="none"/>
                    </w:rPr>
                    <w:br w:type="textWrapping"/>
                  </w:r>
                  <w:r>
                    <w:rPr>
                      <w:rFonts w:ascii="Courier New" w:hAnsi="Courier New" w:cs="Courier New"/>
                      <w:szCs w:val="21"/>
                      <w:highlight w:val="none"/>
                    </w:rPr>
                    <w:t>零部件、高端阀泵制</w:t>
                  </w:r>
                  <w:r>
                    <w:rPr>
                      <w:szCs w:val="21"/>
                      <w:highlight w:val="none"/>
                    </w:rPr>
                    <w:br w:type="textWrapping"/>
                  </w:r>
                  <w:r>
                    <w:rPr>
                      <w:rFonts w:ascii="Courier New" w:hAnsi="Courier New" w:cs="Courier New"/>
                      <w:szCs w:val="21"/>
                      <w:highlight w:val="none"/>
                    </w:rPr>
                    <w:t>造。企业管理服务、咨</w:t>
                  </w:r>
                  <w:r>
                    <w:rPr>
                      <w:szCs w:val="21"/>
                      <w:highlight w:val="none"/>
                    </w:rPr>
                    <w:br w:type="textWrapping"/>
                  </w:r>
                  <w:r>
                    <w:rPr>
                      <w:rFonts w:ascii="Courier New" w:hAnsi="Courier New" w:cs="Courier New"/>
                      <w:szCs w:val="21"/>
                      <w:highlight w:val="none"/>
                    </w:rPr>
                    <w:t>询与调查、信息服务、</w:t>
                  </w:r>
                  <w:r>
                    <w:rPr>
                      <w:szCs w:val="21"/>
                      <w:highlight w:val="none"/>
                    </w:rPr>
                    <w:br w:type="textWrapping"/>
                  </w:r>
                  <w:r>
                    <w:rPr>
                      <w:rFonts w:ascii="Courier New" w:hAnsi="Courier New" w:cs="Courier New"/>
                      <w:szCs w:val="21"/>
                      <w:highlight w:val="none"/>
                    </w:rPr>
                    <w:t>市场管理、机械设备租</w:t>
                  </w:r>
                  <w:r>
                    <w:rPr>
                      <w:szCs w:val="21"/>
                      <w:highlight w:val="none"/>
                    </w:rPr>
                    <w:br w:type="textWrapping"/>
                  </w:r>
                  <w:r>
                    <w:rPr>
                      <w:rFonts w:ascii="Courier New" w:hAnsi="Courier New" w:cs="Courier New"/>
                      <w:szCs w:val="21"/>
                      <w:highlight w:val="none"/>
                    </w:rPr>
                    <w:t>赁、金融保险</w:t>
                  </w:r>
                </w:p>
              </w:tc>
              <w:tc>
                <w:tcPr>
                  <w:tcW w:w="950" w:type="pct"/>
                  <w:vAlign w:val="center"/>
                </w:tcPr>
                <w:p>
                  <w:pPr>
                    <w:autoSpaceDE w:val="0"/>
                    <w:autoSpaceDN w:val="0"/>
                    <w:adjustRightInd w:val="0"/>
                    <w:snapToGrid w:val="0"/>
                    <w:jc w:val="center"/>
                    <w:rPr>
                      <w:kern w:val="0"/>
                      <w:szCs w:val="21"/>
                      <w:highlight w:val="none"/>
                    </w:rPr>
                  </w:pPr>
                  <w:r>
                    <w:rPr>
                      <w:rFonts w:ascii="Courier New" w:hAnsi="Courier New" w:cs="Courier New"/>
                      <w:szCs w:val="21"/>
                      <w:highlight w:val="none"/>
                    </w:rPr>
                    <w:t>以城际站为</w:t>
                  </w:r>
                  <w:r>
                    <w:rPr>
                      <w:szCs w:val="21"/>
                      <w:highlight w:val="none"/>
                    </w:rPr>
                    <w:br w:type="textWrapping"/>
                  </w:r>
                  <w:r>
                    <w:rPr>
                      <w:rFonts w:ascii="Courier New" w:hAnsi="Courier New" w:cs="Courier New"/>
                      <w:szCs w:val="21"/>
                      <w:highlight w:val="none"/>
                    </w:rPr>
                    <w:t>依托，以生产</w:t>
                  </w:r>
                  <w:r>
                    <w:rPr>
                      <w:szCs w:val="21"/>
                      <w:highlight w:val="none"/>
                    </w:rPr>
                    <w:br w:type="textWrapping"/>
                  </w:r>
                  <w:r>
                    <w:rPr>
                      <w:rFonts w:ascii="Courier New" w:hAnsi="Courier New" w:cs="Courier New"/>
                      <w:szCs w:val="21"/>
                      <w:highlight w:val="none"/>
                    </w:rPr>
                    <w:t>性服务主打</w:t>
                  </w:r>
                  <w:r>
                    <w:rPr>
                      <w:szCs w:val="21"/>
                      <w:highlight w:val="none"/>
                    </w:rPr>
                    <w:br w:type="textWrapping"/>
                  </w:r>
                  <w:r>
                    <w:rPr>
                      <w:rFonts w:ascii="Courier New" w:hAnsi="Courier New" w:cs="Courier New"/>
                      <w:szCs w:val="21"/>
                      <w:highlight w:val="none"/>
                    </w:rPr>
                    <w:t>的现代城市</w:t>
                  </w:r>
                  <w:r>
                    <w:rPr>
                      <w:szCs w:val="21"/>
                      <w:highlight w:val="none"/>
                    </w:rPr>
                    <w:br w:type="textWrapping"/>
                  </w:r>
                  <w:r>
                    <w:rPr>
                      <w:rFonts w:ascii="Courier New" w:hAnsi="Courier New" w:cs="Courier New"/>
                      <w:szCs w:val="21"/>
                      <w:highlight w:val="none"/>
                    </w:rPr>
                    <w:t>功能区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pct"/>
                  <w:vMerge w:val="continue"/>
                  <w:vAlign w:val="center"/>
                </w:tcPr>
                <w:p>
                  <w:pPr>
                    <w:autoSpaceDE w:val="0"/>
                    <w:autoSpaceDN w:val="0"/>
                    <w:adjustRightInd w:val="0"/>
                    <w:snapToGrid w:val="0"/>
                    <w:jc w:val="center"/>
                    <w:rPr>
                      <w:kern w:val="0"/>
                      <w:szCs w:val="21"/>
                      <w:highlight w:val="none"/>
                    </w:rPr>
                  </w:pPr>
                </w:p>
              </w:tc>
              <w:tc>
                <w:tcPr>
                  <w:tcW w:w="402" w:type="pct"/>
                  <w:vAlign w:val="center"/>
                </w:tcPr>
                <w:p>
                  <w:pPr>
                    <w:autoSpaceDE w:val="0"/>
                    <w:autoSpaceDN w:val="0"/>
                    <w:adjustRightInd w:val="0"/>
                    <w:snapToGrid w:val="0"/>
                    <w:jc w:val="center"/>
                    <w:rPr>
                      <w:kern w:val="0"/>
                      <w:szCs w:val="21"/>
                      <w:highlight w:val="none"/>
                    </w:rPr>
                  </w:pPr>
                  <w:r>
                    <w:rPr>
                      <w:rFonts w:hint="eastAsia"/>
                      <w:kern w:val="0"/>
                      <w:szCs w:val="21"/>
                      <w:highlight w:val="none"/>
                    </w:rPr>
                    <w:t>浒关</w:t>
                  </w:r>
                </w:p>
                <w:p>
                  <w:pPr>
                    <w:autoSpaceDE w:val="0"/>
                    <w:autoSpaceDN w:val="0"/>
                    <w:adjustRightInd w:val="0"/>
                    <w:snapToGrid w:val="0"/>
                    <w:jc w:val="center"/>
                    <w:rPr>
                      <w:kern w:val="0"/>
                      <w:szCs w:val="21"/>
                      <w:highlight w:val="none"/>
                    </w:rPr>
                  </w:pPr>
                  <w:r>
                    <w:rPr>
                      <w:rFonts w:hint="eastAsia"/>
                      <w:kern w:val="0"/>
                      <w:szCs w:val="21"/>
                      <w:highlight w:val="none"/>
                    </w:rPr>
                    <w:t>工业</w:t>
                  </w:r>
                </w:p>
                <w:p>
                  <w:pPr>
                    <w:autoSpaceDE w:val="0"/>
                    <w:autoSpaceDN w:val="0"/>
                    <w:adjustRightInd w:val="0"/>
                    <w:snapToGrid w:val="0"/>
                    <w:jc w:val="center"/>
                    <w:rPr>
                      <w:kern w:val="0"/>
                      <w:szCs w:val="21"/>
                      <w:highlight w:val="none"/>
                    </w:rPr>
                  </w:pPr>
                  <w:r>
                    <w:rPr>
                      <w:rFonts w:hint="eastAsia"/>
                      <w:kern w:val="0"/>
                      <w:szCs w:val="21"/>
                      <w:highlight w:val="none"/>
                    </w:rPr>
                    <w:t>园（含</w:t>
                  </w:r>
                </w:p>
                <w:p>
                  <w:pPr>
                    <w:autoSpaceDE w:val="0"/>
                    <w:autoSpaceDN w:val="0"/>
                    <w:adjustRightInd w:val="0"/>
                    <w:snapToGrid w:val="0"/>
                    <w:jc w:val="center"/>
                    <w:rPr>
                      <w:kern w:val="0"/>
                      <w:szCs w:val="21"/>
                      <w:highlight w:val="none"/>
                    </w:rPr>
                  </w:pPr>
                  <w:r>
                    <w:rPr>
                      <w:rFonts w:hint="eastAsia"/>
                      <w:kern w:val="0"/>
                      <w:szCs w:val="21"/>
                      <w:highlight w:val="none"/>
                    </w:rPr>
                    <w:t>化工</w:t>
                  </w:r>
                </w:p>
                <w:p>
                  <w:pPr>
                    <w:autoSpaceDE w:val="0"/>
                    <w:autoSpaceDN w:val="0"/>
                    <w:adjustRightInd w:val="0"/>
                    <w:snapToGrid w:val="0"/>
                    <w:jc w:val="center"/>
                    <w:rPr>
                      <w:kern w:val="0"/>
                      <w:szCs w:val="21"/>
                      <w:highlight w:val="none"/>
                    </w:rPr>
                  </w:pPr>
                  <w:r>
                    <w:rPr>
                      <w:rFonts w:hint="eastAsia"/>
                      <w:kern w:val="0"/>
                      <w:szCs w:val="21"/>
                      <w:highlight w:val="none"/>
                    </w:rPr>
                    <w:t>集中</w:t>
                  </w:r>
                </w:p>
                <w:p>
                  <w:pPr>
                    <w:autoSpaceDE w:val="0"/>
                    <w:autoSpaceDN w:val="0"/>
                    <w:adjustRightInd w:val="0"/>
                    <w:snapToGrid w:val="0"/>
                    <w:jc w:val="center"/>
                    <w:rPr>
                      <w:kern w:val="0"/>
                      <w:szCs w:val="21"/>
                      <w:highlight w:val="none"/>
                    </w:rPr>
                  </w:pPr>
                  <w:r>
                    <w:rPr>
                      <w:rFonts w:hint="eastAsia"/>
                      <w:kern w:val="0"/>
                      <w:szCs w:val="21"/>
                      <w:highlight w:val="none"/>
                    </w:rPr>
                    <w:t>区）</w:t>
                  </w:r>
                </w:p>
              </w:tc>
              <w:tc>
                <w:tcPr>
                  <w:tcW w:w="806" w:type="pct"/>
                  <w:vAlign w:val="center"/>
                </w:tcPr>
                <w:p>
                  <w:pPr>
                    <w:autoSpaceDE w:val="0"/>
                    <w:autoSpaceDN w:val="0"/>
                    <w:adjustRightInd w:val="0"/>
                    <w:snapToGrid w:val="0"/>
                    <w:jc w:val="center"/>
                    <w:rPr>
                      <w:kern w:val="0"/>
                      <w:szCs w:val="21"/>
                      <w:highlight w:val="none"/>
                    </w:rPr>
                  </w:pPr>
                  <w:r>
                    <w:rPr>
                      <w:rFonts w:ascii="Courier New" w:hAnsi="Courier New" w:cs="Courier New"/>
                      <w:szCs w:val="21"/>
                      <w:highlight w:val="none"/>
                    </w:rPr>
                    <w:t>机械、化</w:t>
                  </w:r>
                  <w:r>
                    <w:rPr>
                      <w:szCs w:val="21"/>
                      <w:highlight w:val="none"/>
                    </w:rPr>
                    <w:br w:type="textWrapping"/>
                  </w:r>
                  <w:r>
                    <w:rPr>
                      <w:rFonts w:ascii="Courier New" w:hAnsi="Courier New" w:cs="Courier New"/>
                      <w:szCs w:val="21"/>
                      <w:highlight w:val="none"/>
                    </w:rPr>
                    <w:t>工、轻工</w:t>
                  </w:r>
                </w:p>
              </w:tc>
              <w:tc>
                <w:tcPr>
                  <w:tcW w:w="807" w:type="pct"/>
                  <w:vAlign w:val="center"/>
                </w:tcPr>
                <w:p>
                  <w:pPr>
                    <w:autoSpaceDE w:val="0"/>
                    <w:autoSpaceDN w:val="0"/>
                    <w:adjustRightInd w:val="0"/>
                    <w:snapToGrid w:val="0"/>
                    <w:jc w:val="center"/>
                    <w:rPr>
                      <w:kern w:val="0"/>
                      <w:szCs w:val="21"/>
                      <w:highlight w:val="none"/>
                    </w:rPr>
                  </w:pPr>
                  <w:r>
                    <w:rPr>
                      <w:rFonts w:ascii="Courier New" w:hAnsi="Courier New" w:cs="Courier New"/>
                      <w:szCs w:val="21"/>
                      <w:highlight w:val="none"/>
                    </w:rPr>
                    <w:t>装备制造、</w:t>
                  </w:r>
                  <w:r>
                    <w:rPr>
                      <w:szCs w:val="21"/>
                      <w:highlight w:val="none"/>
                    </w:rPr>
                    <w:br w:type="textWrapping"/>
                  </w:r>
                  <w:r>
                    <w:rPr>
                      <w:rFonts w:ascii="Courier New" w:hAnsi="Courier New" w:cs="Courier New"/>
                      <w:szCs w:val="21"/>
                      <w:highlight w:val="none"/>
                    </w:rPr>
                    <w:t>化工</w:t>
                  </w:r>
                </w:p>
              </w:tc>
              <w:tc>
                <w:tcPr>
                  <w:tcW w:w="1583" w:type="pct"/>
                  <w:vAlign w:val="center"/>
                </w:tcPr>
                <w:p>
                  <w:pPr>
                    <w:autoSpaceDE w:val="0"/>
                    <w:autoSpaceDN w:val="0"/>
                    <w:adjustRightInd w:val="0"/>
                    <w:snapToGrid w:val="0"/>
                    <w:jc w:val="center"/>
                    <w:rPr>
                      <w:kern w:val="0"/>
                      <w:szCs w:val="21"/>
                      <w:highlight w:val="none"/>
                    </w:rPr>
                  </w:pPr>
                  <w:r>
                    <w:rPr>
                      <w:rFonts w:ascii="Courier New" w:hAnsi="Courier New" w:cs="Courier New"/>
                      <w:szCs w:val="21"/>
                      <w:highlight w:val="none"/>
                    </w:rPr>
                    <w:t>汽车零部件产业、专用</w:t>
                  </w:r>
                  <w:r>
                    <w:rPr>
                      <w:szCs w:val="21"/>
                      <w:highlight w:val="none"/>
                    </w:rPr>
                    <w:br w:type="textWrapping"/>
                  </w:r>
                  <w:r>
                    <w:rPr>
                      <w:rFonts w:ascii="Courier New" w:hAnsi="Courier New" w:cs="Courier New"/>
                      <w:szCs w:val="21"/>
                      <w:highlight w:val="none"/>
                    </w:rPr>
                    <w:t>化学品产业、日用化学</w:t>
                  </w:r>
                  <w:r>
                    <w:rPr>
                      <w:szCs w:val="21"/>
                      <w:highlight w:val="none"/>
                    </w:rPr>
                    <w:br w:type="textWrapping"/>
                  </w:r>
                  <w:r>
                    <w:rPr>
                      <w:rFonts w:ascii="Courier New" w:hAnsi="Courier New" w:cs="Courier New"/>
                      <w:szCs w:val="21"/>
                      <w:highlight w:val="none"/>
                    </w:rPr>
                    <w:t>品、新材料产业、生物</w:t>
                  </w:r>
                  <w:r>
                    <w:rPr>
                      <w:szCs w:val="21"/>
                      <w:highlight w:val="none"/>
                    </w:rPr>
                    <w:br w:type="textWrapping"/>
                  </w:r>
                  <w:r>
                    <w:rPr>
                      <w:rFonts w:ascii="Courier New" w:hAnsi="Courier New" w:cs="Courier New"/>
                      <w:szCs w:val="21"/>
                      <w:highlight w:val="none"/>
                    </w:rPr>
                    <w:t>技术及医药等</w:t>
                  </w:r>
                </w:p>
              </w:tc>
              <w:tc>
                <w:tcPr>
                  <w:tcW w:w="950" w:type="pct"/>
                  <w:vAlign w:val="center"/>
                </w:tcPr>
                <w:p>
                  <w:pPr>
                    <w:autoSpaceDE w:val="0"/>
                    <w:autoSpaceDN w:val="0"/>
                    <w:adjustRightInd w:val="0"/>
                    <w:snapToGrid w:val="0"/>
                    <w:jc w:val="center"/>
                    <w:rPr>
                      <w:kern w:val="0"/>
                      <w:szCs w:val="21"/>
                      <w:highlight w:val="none"/>
                    </w:rPr>
                  </w:pPr>
                  <w:r>
                    <w:rPr>
                      <w:rFonts w:ascii="Courier New" w:hAnsi="Courier New" w:cs="Courier New"/>
                      <w:szCs w:val="21"/>
                      <w:highlight w:val="none"/>
                    </w:rPr>
                    <w:t>区域化工产</w:t>
                  </w:r>
                  <w:r>
                    <w:rPr>
                      <w:szCs w:val="21"/>
                      <w:highlight w:val="none"/>
                    </w:rPr>
                    <w:br w:type="textWrapping"/>
                  </w:r>
                  <w:r>
                    <w:rPr>
                      <w:rFonts w:ascii="Courier New" w:hAnsi="Courier New" w:cs="Courier New"/>
                      <w:szCs w:val="21"/>
                      <w:highlight w:val="none"/>
                    </w:rPr>
                    <w:t>业集中区、生</w:t>
                  </w:r>
                  <w:r>
                    <w:rPr>
                      <w:szCs w:val="21"/>
                      <w:highlight w:val="none"/>
                    </w:rPr>
                    <w:br w:type="textWrapping"/>
                  </w:r>
                  <w:r>
                    <w:rPr>
                      <w:rFonts w:ascii="Courier New" w:hAnsi="Courier New" w:cs="Courier New"/>
                      <w:szCs w:val="21"/>
                      <w:highlight w:val="none"/>
                    </w:rPr>
                    <w:t>物医药基地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pct"/>
                  <w:vMerge w:val="continue"/>
                  <w:vAlign w:val="center"/>
                </w:tcPr>
                <w:p>
                  <w:pPr>
                    <w:autoSpaceDE w:val="0"/>
                    <w:autoSpaceDN w:val="0"/>
                    <w:adjustRightInd w:val="0"/>
                    <w:snapToGrid w:val="0"/>
                    <w:jc w:val="center"/>
                    <w:rPr>
                      <w:kern w:val="0"/>
                      <w:szCs w:val="21"/>
                      <w:highlight w:val="none"/>
                    </w:rPr>
                  </w:pPr>
                </w:p>
              </w:tc>
              <w:tc>
                <w:tcPr>
                  <w:tcW w:w="402" w:type="pct"/>
                  <w:vAlign w:val="center"/>
                </w:tcPr>
                <w:p>
                  <w:pPr>
                    <w:autoSpaceDE w:val="0"/>
                    <w:autoSpaceDN w:val="0"/>
                    <w:adjustRightInd w:val="0"/>
                    <w:snapToGrid w:val="0"/>
                    <w:jc w:val="center"/>
                    <w:rPr>
                      <w:kern w:val="0"/>
                      <w:szCs w:val="21"/>
                      <w:highlight w:val="none"/>
                    </w:rPr>
                  </w:pPr>
                  <w:r>
                    <w:rPr>
                      <w:rFonts w:hint="eastAsia"/>
                      <w:kern w:val="0"/>
                      <w:szCs w:val="21"/>
                      <w:highlight w:val="none"/>
                    </w:rPr>
                    <w:t>苏钢</w:t>
                  </w:r>
                </w:p>
                <w:p>
                  <w:pPr>
                    <w:autoSpaceDE w:val="0"/>
                    <w:autoSpaceDN w:val="0"/>
                    <w:adjustRightInd w:val="0"/>
                    <w:snapToGrid w:val="0"/>
                    <w:jc w:val="center"/>
                    <w:rPr>
                      <w:kern w:val="0"/>
                      <w:szCs w:val="21"/>
                      <w:highlight w:val="none"/>
                    </w:rPr>
                  </w:pPr>
                  <w:r>
                    <w:rPr>
                      <w:rFonts w:hint="eastAsia"/>
                      <w:kern w:val="0"/>
                      <w:szCs w:val="21"/>
                      <w:highlight w:val="none"/>
                    </w:rPr>
                    <w:t>片区</w:t>
                  </w:r>
                </w:p>
              </w:tc>
              <w:tc>
                <w:tcPr>
                  <w:tcW w:w="806" w:type="pct"/>
                  <w:vAlign w:val="center"/>
                </w:tcPr>
                <w:p>
                  <w:pPr>
                    <w:autoSpaceDE w:val="0"/>
                    <w:autoSpaceDN w:val="0"/>
                    <w:adjustRightInd w:val="0"/>
                    <w:snapToGrid w:val="0"/>
                    <w:jc w:val="center"/>
                    <w:rPr>
                      <w:kern w:val="0"/>
                      <w:szCs w:val="21"/>
                      <w:highlight w:val="none"/>
                    </w:rPr>
                  </w:pPr>
                  <w:r>
                    <w:rPr>
                      <w:rFonts w:ascii="Courier New" w:hAnsi="Courier New" w:cs="Courier New"/>
                      <w:szCs w:val="21"/>
                      <w:highlight w:val="none"/>
                    </w:rPr>
                    <w:t>钢铁加工</w:t>
                  </w:r>
                  <w:r>
                    <w:rPr>
                      <w:szCs w:val="21"/>
                      <w:highlight w:val="none"/>
                    </w:rPr>
                    <w:br w:type="textWrapping"/>
                  </w:r>
                  <w:r>
                    <w:rPr>
                      <w:rFonts w:ascii="Courier New" w:hAnsi="Courier New" w:cs="Courier New"/>
                      <w:szCs w:val="21"/>
                      <w:highlight w:val="none"/>
                    </w:rPr>
                    <w:t>（炼铁产</w:t>
                  </w:r>
                  <w:r>
                    <w:rPr>
                      <w:szCs w:val="21"/>
                      <w:highlight w:val="none"/>
                    </w:rPr>
                    <w:br w:type="textWrapping"/>
                  </w:r>
                  <w:r>
                    <w:rPr>
                      <w:rFonts w:ascii="Courier New" w:hAnsi="Courier New" w:cs="Courier New"/>
                      <w:szCs w:val="21"/>
                      <w:highlight w:val="none"/>
                    </w:rPr>
                    <w:t>能</w:t>
                  </w:r>
                  <w:r>
                    <w:rPr>
                      <w:szCs w:val="21"/>
                      <w:highlight w:val="none"/>
                    </w:rPr>
                    <w:t>60</w:t>
                  </w:r>
                  <w:r>
                    <w:rPr>
                      <w:rFonts w:ascii="Courier New" w:hAnsi="Courier New" w:cs="Courier New"/>
                      <w:szCs w:val="21"/>
                      <w:highlight w:val="none"/>
                    </w:rPr>
                    <w:t>万</w:t>
                  </w:r>
                  <w:r>
                    <w:rPr>
                      <w:szCs w:val="21"/>
                      <w:highlight w:val="none"/>
                    </w:rPr>
                    <w:t>t</w:t>
                  </w:r>
                  <w:r>
                    <w:rPr>
                      <w:rFonts w:ascii="Courier New" w:hAnsi="Courier New" w:cs="Courier New"/>
                      <w:szCs w:val="21"/>
                      <w:highlight w:val="none"/>
                    </w:rPr>
                    <w:t>，</w:t>
                  </w:r>
                  <w:r>
                    <w:rPr>
                      <w:szCs w:val="21"/>
                      <w:highlight w:val="none"/>
                    </w:rPr>
                    <w:br w:type="textWrapping"/>
                  </w:r>
                  <w:r>
                    <w:rPr>
                      <w:rFonts w:ascii="Courier New" w:hAnsi="Courier New" w:cs="Courier New"/>
                      <w:szCs w:val="21"/>
                      <w:highlight w:val="none"/>
                    </w:rPr>
                    <w:t>炼钢</w:t>
                  </w:r>
                  <w:r>
                    <w:rPr>
                      <w:szCs w:val="21"/>
                      <w:highlight w:val="none"/>
                    </w:rPr>
                    <w:t>120</w:t>
                  </w:r>
                  <w:r>
                    <w:rPr>
                      <w:rFonts w:ascii="Courier New" w:hAnsi="Courier New" w:cs="Courier New"/>
                      <w:szCs w:val="21"/>
                      <w:highlight w:val="none"/>
                    </w:rPr>
                    <w:t>万</w:t>
                  </w:r>
                  <w:r>
                    <w:rPr>
                      <w:szCs w:val="21"/>
                      <w:highlight w:val="none"/>
                    </w:rPr>
                    <w:br w:type="textWrapping"/>
                  </w:r>
                  <w:r>
                    <w:rPr>
                      <w:szCs w:val="21"/>
                      <w:highlight w:val="none"/>
                    </w:rPr>
                    <w:t>t</w:t>
                  </w:r>
                  <w:r>
                    <w:rPr>
                      <w:rFonts w:ascii="Courier New" w:hAnsi="Courier New" w:cs="Courier New"/>
                      <w:szCs w:val="21"/>
                      <w:highlight w:val="none"/>
                    </w:rPr>
                    <w:t>）</w:t>
                  </w:r>
                </w:p>
              </w:tc>
              <w:tc>
                <w:tcPr>
                  <w:tcW w:w="807" w:type="pct"/>
                  <w:vAlign w:val="center"/>
                </w:tcPr>
                <w:p>
                  <w:pPr>
                    <w:autoSpaceDE w:val="0"/>
                    <w:autoSpaceDN w:val="0"/>
                    <w:adjustRightInd w:val="0"/>
                    <w:snapToGrid w:val="0"/>
                    <w:jc w:val="center"/>
                    <w:rPr>
                      <w:kern w:val="0"/>
                      <w:szCs w:val="21"/>
                      <w:highlight w:val="none"/>
                    </w:rPr>
                  </w:pPr>
                  <w:r>
                    <w:rPr>
                      <w:rFonts w:ascii="Courier New" w:hAnsi="Courier New" w:cs="Courier New"/>
                      <w:szCs w:val="21"/>
                      <w:highlight w:val="none"/>
                    </w:rPr>
                    <w:t>维持现有</w:t>
                  </w:r>
                  <w:r>
                    <w:rPr>
                      <w:szCs w:val="21"/>
                      <w:highlight w:val="none"/>
                    </w:rPr>
                    <w:br w:type="textWrapping"/>
                  </w:r>
                  <w:r>
                    <w:rPr>
                      <w:rFonts w:ascii="Courier New" w:hAnsi="Courier New" w:cs="Courier New"/>
                      <w:szCs w:val="21"/>
                      <w:highlight w:val="none"/>
                    </w:rPr>
                    <w:t>产能。科技</w:t>
                  </w:r>
                  <w:r>
                    <w:rPr>
                      <w:szCs w:val="21"/>
                      <w:highlight w:val="none"/>
                    </w:rPr>
                    <w:br w:type="textWrapping"/>
                  </w:r>
                  <w:r>
                    <w:rPr>
                      <w:rFonts w:ascii="Courier New" w:hAnsi="Courier New" w:cs="Courier New"/>
                      <w:szCs w:val="21"/>
                      <w:highlight w:val="none"/>
                    </w:rPr>
                    <w:t>研发（金属</w:t>
                  </w:r>
                  <w:r>
                    <w:rPr>
                      <w:szCs w:val="21"/>
                      <w:highlight w:val="none"/>
                    </w:rPr>
                    <w:br w:type="textWrapping"/>
                  </w:r>
                  <w:r>
                    <w:rPr>
                      <w:rFonts w:ascii="Courier New" w:hAnsi="Courier New" w:cs="Courier New"/>
                      <w:szCs w:val="21"/>
                      <w:highlight w:val="none"/>
                    </w:rPr>
                    <w:t>器械及零</w:t>
                  </w:r>
                  <w:r>
                    <w:rPr>
                      <w:szCs w:val="21"/>
                      <w:highlight w:val="none"/>
                    </w:rPr>
                    <w:br w:type="textWrapping"/>
                  </w:r>
                  <w:r>
                    <w:rPr>
                      <w:rFonts w:ascii="Courier New" w:hAnsi="Courier New" w:cs="Courier New"/>
                      <w:szCs w:val="21"/>
                      <w:highlight w:val="none"/>
                    </w:rPr>
                    <w:t>配件）</w:t>
                  </w:r>
                </w:p>
              </w:tc>
              <w:tc>
                <w:tcPr>
                  <w:tcW w:w="1583" w:type="pct"/>
                  <w:vAlign w:val="center"/>
                </w:tcPr>
                <w:p>
                  <w:pPr>
                    <w:autoSpaceDE w:val="0"/>
                    <w:autoSpaceDN w:val="0"/>
                    <w:adjustRightInd w:val="0"/>
                    <w:snapToGrid w:val="0"/>
                    <w:jc w:val="center"/>
                    <w:rPr>
                      <w:kern w:val="0"/>
                      <w:szCs w:val="21"/>
                      <w:highlight w:val="none"/>
                    </w:rPr>
                  </w:pPr>
                  <w:r>
                    <w:rPr>
                      <w:rFonts w:ascii="Courier New" w:hAnsi="Courier New" w:cs="Courier New"/>
                      <w:szCs w:val="21"/>
                      <w:highlight w:val="none"/>
                    </w:rPr>
                    <w:t>金属器械及零配件生</w:t>
                  </w:r>
                  <w:r>
                    <w:rPr>
                      <w:szCs w:val="21"/>
                      <w:highlight w:val="none"/>
                    </w:rPr>
                    <w:br w:type="textWrapping"/>
                  </w:r>
                  <w:r>
                    <w:rPr>
                      <w:rFonts w:ascii="Courier New" w:hAnsi="Courier New" w:cs="Courier New"/>
                      <w:szCs w:val="21"/>
                      <w:highlight w:val="none"/>
                    </w:rPr>
                    <w:t>产设计</w:t>
                  </w:r>
                </w:p>
              </w:tc>
              <w:tc>
                <w:tcPr>
                  <w:tcW w:w="950" w:type="pct"/>
                  <w:vAlign w:val="center"/>
                </w:tcPr>
                <w:p>
                  <w:pPr>
                    <w:autoSpaceDE w:val="0"/>
                    <w:autoSpaceDN w:val="0"/>
                    <w:adjustRightInd w:val="0"/>
                    <w:snapToGrid w:val="0"/>
                    <w:jc w:val="center"/>
                    <w:rPr>
                      <w:kern w:val="0"/>
                      <w:szCs w:val="21"/>
                      <w:highlight w:val="none"/>
                    </w:rPr>
                  </w:pPr>
                  <w:r>
                    <w:rPr>
                      <w:rFonts w:ascii="Courier New" w:hAnsi="Courier New" w:cs="Courier New"/>
                      <w:szCs w:val="21"/>
                      <w:highlight w:val="none"/>
                    </w:rPr>
                    <w:t>金属制品设</w:t>
                  </w:r>
                  <w:r>
                    <w:rPr>
                      <w:szCs w:val="21"/>
                      <w:highlight w:val="none"/>
                    </w:rPr>
                    <w:br w:type="textWrapping"/>
                  </w:r>
                  <w:r>
                    <w:rPr>
                      <w:rFonts w:ascii="Courier New" w:hAnsi="Courier New" w:cs="Courier New"/>
                      <w:szCs w:val="21"/>
                      <w:highlight w:val="none"/>
                    </w:rPr>
                    <w:t>计和研发中</w:t>
                  </w:r>
                  <w:r>
                    <w:rPr>
                      <w:szCs w:val="21"/>
                      <w:highlight w:val="none"/>
                    </w:rPr>
                    <w:br w:type="textWrapping"/>
                  </w:r>
                  <w:r>
                    <w:rPr>
                      <w:rFonts w:ascii="Courier New" w:hAnsi="Courier New" w:cs="Courier New"/>
                      <w:szCs w:val="21"/>
                      <w:highlight w:val="none"/>
                    </w:rPr>
                    <w:t>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pct"/>
                  <w:vMerge w:val="continue"/>
                  <w:vAlign w:val="center"/>
                </w:tcPr>
                <w:p>
                  <w:pPr>
                    <w:autoSpaceDE w:val="0"/>
                    <w:autoSpaceDN w:val="0"/>
                    <w:adjustRightInd w:val="0"/>
                    <w:snapToGrid w:val="0"/>
                    <w:jc w:val="center"/>
                    <w:rPr>
                      <w:kern w:val="0"/>
                      <w:szCs w:val="21"/>
                      <w:highlight w:val="none"/>
                    </w:rPr>
                  </w:pPr>
                </w:p>
              </w:tc>
              <w:tc>
                <w:tcPr>
                  <w:tcW w:w="402" w:type="pct"/>
                  <w:vAlign w:val="center"/>
                </w:tcPr>
                <w:p>
                  <w:pPr>
                    <w:autoSpaceDE w:val="0"/>
                    <w:autoSpaceDN w:val="0"/>
                    <w:adjustRightInd w:val="0"/>
                    <w:snapToGrid w:val="0"/>
                    <w:jc w:val="center"/>
                    <w:rPr>
                      <w:kern w:val="0"/>
                      <w:szCs w:val="21"/>
                      <w:highlight w:val="none"/>
                    </w:rPr>
                  </w:pPr>
                  <w:r>
                    <w:rPr>
                      <w:rFonts w:hint="eastAsia"/>
                      <w:kern w:val="0"/>
                      <w:szCs w:val="21"/>
                      <w:highlight w:val="none"/>
                    </w:rPr>
                    <w:t>通安</w:t>
                  </w:r>
                </w:p>
                <w:p>
                  <w:pPr>
                    <w:autoSpaceDE w:val="0"/>
                    <w:autoSpaceDN w:val="0"/>
                    <w:adjustRightInd w:val="0"/>
                    <w:snapToGrid w:val="0"/>
                    <w:jc w:val="center"/>
                    <w:rPr>
                      <w:kern w:val="0"/>
                      <w:szCs w:val="21"/>
                      <w:highlight w:val="none"/>
                    </w:rPr>
                  </w:pPr>
                  <w:r>
                    <w:rPr>
                      <w:rFonts w:hint="eastAsia"/>
                      <w:kern w:val="0"/>
                      <w:szCs w:val="21"/>
                      <w:highlight w:val="none"/>
                    </w:rPr>
                    <w:t>片区</w:t>
                  </w:r>
                </w:p>
              </w:tc>
              <w:tc>
                <w:tcPr>
                  <w:tcW w:w="806" w:type="pct"/>
                  <w:vAlign w:val="center"/>
                </w:tcPr>
                <w:p>
                  <w:pPr>
                    <w:autoSpaceDE w:val="0"/>
                    <w:autoSpaceDN w:val="0"/>
                    <w:adjustRightInd w:val="0"/>
                    <w:snapToGrid w:val="0"/>
                    <w:jc w:val="center"/>
                    <w:rPr>
                      <w:kern w:val="0"/>
                      <w:szCs w:val="21"/>
                      <w:highlight w:val="none"/>
                    </w:rPr>
                  </w:pPr>
                  <w:r>
                    <w:rPr>
                      <w:rFonts w:ascii="Courier New" w:hAnsi="Courier New" w:cs="Courier New"/>
                      <w:szCs w:val="21"/>
                      <w:highlight w:val="none"/>
                    </w:rPr>
                    <w:t>电子、建材</w:t>
                  </w:r>
                </w:p>
              </w:tc>
              <w:tc>
                <w:tcPr>
                  <w:tcW w:w="807" w:type="pct"/>
                  <w:vAlign w:val="center"/>
                </w:tcPr>
                <w:p>
                  <w:pPr>
                    <w:autoSpaceDE w:val="0"/>
                    <w:autoSpaceDN w:val="0"/>
                    <w:adjustRightInd w:val="0"/>
                    <w:snapToGrid w:val="0"/>
                    <w:jc w:val="center"/>
                    <w:rPr>
                      <w:kern w:val="0"/>
                      <w:szCs w:val="21"/>
                      <w:highlight w:val="none"/>
                    </w:rPr>
                  </w:pPr>
                  <w:r>
                    <w:rPr>
                      <w:rFonts w:ascii="Courier New" w:hAnsi="Courier New" w:cs="Courier New"/>
                      <w:szCs w:val="21"/>
                      <w:highlight w:val="none"/>
                    </w:rPr>
                    <w:t>电子</w:t>
                  </w:r>
                </w:p>
              </w:tc>
              <w:tc>
                <w:tcPr>
                  <w:tcW w:w="1583" w:type="pct"/>
                  <w:vAlign w:val="center"/>
                </w:tcPr>
                <w:p>
                  <w:pPr>
                    <w:autoSpaceDE w:val="0"/>
                    <w:autoSpaceDN w:val="0"/>
                    <w:adjustRightInd w:val="0"/>
                    <w:snapToGrid w:val="0"/>
                    <w:jc w:val="center"/>
                    <w:rPr>
                      <w:kern w:val="0"/>
                      <w:szCs w:val="21"/>
                      <w:highlight w:val="none"/>
                    </w:rPr>
                  </w:pPr>
                  <w:r>
                    <w:rPr>
                      <w:rFonts w:ascii="Courier New" w:hAnsi="Courier New" w:cs="Courier New"/>
                      <w:szCs w:val="21"/>
                      <w:highlight w:val="none"/>
                    </w:rPr>
                    <w:t>计算机制造、电子器件</w:t>
                  </w:r>
                  <w:r>
                    <w:rPr>
                      <w:szCs w:val="21"/>
                      <w:highlight w:val="none"/>
                    </w:rPr>
                    <w:br w:type="textWrapping"/>
                  </w:r>
                  <w:r>
                    <w:rPr>
                      <w:rFonts w:ascii="Courier New" w:hAnsi="Courier New" w:cs="Courier New"/>
                      <w:szCs w:val="21"/>
                      <w:highlight w:val="none"/>
                    </w:rPr>
                    <w:t>和元件制造及研发、计</w:t>
                  </w:r>
                  <w:r>
                    <w:rPr>
                      <w:szCs w:val="21"/>
                      <w:highlight w:val="none"/>
                    </w:rPr>
                    <w:br w:type="textWrapping"/>
                  </w:r>
                  <w:r>
                    <w:rPr>
                      <w:rFonts w:ascii="Courier New" w:hAnsi="Courier New" w:cs="Courier New"/>
                      <w:szCs w:val="21"/>
                      <w:highlight w:val="none"/>
                    </w:rPr>
                    <w:t>算机系统服务、数据处</w:t>
                  </w:r>
                  <w:r>
                    <w:rPr>
                      <w:szCs w:val="21"/>
                      <w:highlight w:val="none"/>
                    </w:rPr>
                    <w:br w:type="textWrapping"/>
                  </w:r>
                  <w:r>
                    <w:rPr>
                      <w:rFonts w:ascii="Courier New" w:hAnsi="Courier New" w:cs="Courier New"/>
                      <w:szCs w:val="21"/>
                      <w:highlight w:val="none"/>
                    </w:rPr>
                    <w:t>理</w:t>
                  </w:r>
                </w:p>
              </w:tc>
              <w:tc>
                <w:tcPr>
                  <w:tcW w:w="950" w:type="pct"/>
                  <w:vAlign w:val="center"/>
                </w:tcPr>
                <w:p>
                  <w:pPr>
                    <w:autoSpaceDE w:val="0"/>
                    <w:autoSpaceDN w:val="0"/>
                    <w:adjustRightInd w:val="0"/>
                    <w:snapToGrid w:val="0"/>
                    <w:jc w:val="center"/>
                    <w:rPr>
                      <w:kern w:val="0"/>
                      <w:szCs w:val="21"/>
                      <w:highlight w:val="none"/>
                    </w:rPr>
                  </w:pPr>
                  <w:r>
                    <w:rPr>
                      <w:rFonts w:ascii="Courier New" w:hAnsi="Courier New" w:cs="Courier New"/>
                      <w:szCs w:val="21"/>
                      <w:highlight w:val="none"/>
                    </w:rPr>
                    <w:t>电子科技园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pct"/>
                  <w:vAlign w:val="center"/>
                </w:tcPr>
                <w:p>
                  <w:pPr>
                    <w:autoSpaceDE w:val="0"/>
                    <w:autoSpaceDN w:val="0"/>
                    <w:adjustRightInd w:val="0"/>
                    <w:snapToGrid w:val="0"/>
                    <w:jc w:val="center"/>
                    <w:rPr>
                      <w:kern w:val="0"/>
                      <w:szCs w:val="21"/>
                      <w:highlight w:val="none"/>
                    </w:rPr>
                  </w:pPr>
                  <w:r>
                    <w:rPr>
                      <w:kern w:val="0"/>
                      <w:szCs w:val="21"/>
                      <w:highlight w:val="none"/>
                    </w:rPr>
                    <w:t>科技城组团</w:t>
                  </w:r>
                </w:p>
              </w:tc>
              <w:tc>
                <w:tcPr>
                  <w:tcW w:w="402" w:type="pct"/>
                  <w:vAlign w:val="center"/>
                </w:tcPr>
                <w:p>
                  <w:pPr>
                    <w:autoSpaceDE w:val="0"/>
                    <w:autoSpaceDN w:val="0"/>
                    <w:adjustRightInd w:val="0"/>
                    <w:snapToGrid w:val="0"/>
                    <w:jc w:val="center"/>
                    <w:rPr>
                      <w:kern w:val="0"/>
                      <w:szCs w:val="21"/>
                      <w:highlight w:val="none"/>
                    </w:rPr>
                  </w:pPr>
                  <w:r>
                    <w:rPr>
                      <w:rFonts w:hint="eastAsia"/>
                      <w:kern w:val="0"/>
                      <w:szCs w:val="21"/>
                      <w:highlight w:val="none"/>
                    </w:rPr>
                    <w:t>科技</w:t>
                  </w:r>
                </w:p>
                <w:p>
                  <w:pPr>
                    <w:autoSpaceDE w:val="0"/>
                    <w:autoSpaceDN w:val="0"/>
                    <w:adjustRightInd w:val="0"/>
                    <w:snapToGrid w:val="0"/>
                    <w:jc w:val="center"/>
                    <w:rPr>
                      <w:kern w:val="0"/>
                      <w:szCs w:val="21"/>
                      <w:highlight w:val="none"/>
                    </w:rPr>
                  </w:pPr>
                  <w:r>
                    <w:rPr>
                      <w:rFonts w:hint="eastAsia"/>
                      <w:kern w:val="0"/>
                      <w:szCs w:val="21"/>
                      <w:highlight w:val="none"/>
                    </w:rPr>
                    <w:t>城</w:t>
                  </w:r>
                </w:p>
              </w:tc>
              <w:tc>
                <w:tcPr>
                  <w:tcW w:w="806" w:type="pct"/>
                  <w:vAlign w:val="center"/>
                </w:tcPr>
                <w:p>
                  <w:pPr>
                    <w:autoSpaceDE w:val="0"/>
                    <w:autoSpaceDN w:val="0"/>
                    <w:adjustRightInd w:val="0"/>
                    <w:snapToGrid w:val="0"/>
                    <w:jc w:val="center"/>
                    <w:rPr>
                      <w:kern w:val="0"/>
                      <w:szCs w:val="21"/>
                      <w:highlight w:val="none"/>
                    </w:rPr>
                  </w:pPr>
                  <w:r>
                    <w:rPr>
                      <w:rFonts w:hint="eastAsia"/>
                      <w:kern w:val="0"/>
                      <w:szCs w:val="21"/>
                      <w:highlight w:val="none"/>
                    </w:rPr>
                    <w:t>装备制造、</w:t>
                  </w:r>
                </w:p>
                <w:p>
                  <w:pPr>
                    <w:autoSpaceDE w:val="0"/>
                    <w:autoSpaceDN w:val="0"/>
                    <w:adjustRightInd w:val="0"/>
                    <w:snapToGrid w:val="0"/>
                    <w:jc w:val="center"/>
                    <w:rPr>
                      <w:kern w:val="0"/>
                      <w:szCs w:val="21"/>
                      <w:highlight w:val="none"/>
                    </w:rPr>
                  </w:pPr>
                  <w:r>
                    <w:rPr>
                      <w:rFonts w:hint="eastAsia"/>
                      <w:kern w:val="0"/>
                      <w:szCs w:val="21"/>
                      <w:highlight w:val="none"/>
                    </w:rPr>
                    <w:t>电子信息、</w:t>
                  </w:r>
                </w:p>
                <w:p>
                  <w:pPr>
                    <w:autoSpaceDE w:val="0"/>
                    <w:autoSpaceDN w:val="0"/>
                    <w:adjustRightInd w:val="0"/>
                    <w:snapToGrid w:val="0"/>
                    <w:jc w:val="center"/>
                    <w:rPr>
                      <w:kern w:val="0"/>
                      <w:szCs w:val="21"/>
                      <w:highlight w:val="none"/>
                    </w:rPr>
                  </w:pPr>
                  <w:r>
                    <w:rPr>
                      <w:rFonts w:hint="eastAsia"/>
                      <w:kern w:val="0"/>
                      <w:szCs w:val="21"/>
                      <w:highlight w:val="none"/>
                    </w:rPr>
                    <w:t>科技研发、</w:t>
                  </w:r>
                </w:p>
                <w:p>
                  <w:pPr>
                    <w:autoSpaceDE w:val="0"/>
                    <w:autoSpaceDN w:val="0"/>
                    <w:adjustRightInd w:val="0"/>
                    <w:snapToGrid w:val="0"/>
                    <w:jc w:val="center"/>
                    <w:rPr>
                      <w:kern w:val="0"/>
                      <w:szCs w:val="21"/>
                      <w:highlight w:val="none"/>
                    </w:rPr>
                  </w:pPr>
                  <w:r>
                    <w:rPr>
                      <w:rFonts w:hint="eastAsia"/>
                      <w:kern w:val="0"/>
                      <w:szCs w:val="21"/>
                      <w:highlight w:val="none"/>
                    </w:rPr>
                    <w:t>新能源</w:t>
                  </w:r>
                </w:p>
              </w:tc>
              <w:tc>
                <w:tcPr>
                  <w:tcW w:w="807" w:type="pct"/>
                  <w:vAlign w:val="center"/>
                </w:tcPr>
                <w:p>
                  <w:pPr>
                    <w:autoSpaceDE w:val="0"/>
                    <w:autoSpaceDN w:val="0"/>
                    <w:adjustRightInd w:val="0"/>
                    <w:snapToGrid w:val="0"/>
                    <w:jc w:val="center"/>
                    <w:rPr>
                      <w:kern w:val="0"/>
                      <w:szCs w:val="21"/>
                      <w:highlight w:val="none"/>
                    </w:rPr>
                  </w:pPr>
                  <w:r>
                    <w:rPr>
                      <w:rFonts w:hint="eastAsia"/>
                      <w:kern w:val="0"/>
                      <w:szCs w:val="21"/>
                      <w:highlight w:val="none"/>
                    </w:rPr>
                    <w:t>轨道交通、</w:t>
                  </w:r>
                </w:p>
                <w:p>
                  <w:pPr>
                    <w:autoSpaceDE w:val="0"/>
                    <w:autoSpaceDN w:val="0"/>
                    <w:adjustRightInd w:val="0"/>
                    <w:snapToGrid w:val="0"/>
                    <w:jc w:val="center"/>
                    <w:rPr>
                      <w:kern w:val="0"/>
                      <w:szCs w:val="21"/>
                      <w:highlight w:val="none"/>
                    </w:rPr>
                  </w:pPr>
                  <w:r>
                    <w:rPr>
                      <w:rFonts w:hint="eastAsia"/>
                      <w:kern w:val="0"/>
                      <w:szCs w:val="21"/>
                      <w:highlight w:val="none"/>
                    </w:rPr>
                    <w:t>新一代信</w:t>
                  </w:r>
                </w:p>
                <w:p>
                  <w:pPr>
                    <w:autoSpaceDE w:val="0"/>
                    <w:autoSpaceDN w:val="0"/>
                    <w:adjustRightInd w:val="0"/>
                    <w:snapToGrid w:val="0"/>
                    <w:jc w:val="center"/>
                    <w:rPr>
                      <w:kern w:val="0"/>
                      <w:szCs w:val="21"/>
                      <w:highlight w:val="none"/>
                    </w:rPr>
                  </w:pPr>
                  <w:r>
                    <w:rPr>
                      <w:rFonts w:hint="eastAsia"/>
                      <w:kern w:val="0"/>
                      <w:szCs w:val="21"/>
                      <w:highlight w:val="none"/>
                    </w:rPr>
                    <w:t>息技术、科</w:t>
                  </w:r>
                </w:p>
                <w:p>
                  <w:pPr>
                    <w:autoSpaceDE w:val="0"/>
                    <w:autoSpaceDN w:val="0"/>
                    <w:adjustRightInd w:val="0"/>
                    <w:snapToGrid w:val="0"/>
                    <w:jc w:val="center"/>
                    <w:rPr>
                      <w:kern w:val="0"/>
                      <w:szCs w:val="21"/>
                      <w:highlight w:val="none"/>
                    </w:rPr>
                  </w:pPr>
                  <w:r>
                    <w:rPr>
                      <w:rFonts w:hint="eastAsia"/>
                      <w:kern w:val="0"/>
                      <w:szCs w:val="21"/>
                      <w:highlight w:val="none"/>
                    </w:rPr>
                    <w:t>技研发（电</w:t>
                  </w:r>
                </w:p>
                <w:p>
                  <w:pPr>
                    <w:autoSpaceDE w:val="0"/>
                    <w:autoSpaceDN w:val="0"/>
                    <w:adjustRightInd w:val="0"/>
                    <w:snapToGrid w:val="0"/>
                    <w:jc w:val="center"/>
                    <w:rPr>
                      <w:kern w:val="0"/>
                      <w:szCs w:val="21"/>
                      <w:highlight w:val="none"/>
                    </w:rPr>
                  </w:pPr>
                  <w:r>
                    <w:rPr>
                      <w:rFonts w:hint="eastAsia"/>
                      <w:kern w:val="0"/>
                      <w:szCs w:val="21"/>
                      <w:highlight w:val="none"/>
                    </w:rPr>
                    <w:t>子、精密机</w:t>
                  </w:r>
                </w:p>
                <w:p>
                  <w:pPr>
                    <w:autoSpaceDE w:val="0"/>
                    <w:autoSpaceDN w:val="0"/>
                    <w:adjustRightInd w:val="0"/>
                    <w:snapToGrid w:val="0"/>
                    <w:jc w:val="center"/>
                    <w:rPr>
                      <w:kern w:val="0"/>
                      <w:szCs w:val="21"/>
                      <w:highlight w:val="none"/>
                    </w:rPr>
                  </w:pPr>
                  <w:r>
                    <w:rPr>
                      <w:rFonts w:hint="eastAsia"/>
                      <w:kern w:val="0"/>
                      <w:szCs w:val="21"/>
                      <w:highlight w:val="none"/>
                    </w:rPr>
                    <w:t>械）、新能</w:t>
                  </w:r>
                </w:p>
                <w:p>
                  <w:pPr>
                    <w:autoSpaceDE w:val="0"/>
                    <w:autoSpaceDN w:val="0"/>
                    <w:adjustRightInd w:val="0"/>
                    <w:snapToGrid w:val="0"/>
                    <w:jc w:val="center"/>
                    <w:rPr>
                      <w:kern w:val="0"/>
                      <w:szCs w:val="21"/>
                      <w:highlight w:val="none"/>
                    </w:rPr>
                  </w:pPr>
                  <w:r>
                    <w:rPr>
                      <w:rFonts w:hint="eastAsia"/>
                      <w:kern w:val="0"/>
                      <w:szCs w:val="21"/>
                      <w:highlight w:val="none"/>
                    </w:rPr>
                    <w:t>源、医疗器</w:t>
                  </w:r>
                </w:p>
                <w:p>
                  <w:pPr>
                    <w:autoSpaceDE w:val="0"/>
                    <w:autoSpaceDN w:val="0"/>
                    <w:adjustRightInd w:val="0"/>
                    <w:snapToGrid w:val="0"/>
                    <w:jc w:val="center"/>
                    <w:rPr>
                      <w:kern w:val="0"/>
                      <w:szCs w:val="21"/>
                      <w:highlight w:val="none"/>
                    </w:rPr>
                  </w:pPr>
                  <w:r>
                    <w:rPr>
                      <w:rFonts w:hint="eastAsia"/>
                      <w:kern w:val="0"/>
                      <w:szCs w:val="21"/>
                      <w:highlight w:val="none"/>
                    </w:rPr>
                    <w:t>械研发制</w:t>
                  </w:r>
                </w:p>
                <w:p>
                  <w:pPr>
                    <w:autoSpaceDE w:val="0"/>
                    <w:autoSpaceDN w:val="0"/>
                    <w:adjustRightInd w:val="0"/>
                    <w:snapToGrid w:val="0"/>
                    <w:jc w:val="center"/>
                    <w:rPr>
                      <w:kern w:val="0"/>
                      <w:szCs w:val="21"/>
                      <w:highlight w:val="none"/>
                    </w:rPr>
                  </w:pPr>
                  <w:r>
                    <w:rPr>
                      <w:rFonts w:hint="eastAsia"/>
                      <w:kern w:val="0"/>
                      <w:szCs w:val="21"/>
                      <w:highlight w:val="none"/>
                    </w:rPr>
                    <w:t>造、科技服</w:t>
                  </w:r>
                </w:p>
                <w:p>
                  <w:pPr>
                    <w:autoSpaceDE w:val="0"/>
                    <w:autoSpaceDN w:val="0"/>
                    <w:adjustRightInd w:val="0"/>
                    <w:snapToGrid w:val="0"/>
                    <w:jc w:val="center"/>
                    <w:rPr>
                      <w:kern w:val="0"/>
                      <w:szCs w:val="21"/>
                      <w:highlight w:val="none"/>
                    </w:rPr>
                  </w:pPr>
                  <w:r>
                    <w:rPr>
                      <w:rFonts w:hint="eastAsia"/>
                      <w:kern w:val="0"/>
                      <w:szCs w:val="21"/>
                      <w:highlight w:val="none"/>
                    </w:rPr>
                    <w:t>务、商务服</w:t>
                  </w:r>
                </w:p>
                <w:p>
                  <w:pPr>
                    <w:autoSpaceDE w:val="0"/>
                    <w:autoSpaceDN w:val="0"/>
                    <w:adjustRightInd w:val="0"/>
                    <w:snapToGrid w:val="0"/>
                    <w:jc w:val="center"/>
                    <w:rPr>
                      <w:kern w:val="0"/>
                      <w:szCs w:val="21"/>
                      <w:highlight w:val="none"/>
                    </w:rPr>
                  </w:pPr>
                  <w:r>
                    <w:rPr>
                      <w:rFonts w:hint="eastAsia"/>
                      <w:kern w:val="0"/>
                      <w:szCs w:val="21"/>
                      <w:highlight w:val="none"/>
                    </w:rPr>
                    <w:t>务、金融保</w:t>
                  </w:r>
                </w:p>
                <w:p>
                  <w:pPr>
                    <w:autoSpaceDE w:val="0"/>
                    <w:autoSpaceDN w:val="0"/>
                    <w:adjustRightInd w:val="0"/>
                    <w:snapToGrid w:val="0"/>
                    <w:jc w:val="center"/>
                    <w:rPr>
                      <w:kern w:val="0"/>
                      <w:szCs w:val="21"/>
                      <w:highlight w:val="none"/>
                    </w:rPr>
                  </w:pPr>
                  <w:r>
                    <w:rPr>
                      <w:rFonts w:hint="eastAsia"/>
                      <w:kern w:val="0"/>
                      <w:szCs w:val="21"/>
                      <w:highlight w:val="none"/>
                    </w:rPr>
                    <w:t>险</w:t>
                  </w:r>
                </w:p>
              </w:tc>
              <w:tc>
                <w:tcPr>
                  <w:tcW w:w="1583" w:type="pct"/>
                  <w:vAlign w:val="center"/>
                </w:tcPr>
                <w:p>
                  <w:pPr>
                    <w:autoSpaceDE w:val="0"/>
                    <w:autoSpaceDN w:val="0"/>
                    <w:adjustRightInd w:val="0"/>
                    <w:snapToGrid w:val="0"/>
                    <w:jc w:val="center"/>
                    <w:rPr>
                      <w:kern w:val="0"/>
                      <w:szCs w:val="21"/>
                      <w:highlight w:val="none"/>
                    </w:rPr>
                  </w:pPr>
                  <w:r>
                    <w:rPr>
                      <w:rFonts w:hint="eastAsia"/>
                      <w:kern w:val="0"/>
                      <w:szCs w:val="21"/>
                      <w:highlight w:val="none"/>
                    </w:rPr>
                    <w:t>新一代移动通信、下一</w:t>
                  </w:r>
                </w:p>
                <w:p>
                  <w:pPr>
                    <w:autoSpaceDE w:val="0"/>
                    <w:autoSpaceDN w:val="0"/>
                    <w:adjustRightInd w:val="0"/>
                    <w:snapToGrid w:val="0"/>
                    <w:jc w:val="center"/>
                    <w:rPr>
                      <w:kern w:val="0"/>
                      <w:szCs w:val="21"/>
                      <w:highlight w:val="none"/>
                    </w:rPr>
                  </w:pPr>
                  <w:r>
                    <w:rPr>
                      <w:rFonts w:hint="eastAsia"/>
                      <w:kern w:val="0"/>
                      <w:szCs w:val="21"/>
                      <w:highlight w:val="none"/>
                    </w:rPr>
                    <w:t>代互联网产业集群、电</w:t>
                  </w:r>
                </w:p>
                <w:p>
                  <w:pPr>
                    <w:autoSpaceDE w:val="0"/>
                    <w:autoSpaceDN w:val="0"/>
                    <w:adjustRightInd w:val="0"/>
                    <w:snapToGrid w:val="0"/>
                    <w:jc w:val="center"/>
                    <w:rPr>
                      <w:kern w:val="0"/>
                      <w:szCs w:val="21"/>
                      <w:highlight w:val="none"/>
                    </w:rPr>
                  </w:pPr>
                  <w:r>
                    <w:rPr>
                      <w:rFonts w:hint="eastAsia"/>
                      <w:kern w:val="0"/>
                      <w:szCs w:val="21"/>
                      <w:highlight w:val="none"/>
                    </w:rPr>
                    <w:t>子信息核心基础产业</w:t>
                  </w:r>
                </w:p>
                <w:p>
                  <w:pPr>
                    <w:autoSpaceDE w:val="0"/>
                    <w:autoSpaceDN w:val="0"/>
                    <w:adjustRightInd w:val="0"/>
                    <w:snapToGrid w:val="0"/>
                    <w:jc w:val="center"/>
                    <w:rPr>
                      <w:kern w:val="0"/>
                      <w:szCs w:val="21"/>
                      <w:highlight w:val="none"/>
                    </w:rPr>
                  </w:pPr>
                  <w:r>
                    <w:rPr>
                      <w:rFonts w:hint="eastAsia"/>
                      <w:kern w:val="0"/>
                      <w:szCs w:val="21"/>
                      <w:highlight w:val="none"/>
                    </w:rPr>
                    <w:t>集群、高端软件和新兴</w:t>
                  </w:r>
                </w:p>
                <w:p>
                  <w:pPr>
                    <w:autoSpaceDE w:val="0"/>
                    <w:autoSpaceDN w:val="0"/>
                    <w:adjustRightInd w:val="0"/>
                    <w:snapToGrid w:val="0"/>
                    <w:jc w:val="center"/>
                    <w:rPr>
                      <w:kern w:val="0"/>
                      <w:szCs w:val="21"/>
                      <w:highlight w:val="none"/>
                    </w:rPr>
                  </w:pPr>
                  <w:r>
                    <w:rPr>
                      <w:rFonts w:hint="eastAsia"/>
                      <w:kern w:val="0"/>
                      <w:szCs w:val="21"/>
                      <w:highlight w:val="none"/>
                    </w:rPr>
                    <w:t>信心服务产业（云计</w:t>
                  </w:r>
                </w:p>
                <w:p>
                  <w:pPr>
                    <w:autoSpaceDE w:val="0"/>
                    <w:autoSpaceDN w:val="0"/>
                    <w:adjustRightInd w:val="0"/>
                    <w:snapToGrid w:val="0"/>
                    <w:jc w:val="center"/>
                    <w:rPr>
                      <w:kern w:val="0"/>
                      <w:szCs w:val="21"/>
                      <w:highlight w:val="none"/>
                    </w:rPr>
                  </w:pPr>
                  <w:r>
                    <w:rPr>
                      <w:rFonts w:hint="eastAsia"/>
                      <w:kern w:val="0"/>
                      <w:szCs w:val="21"/>
                      <w:highlight w:val="none"/>
                    </w:rPr>
                    <w:t>算、大数据、地理信息、</w:t>
                  </w:r>
                </w:p>
                <w:p>
                  <w:pPr>
                    <w:autoSpaceDE w:val="0"/>
                    <w:autoSpaceDN w:val="0"/>
                    <w:adjustRightInd w:val="0"/>
                    <w:snapToGrid w:val="0"/>
                    <w:jc w:val="center"/>
                    <w:rPr>
                      <w:kern w:val="0"/>
                      <w:szCs w:val="21"/>
                      <w:highlight w:val="none"/>
                    </w:rPr>
                  </w:pPr>
                  <w:r>
                    <w:rPr>
                      <w:rFonts w:hint="eastAsia"/>
                      <w:kern w:val="0"/>
                      <w:szCs w:val="21"/>
                      <w:highlight w:val="none"/>
                    </w:rPr>
                    <w:t>电子商务等）、轨道交</w:t>
                  </w:r>
                </w:p>
                <w:p>
                  <w:pPr>
                    <w:autoSpaceDE w:val="0"/>
                    <w:autoSpaceDN w:val="0"/>
                    <w:adjustRightInd w:val="0"/>
                    <w:snapToGrid w:val="0"/>
                    <w:jc w:val="center"/>
                    <w:rPr>
                      <w:kern w:val="0"/>
                      <w:szCs w:val="21"/>
                      <w:highlight w:val="none"/>
                    </w:rPr>
                  </w:pPr>
                  <w:r>
                    <w:rPr>
                      <w:rFonts w:hint="eastAsia"/>
                      <w:kern w:val="0"/>
                      <w:szCs w:val="21"/>
                      <w:highlight w:val="none"/>
                    </w:rPr>
                    <w:t>通设备制造、关键部</w:t>
                  </w:r>
                </w:p>
                <w:p>
                  <w:pPr>
                    <w:autoSpaceDE w:val="0"/>
                    <w:autoSpaceDN w:val="0"/>
                    <w:adjustRightInd w:val="0"/>
                    <w:snapToGrid w:val="0"/>
                    <w:jc w:val="center"/>
                    <w:rPr>
                      <w:kern w:val="0"/>
                      <w:szCs w:val="21"/>
                      <w:highlight w:val="none"/>
                    </w:rPr>
                  </w:pPr>
                  <w:r>
                    <w:rPr>
                      <w:rFonts w:hint="eastAsia"/>
                      <w:kern w:val="0"/>
                      <w:szCs w:val="21"/>
                      <w:highlight w:val="none"/>
                    </w:rPr>
                    <w:t>件、信号控制及客运服</w:t>
                  </w:r>
                </w:p>
                <w:p>
                  <w:pPr>
                    <w:autoSpaceDE w:val="0"/>
                    <w:autoSpaceDN w:val="0"/>
                    <w:adjustRightInd w:val="0"/>
                    <w:snapToGrid w:val="0"/>
                    <w:jc w:val="center"/>
                    <w:rPr>
                      <w:kern w:val="0"/>
                      <w:szCs w:val="21"/>
                      <w:highlight w:val="none"/>
                    </w:rPr>
                  </w:pPr>
                  <w:r>
                    <w:rPr>
                      <w:rFonts w:hint="eastAsia"/>
                      <w:kern w:val="0"/>
                      <w:szCs w:val="21"/>
                      <w:highlight w:val="none"/>
                    </w:rPr>
                    <w:t>务系统等。太阳能（光</w:t>
                  </w:r>
                </w:p>
                <w:p>
                  <w:pPr>
                    <w:autoSpaceDE w:val="0"/>
                    <w:autoSpaceDN w:val="0"/>
                    <w:adjustRightInd w:val="0"/>
                    <w:snapToGrid w:val="0"/>
                    <w:jc w:val="center"/>
                    <w:rPr>
                      <w:kern w:val="0"/>
                      <w:szCs w:val="21"/>
                      <w:highlight w:val="none"/>
                    </w:rPr>
                  </w:pPr>
                  <w:r>
                    <w:rPr>
                      <w:rFonts w:hint="eastAsia"/>
                      <w:kern w:val="0"/>
                      <w:szCs w:val="21"/>
                      <w:highlight w:val="none"/>
                    </w:rPr>
                    <w:t>伏）、风能、智能电网</w:t>
                  </w:r>
                </w:p>
                <w:p>
                  <w:pPr>
                    <w:autoSpaceDE w:val="0"/>
                    <w:autoSpaceDN w:val="0"/>
                    <w:adjustRightInd w:val="0"/>
                    <w:snapToGrid w:val="0"/>
                    <w:jc w:val="center"/>
                    <w:rPr>
                      <w:kern w:val="0"/>
                      <w:szCs w:val="21"/>
                      <w:highlight w:val="none"/>
                    </w:rPr>
                  </w:pPr>
                  <w:r>
                    <w:rPr>
                      <w:rFonts w:hint="eastAsia"/>
                      <w:kern w:val="0"/>
                      <w:szCs w:val="21"/>
                      <w:highlight w:val="none"/>
                    </w:rPr>
                    <w:t>等。医疗器械研发与生</w:t>
                  </w:r>
                </w:p>
                <w:p>
                  <w:pPr>
                    <w:autoSpaceDE w:val="0"/>
                    <w:autoSpaceDN w:val="0"/>
                    <w:adjustRightInd w:val="0"/>
                    <w:snapToGrid w:val="0"/>
                    <w:jc w:val="center"/>
                    <w:rPr>
                      <w:kern w:val="0"/>
                      <w:szCs w:val="21"/>
                      <w:highlight w:val="none"/>
                    </w:rPr>
                  </w:pPr>
                  <w:r>
                    <w:rPr>
                      <w:rFonts w:hint="eastAsia"/>
                      <w:kern w:val="0"/>
                      <w:szCs w:val="21"/>
                      <w:highlight w:val="none"/>
                    </w:rPr>
                    <w:t>产。咨询与调查、企业</w:t>
                  </w:r>
                </w:p>
                <w:p>
                  <w:pPr>
                    <w:autoSpaceDE w:val="0"/>
                    <w:autoSpaceDN w:val="0"/>
                    <w:adjustRightInd w:val="0"/>
                    <w:snapToGrid w:val="0"/>
                    <w:jc w:val="center"/>
                    <w:rPr>
                      <w:kern w:val="0"/>
                      <w:szCs w:val="21"/>
                      <w:highlight w:val="none"/>
                    </w:rPr>
                  </w:pPr>
                  <w:r>
                    <w:rPr>
                      <w:rFonts w:hint="eastAsia"/>
                      <w:kern w:val="0"/>
                      <w:szCs w:val="21"/>
                      <w:highlight w:val="none"/>
                    </w:rPr>
                    <w:t>管理服务、金融保险</w:t>
                  </w:r>
                </w:p>
              </w:tc>
              <w:tc>
                <w:tcPr>
                  <w:tcW w:w="950" w:type="pct"/>
                  <w:vAlign w:val="center"/>
                </w:tcPr>
                <w:p>
                  <w:pPr>
                    <w:autoSpaceDE w:val="0"/>
                    <w:autoSpaceDN w:val="0"/>
                    <w:adjustRightInd w:val="0"/>
                    <w:snapToGrid w:val="0"/>
                    <w:jc w:val="center"/>
                    <w:rPr>
                      <w:kern w:val="0"/>
                      <w:szCs w:val="21"/>
                      <w:highlight w:val="none"/>
                    </w:rPr>
                  </w:pPr>
                  <w:r>
                    <w:rPr>
                      <w:rFonts w:hint="eastAsia"/>
                      <w:kern w:val="0"/>
                      <w:szCs w:val="21"/>
                      <w:highlight w:val="none"/>
                    </w:rPr>
                    <w:t>信息传输服</w:t>
                  </w:r>
                </w:p>
                <w:p>
                  <w:pPr>
                    <w:autoSpaceDE w:val="0"/>
                    <w:autoSpaceDN w:val="0"/>
                    <w:adjustRightInd w:val="0"/>
                    <w:snapToGrid w:val="0"/>
                    <w:jc w:val="center"/>
                    <w:rPr>
                      <w:kern w:val="0"/>
                      <w:szCs w:val="21"/>
                      <w:highlight w:val="none"/>
                    </w:rPr>
                  </w:pPr>
                  <w:r>
                    <w:rPr>
                      <w:rFonts w:hint="eastAsia"/>
                      <w:kern w:val="0"/>
                      <w:szCs w:val="21"/>
                      <w:highlight w:val="none"/>
                    </w:rPr>
                    <w:t>务和商务服</w:t>
                  </w:r>
                </w:p>
                <w:p>
                  <w:pPr>
                    <w:autoSpaceDE w:val="0"/>
                    <w:autoSpaceDN w:val="0"/>
                    <w:adjustRightInd w:val="0"/>
                    <w:snapToGrid w:val="0"/>
                    <w:jc w:val="center"/>
                    <w:rPr>
                      <w:kern w:val="0"/>
                      <w:szCs w:val="21"/>
                      <w:highlight w:val="none"/>
                    </w:rPr>
                  </w:pPr>
                  <w:r>
                    <w:rPr>
                      <w:rFonts w:hint="eastAsia"/>
                      <w:kern w:val="0"/>
                      <w:szCs w:val="21"/>
                      <w:highlight w:val="none"/>
                    </w:rPr>
                    <w:t>务中心、新能</w:t>
                  </w:r>
                </w:p>
                <w:p>
                  <w:pPr>
                    <w:autoSpaceDE w:val="0"/>
                    <w:autoSpaceDN w:val="0"/>
                    <w:adjustRightInd w:val="0"/>
                    <w:snapToGrid w:val="0"/>
                    <w:jc w:val="center"/>
                    <w:rPr>
                      <w:kern w:val="0"/>
                      <w:szCs w:val="21"/>
                      <w:highlight w:val="none"/>
                    </w:rPr>
                  </w:pPr>
                  <w:r>
                    <w:rPr>
                      <w:rFonts w:hint="eastAsia"/>
                      <w:kern w:val="0"/>
                      <w:szCs w:val="21"/>
                      <w:highlight w:val="none"/>
                    </w:rPr>
                    <w:t>源开发和装</w:t>
                  </w:r>
                </w:p>
                <w:p>
                  <w:pPr>
                    <w:autoSpaceDE w:val="0"/>
                    <w:autoSpaceDN w:val="0"/>
                    <w:adjustRightInd w:val="0"/>
                    <w:snapToGrid w:val="0"/>
                    <w:jc w:val="center"/>
                    <w:rPr>
                      <w:kern w:val="0"/>
                      <w:szCs w:val="21"/>
                      <w:highlight w:val="none"/>
                    </w:rPr>
                  </w:pPr>
                  <w:r>
                    <w:rPr>
                      <w:rFonts w:hint="eastAsia"/>
                      <w:kern w:val="0"/>
                      <w:szCs w:val="21"/>
                      <w:highlight w:val="none"/>
                    </w:rPr>
                    <w:t>备制造创新</w:t>
                  </w:r>
                </w:p>
                <w:p>
                  <w:pPr>
                    <w:autoSpaceDE w:val="0"/>
                    <w:autoSpaceDN w:val="0"/>
                    <w:adjustRightInd w:val="0"/>
                    <w:snapToGrid w:val="0"/>
                    <w:jc w:val="center"/>
                    <w:rPr>
                      <w:kern w:val="0"/>
                      <w:szCs w:val="21"/>
                      <w:highlight w:val="none"/>
                    </w:rPr>
                  </w:pPr>
                  <w:r>
                    <w:rPr>
                      <w:rFonts w:hint="eastAsia"/>
                      <w:kern w:val="0"/>
                      <w:szCs w:val="21"/>
                      <w:highlight w:val="none"/>
                    </w:rPr>
                    <w:t>高地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pct"/>
                  <w:vMerge w:val="restart"/>
                  <w:vAlign w:val="center"/>
                </w:tcPr>
                <w:p>
                  <w:pPr>
                    <w:autoSpaceDE w:val="0"/>
                    <w:autoSpaceDN w:val="0"/>
                    <w:adjustRightInd w:val="0"/>
                    <w:snapToGrid w:val="0"/>
                    <w:jc w:val="center"/>
                    <w:rPr>
                      <w:kern w:val="0"/>
                      <w:szCs w:val="21"/>
                      <w:highlight w:val="none"/>
                    </w:rPr>
                  </w:pPr>
                  <w:r>
                    <w:rPr>
                      <w:kern w:val="0"/>
                      <w:szCs w:val="21"/>
                      <w:highlight w:val="none"/>
                    </w:rPr>
                    <w:t>生态城组团</w:t>
                  </w:r>
                </w:p>
              </w:tc>
              <w:tc>
                <w:tcPr>
                  <w:tcW w:w="402" w:type="pct"/>
                  <w:vMerge w:val="restart"/>
                  <w:vAlign w:val="center"/>
                </w:tcPr>
                <w:p>
                  <w:pPr>
                    <w:autoSpaceDE w:val="0"/>
                    <w:autoSpaceDN w:val="0"/>
                    <w:adjustRightInd w:val="0"/>
                    <w:snapToGrid w:val="0"/>
                    <w:jc w:val="center"/>
                    <w:rPr>
                      <w:kern w:val="0"/>
                      <w:szCs w:val="21"/>
                      <w:highlight w:val="none"/>
                    </w:rPr>
                  </w:pPr>
                  <w:r>
                    <w:rPr>
                      <w:rFonts w:hint="eastAsia"/>
                      <w:kern w:val="0"/>
                      <w:szCs w:val="21"/>
                      <w:highlight w:val="none"/>
                    </w:rPr>
                    <w:t>生态</w:t>
                  </w:r>
                </w:p>
                <w:p>
                  <w:pPr>
                    <w:autoSpaceDE w:val="0"/>
                    <w:autoSpaceDN w:val="0"/>
                    <w:adjustRightInd w:val="0"/>
                    <w:snapToGrid w:val="0"/>
                    <w:jc w:val="center"/>
                    <w:rPr>
                      <w:kern w:val="0"/>
                      <w:szCs w:val="21"/>
                      <w:highlight w:val="none"/>
                    </w:rPr>
                  </w:pPr>
                  <w:r>
                    <w:rPr>
                      <w:rFonts w:hint="eastAsia"/>
                      <w:kern w:val="0"/>
                      <w:szCs w:val="21"/>
                      <w:highlight w:val="none"/>
                    </w:rPr>
                    <w:t>城</w:t>
                  </w:r>
                </w:p>
              </w:tc>
              <w:tc>
                <w:tcPr>
                  <w:tcW w:w="806" w:type="pct"/>
                  <w:vAlign w:val="center"/>
                </w:tcPr>
                <w:p>
                  <w:pPr>
                    <w:autoSpaceDE w:val="0"/>
                    <w:autoSpaceDN w:val="0"/>
                    <w:adjustRightInd w:val="0"/>
                    <w:snapToGrid w:val="0"/>
                    <w:jc w:val="center"/>
                    <w:rPr>
                      <w:kern w:val="0"/>
                      <w:szCs w:val="21"/>
                      <w:highlight w:val="none"/>
                    </w:rPr>
                  </w:pPr>
                  <w:r>
                    <w:rPr>
                      <w:rFonts w:hint="eastAsia"/>
                      <w:kern w:val="0"/>
                      <w:szCs w:val="21"/>
                      <w:highlight w:val="none"/>
                    </w:rPr>
                    <w:t>轻工、旅游</w:t>
                  </w:r>
                </w:p>
              </w:tc>
              <w:tc>
                <w:tcPr>
                  <w:tcW w:w="807" w:type="pct"/>
                  <w:vAlign w:val="center"/>
                </w:tcPr>
                <w:p>
                  <w:pPr>
                    <w:autoSpaceDE w:val="0"/>
                    <w:autoSpaceDN w:val="0"/>
                    <w:adjustRightInd w:val="0"/>
                    <w:snapToGrid w:val="0"/>
                    <w:jc w:val="center"/>
                    <w:rPr>
                      <w:kern w:val="0"/>
                      <w:szCs w:val="21"/>
                      <w:highlight w:val="none"/>
                    </w:rPr>
                  </w:pPr>
                  <w:r>
                    <w:rPr>
                      <w:rFonts w:ascii="Courier New" w:hAnsi="Courier New" w:cs="Courier New"/>
                      <w:szCs w:val="21"/>
                      <w:highlight w:val="none"/>
                    </w:rPr>
                    <w:t>生态旅游、</w:t>
                  </w:r>
                  <w:r>
                    <w:rPr>
                      <w:szCs w:val="21"/>
                      <w:highlight w:val="none"/>
                    </w:rPr>
                    <w:br w:type="textWrapping"/>
                  </w:r>
                  <w:r>
                    <w:rPr>
                      <w:rFonts w:ascii="Courier New" w:hAnsi="Courier New" w:cs="Courier New"/>
                      <w:szCs w:val="21"/>
                      <w:highlight w:val="none"/>
                    </w:rPr>
                    <w:t>现代商贸、</w:t>
                  </w:r>
                  <w:r>
                    <w:rPr>
                      <w:szCs w:val="21"/>
                      <w:highlight w:val="none"/>
                    </w:rPr>
                    <w:br w:type="textWrapping"/>
                  </w:r>
                  <w:r>
                    <w:rPr>
                      <w:rFonts w:ascii="Courier New" w:hAnsi="Courier New" w:cs="Courier New"/>
                      <w:szCs w:val="21"/>
                      <w:highlight w:val="none"/>
                    </w:rPr>
                    <w:t>商务服务</w:t>
                  </w:r>
                </w:p>
              </w:tc>
              <w:tc>
                <w:tcPr>
                  <w:tcW w:w="1583" w:type="pct"/>
                  <w:vAlign w:val="center"/>
                </w:tcPr>
                <w:p>
                  <w:pPr>
                    <w:autoSpaceDE w:val="0"/>
                    <w:autoSpaceDN w:val="0"/>
                    <w:adjustRightInd w:val="0"/>
                    <w:snapToGrid w:val="0"/>
                    <w:jc w:val="center"/>
                    <w:rPr>
                      <w:kern w:val="0"/>
                      <w:szCs w:val="21"/>
                      <w:highlight w:val="none"/>
                    </w:rPr>
                  </w:pPr>
                  <w:r>
                    <w:rPr>
                      <w:rFonts w:ascii="Courier New" w:hAnsi="Courier New" w:cs="Courier New"/>
                      <w:szCs w:val="21"/>
                      <w:highlight w:val="none"/>
                    </w:rPr>
                    <w:t>生态旅游业、零售业、</w:t>
                  </w:r>
                  <w:r>
                    <w:rPr>
                      <w:szCs w:val="21"/>
                      <w:highlight w:val="none"/>
                    </w:rPr>
                    <w:br w:type="textWrapping"/>
                  </w:r>
                  <w:r>
                    <w:rPr>
                      <w:rFonts w:ascii="Courier New" w:hAnsi="Courier New" w:cs="Courier New"/>
                      <w:szCs w:val="21"/>
                      <w:highlight w:val="none"/>
                    </w:rPr>
                    <w:t>广告业、会展</w:t>
                  </w:r>
                </w:p>
              </w:tc>
              <w:tc>
                <w:tcPr>
                  <w:tcW w:w="950" w:type="pct"/>
                  <w:vAlign w:val="center"/>
                </w:tcPr>
                <w:p>
                  <w:pPr>
                    <w:autoSpaceDE w:val="0"/>
                    <w:autoSpaceDN w:val="0"/>
                    <w:adjustRightInd w:val="0"/>
                    <w:snapToGrid w:val="0"/>
                    <w:jc w:val="center"/>
                    <w:rPr>
                      <w:kern w:val="0"/>
                      <w:szCs w:val="21"/>
                      <w:highlight w:val="none"/>
                    </w:rPr>
                  </w:pPr>
                  <w:r>
                    <w:rPr>
                      <w:rFonts w:ascii="Courier New" w:hAnsi="Courier New" w:cs="Courier New"/>
                      <w:szCs w:val="21"/>
                      <w:highlight w:val="none"/>
                    </w:rPr>
                    <w:t>环太湖风景</w:t>
                  </w:r>
                  <w:r>
                    <w:rPr>
                      <w:szCs w:val="21"/>
                      <w:highlight w:val="none"/>
                    </w:rPr>
                    <w:br w:type="textWrapping"/>
                  </w:r>
                  <w:r>
                    <w:rPr>
                      <w:rFonts w:ascii="Courier New" w:hAnsi="Courier New" w:cs="Courier New"/>
                      <w:szCs w:val="21"/>
                      <w:highlight w:val="none"/>
                    </w:rPr>
                    <w:t>旅游示范区，</w:t>
                  </w:r>
                  <w:r>
                    <w:rPr>
                      <w:szCs w:val="21"/>
                      <w:highlight w:val="none"/>
                    </w:rPr>
                    <w:br w:type="textWrapping"/>
                  </w:r>
                  <w:r>
                    <w:rPr>
                      <w:rFonts w:ascii="Courier New" w:hAnsi="Courier New" w:cs="Courier New"/>
                      <w:szCs w:val="21"/>
                      <w:highlight w:val="none"/>
                    </w:rPr>
                    <w:t>会展休闲基</w:t>
                  </w:r>
                  <w:r>
                    <w:rPr>
                      <w:szCs w:val="21"/>
                      <w:highlight w:val="none"/>
                    </w:rPr>
                    <w:br w:type="textWrapping"/>
                  </w:r>
                  <w:r>
                    <w:rPr>
                      <w:rFonts w:ascii="Courier New" w:hAnsi="Courier New" w:cs="Courier New"/>
                      <w:szCs w:val="21"/>
                      <w:highlight w:val="none"/>
                    </w:rPr>
                    <w:t>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pct"/>
                  <w:vMerge w:val="continue"/>
                  <w:vAlign w:val="center"/>
                </w:tcPr>
                <w:p>
                  <w:pPr>
                    <w:autoSpaceDE w:val="0"/>
                    <w:autoSpaceDN w:val="0"/>
                    <w:adjustRightInd w:val="0"/>
                    <w:snapToGrid w:val="0"/>
                    <w:jc w:val="center"/>
                    <w:rPr>
                      <w:kern w:val="0"/>
                      <w:szCs w:val="21"/>
                      <w:highlight w:val="none"/>
                    </w:rPr>
                  </w:pPr>
                </w:p>
              </w:tc>
              <w:tc>
                <w:tcPr>
                  <w:tcW w:w="402" w:type="pct"/>
                  <w:vMerge w:val="continue"/>
                  <w:vAlign w:val="center"/>
                </w:tcPr>
                <w:p>
                  <w:pPr>
                    <w:autoSpaceDE w:val="0"/>
                    <w:autoSpaceDN w:val="0"/>
                    <w:adjustRightInd w:val="0"/>
                    <w:snapToGrid w:val="0"/>
                    <w:jc w:val="center"/>
                    <w:rPr>
                      <w:kern w:val="0"/>
                      <w:szCs w:val="21"/>
                      <w:highlight w:val="none"/>
                    </w:rPr>
                  </w:pPr>
                </w:p>
              </w:tc>
              <w:tc>
                <w:tcPr>
                  <w:tcW w:w="806" w:type="pct"/>
                  <w:vAlign w:val="center"/>
                </w:tcPr>
                <w:p>
                  <w:pPr>
                    <w:autoSpaceDE w:val="0"/>
                    <w:autoSpaceDN w:val="0"/>
                    <w:adjustRightInd w:val="0"/>
                    <w:snapToGrid w:val="0"/>
                    <w:jc w:val="center"/>
                    <w:rPr>
                      <w:kern w:val="0"/>
                      <w:szCs w:val="21"/>
                      <w:highlight w:val="none"/>
                    </w:rPr>
                  </w:pPr>
                  <w:r>
                    <w:rPr>
                      <w:rFonts w:hint="eastAsia"/>
                      <w:kern w:val="0"/>
                      <w:szCs w:val="21"/>
                      <w:highlight w:val="none"/>
                    </w:rPr>
                    <w:t>农作物种</w:t>
                  </w:r>
                </w:p>
                <w:p>
                  <w:pPr>
                    <w:autoSpaceDE w:val="0"/>
                    <w:autoSpaceDN w:val="0"/>
                    <w:adjustRightInd w:val="0"/>
                    <w:snapToGrid w:val="0"/>
                    <w:jc w:val="center"/>
                    <w:rPr>
                      <w:kern w:val="0"/>
                      <w:szCs w:val="21"/>
                      <w:highlight w:val="none"/>
                    </w:rPr>
                  </w:pPr>
                  <w:r>
                    <w:rPr>
                      <w:rFonts w:hint="eastAsia"/>
                      <w:kern w:val="0"/>
                      <w:szCs w:val="21"/>
                      <w:highlight w:val="none"/>
                    </w:rPr>
                    <w:t>植</w:t>
                  </w:r>
                </w:p>
              </w:tc>
              <w:tc>
                <w:tcPr>
                  <w:tcW w:w="807" w:type="pct"/>
                  <w:vAlign w:val="center"/>
                </w:tcPr>
                <w:p>
                  <w:pPr>
                    <w:autoSpaceDE w:val="0"/>
                    <w:autoSpaceDN w:val="0"/>
                    <w:adjustRightInd w:val="0"/>
                    <w:snapToGrid w:val="0"/>
                    <w:jc w:val="center"/>
                    <w:rPr>
                      <w:kern w:val="0"/>
                      <w:szCs w:val="21"/>
                      <w:highlight w:val="none"/>
                    </w:rPr>
                  </w:pPr>
                  <w:r>
                    <w:rPr>
                      <w:rFonts w:ascii="Courier New" w:hAnsi="Courier New" w:cs="Courier New"/>
                      <w:szCs w:val="21"/>
                      <w:highlight w:val="none"/>
                    </w:rPr>
                    <w:t>生态旅游，</w:t>
                  </w:r>
                  <w:r>
                    <w:rPr>
                      <w:szCs w:val="21"/>
                      <w:highlight w:val="none"/>
                    </w:rPr>
                    <w:br w:type="textWrapping"/>
                  </w:r>
                  <w:r>
                    <w:rPr>
                      <w:rFonts w:ascii="Courier New" w:hAnsi="Courier New" w:cs="Courier New"/>
                      <w:szCs w:val="21"/>
                      <w:highlight w:val="none"/>
                    </w:rPr>
                    <w:t>生态农业</w:t>
                  </w:r>
                </w:p>
              </w:tc>
              <w:tc>
                <w:tcPr>
                  <w:tcW w:w="1583" w:type="pct"/>
                  <w:vAlign w:val="center"/>
                </w:tcPr>
                <w:p>
                  <w:pPr>
                    <w:autoSpaceDE w:val="0"/>
                    <w:autoSpaceDN w:val="0"/>
                    <w:adjustRightInd w:val="0"/>
                    <w:snapToGrid w:val="0"/>
                    <w:jc w:val="center"/>
                    <w:rPr>
                      <w:kern w:val="0"/>
                      <w:szCs w:val="21"/>
                      <w:highlight w:val="none"/>
                    </w:rPr>
                  </w:pPr>
                  <w:r>
                    <w:rPr>
                      <w:rFonts w:ascii="Courier New" w:hAnsi="Courier New" w:cs="Courier New"/>
                      <w:szCs w:val="21"/>
                      <w:highlight w:val="none"/>
                    </w:rPr>
                    <w:t>生态旅游，生态农业</w:t>
                  </w:r>
                  <w:r>
                    <w:rPr>
                      <w:szCs w:val="21"/>
                      <w:highlight w:val="none"/>
                    </w:rPr>
                    <w:br w:type="textWrapping"/>
                  </w:r>
                  <w:r>
                    <w:rPr>
                      <w:rFonts w:ascii="Courier New" w:hAnsi="Courier New" w:cs="Courier New"/>
                      <w:szCs w:val="21"/>
                      <w:highlight w:val="none"/>
                    </w:rPr>
                    <w:t>（苗木果树、水产养</w:t>
                  </w:r>
                  <w:r>
                    <w:rPr>
                      <w:szCs w:val="21"/>
                      <w:highlight w:val="none"/>
                    </w:rPr>
                    <w:br w:type="textWrapping"/>
                  </w:r>
                  <w:r>
                    <w:rPr>
                      <w:rFonts w:ascii="Courier New" w:hAnsi="Courier New" w:cs="Courier New"/>
                      <w:szCs w:val="21"/>
                      <w:highlight w:val="none"/>
                    </w:rPr>
                    <w:t>殖、蔬菜、水稻）</w:t>
                  </w:r>
                </w:p>
              </w:tc>
              <w:tc>
                <w:tcPr>
                  <w:tcW w:w="950" w:type="pct"/>
                  <w:vAlign w:val="center"/>
                </w:tcPr>
                <w:p>
                  <w:pPr>
                    <w:autoSpaceDE w:val="0"/>
                    <w:autoSpaceDN w:val="0"/>
                    <w:adjustRightInd w:val="0"/>
                    <w:snapToGrid w:val="0"/>
                    <w:jc w:val="center"/>
                    <w:rPr>
                      <w:kern w:val="0"/>
                      <w:szCs w:val="21"/>
                      <w:highlight w:val="none"/>
                    </w:rPr>
                  </w:pPr>
                  <w:r>
                    <w:rPr>
                      <w:rFonts w:ascii="Courier New" w:hAnsi="Courier New" w:cs="Courier New"/>
                      <w:szCs w:val="21"/>
                      <w:highlight w:val="none"/>
                    </w:rPr>
                    <w:t>新型农业示</w:t>
                  </w:r>
                  <w:r>
                    <w:rPr>
                      <w:szCs w:val="21"/>
                      <w:highlight w:val="none"/>
                    </w:rPr>
                    <w:br w:type="textWrapping"/>
                  </w:r>
                  <w:r>
                    <w:rPr>
                      <w:rFonts w:ascii="Courier New" w:hAnsi="Courier New" w:cs="Courier New"/>
                      <w:szCs w:val="21"/>
                      <w:highlight w:val="none"/>
                    </w:rPr>
                    <w:t>范区、生态旅</w:t>
                  </w:r>
                  <w:r>
                    <w:rPr>
                      <w:szCs w:val="21"/>
                      <w:highlight w:val="none"/>
                    </w:rPr>
                    <w:br w:type="textWrapping"/>
                  </w:r>
                  <w:r>
                    <w:rPr>
                      <w:rFonts w:ascii="Courier New" w:hAnsi="Courier New" w:cs="Courier New"/>
                      <w:szCs w:val="21"/>
                      <w:highlight w:val="none"/>
                    </w:rPr>
                    <w:t>游区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pct"/>
                  <w:vAlign w:val="center"/>
                </w:tcPr>
                <w:p>
                  <w:pPr>
                    <w:autoSpaceDE w:val="0"/>
                    <w:autoSpaceDN w:val="0"/>
                    <w:adjustRightInd w:val="0"/>
                    <w:snapToGrid w:val="0"/>
                    <w:jc w:val="center"/>
                    <w:rPr>
                      <w:kern w:val="0"/>
                      <w:szCs w:val="21"/>
                      <w:highlight w:val="none"/>
                    </w:rPr>
                  </w:pPr>
                  <w:r>
                    <w:rPr>
                      <w:kern w:val="0"/>
                      <w:szCs w:val="21"/>
                      <w:highlight w:val="none"/>
                    </w:rPr>
                    <w:t>阳山组团</w:t>
                  </w:r>
                </w:p>
              </w:tc>
              <w:tc>
                <w:tcPr>
                  <w:tcW w:w="402" w:type="pct"/>
                  <w:vAlign w:val="center"/>
                </w:tcPr>
                <w:p>
                  <w:pPr>
                    <w:autoSpaceDE w:val="0"/>
                    <w:autoSpaceDN w:val="0"/>
                    <w:adjustRightInd w:val="0"/>
                    <w:snapToGrid w:val="0"/>
                    <w:jc w:val="center"/>
                    <w:rPr>
                      <w:kern w:val="0"/>
                      <w:szCs w:val="21"/>
                      <w:highlight w:val="none"/>
                    </w:rPr>
                  </w:pPr>
                  <w:r>
                    <w:rPr>
                      <w:rFonts w:hint="eastAsia"/>
                      <w:kern w:val="0"/>
                      <w:szCs w:val="21"/>
                      <w:highlight w:val="none"/>
                    </w:rPr>
                    <w:t>阳山</w:t>
                  </w:r>
                </w:p>
                <w:p>
                  <w:pPr>
                    <w:autoSpaceDE w:val="0"/>
                    <w:autoSpaceDN w:val="0"/>
                    <w:adjustRightInd w:val="0"/>
                    <w:snapToGrid w:val="0"/>
                    <w:jc w:val="center"/>
                    <w:rPr>
                      <w:kern w:val="0"/>
                      <w:szCs w:val="21"/>
                      <w:highlight w:val="none"/>
                    </w:rPr>
                  </w:pPr>
                  <w:r>
                    <w:rPr>
                      <w:rFonts w:hint="eastAsia"/>
                      <w:kern w:val="0"/>
                      <w:szCs w:val="21"/>
                      <w:highlight w:val="none"/>
                    </w:rPr>
                    <w:t>片区</w:t>
                  </w:r>
                </w:p>
              </w:tc>
              <w:tc>
                <w:tcPr>
                  <w:tcW w:w="806" w:type="pct"/>
                  <w:vAlign w:val="center"/>
                </w:tcPr>
                <w:p>
                  <w:pPr>
                    <w:autoSpaceDE w:val="0"/>
                    <w:autoSpaceDN w:val="0"/>
                    <w:adjustRightInd w:val="0"/>
                    <w:snapToGrid w:val="0"/>
                    <w:jc w:val="center"/>
                    <w:rPr>
                      <w:kern w:val="0"/>
                      <w:szCs w:val="21"/>
                      <w:highlight w:val="none"/>
                    </w:rPr>
                  </w:pPr>
                  <w:r>
                    <w:rPr>
                      <w:rFonts w:hint="eastAsia"/>
                      <w:kern w:val="0"/>
                      <w:szCs w:val="21"/>
                      <w:highlight w:val="none"/>
                    </w:rPr>
                    <w:t>旅游、商务</w:t>
                  </w:r>
                </w:p>
              </w:tc>
              <w:tc>
                <w:tcPr>
                  <w:tcW w:w="807" w:type="pct"/>
                  <w:vAlign w:val="center"/>
                </w:tcPr>
                <w:p>
                  <w:pPr>
                    <w:autoSpaceDE w:val="0"/>
                    <w:autoSpaceDN w:val="0"/>
                    <w:adjustRightInd w:val="0"/>
                    <w:snapToGrid w:val="0"/>
                    <w:jc w:val="center"/>
                    <w:rPr>
                      <w:kern w:val="0"/>
                      <w:szCs w:val="21"/>
                      <w:highlight w:val="none"/>
                    </w:rPr>
                  </w:pPr>
                  <w:r>
                    <w:rPr>
                      <w:rFonts w:ascii="Courier New" w:hAnsi="Courier New" w:cs="Courier New"/>
                      <w:szCs w:val="21"/>
                      <w:highlight w:val="none"/>
                    </w:rPr>
                    <w:t>商务服务、</w:t>
                  </w:r>
                  <w:r>
                    <w:rPr>
                      <w:szCs w:val="21"/>
                      <w:highlight w:val="none"/>
                    </w:rPr>
                    <w:br w:type="textWrapping"/>
                  </w:r>
                  <w:r>
                    <w:rPr>
                      <w:rFonts w:ascii="Courier New" w:hAnsi="Courier New" w:cs="Courier New"/>
                      <w:szCs w:val="21"/>
                      <w:highlight w:val="none"/>
                    </w:rPr>
                    <w:t>文化休闲、</w:t>
                  </w:r>
                  <w:r>
                    <w:rPr>
                      <w:szCs w:val="21"/>
                      <w:highlight w:val="none"/>
                    </w:rPr>
                    <w:br w:type="textWrapping"/>
                  </w:r>
                  <w:r>
                    <w:rPr>
                      <w:rFonts w:ascii="Courier New" w:hAnsi="Courier New" w:cs="Courier New"/>
                      <w:szCs w:val="21"/>
                      <w:highlight w:val="none"/>
                    </w:rPr>
                    <w:t>生态旅游</w:t>
                  </w:r>
                </w:p>
              </w:tc>
              <w:tc>
                <w:tcPr>
                  <w:tcW w:w="1583" w:type="pct"/>
                  <w:vAlign w:val="center"/>
                </w:tcPr>
                <w:p>
                  <w:pPr>
                    <w:autoSpaceDE w:val="0"/>
                    <w:autoSpaceDN w:val="0"/>
                    <w:adjustRightInd w:val="0"/>
                    <w:snapToGrid w:val="0"/>
                    <w:jc w:val="center"/>
                    <w:rPr>
                      <w:kern w:val="0"/>
                      <w:szCs w:val="21"/>
                      <w:highlight w:val="none"/>
                    </w:rPr>
                  </w:pPr>
                  <w:r>
                    <w:rPr>
                      <w:rFonts w:ascii="Courier New" w:hAnsi="Courier New" w:cs="Courier New"/>
                      <w:szCs w:val="21"/>
                      <w:highlight w:val="none"/>
                    </w:rPr>
                    <w:t>室内娱乐、文化艺术、</w:t>
                  </w:r>
                  <w:r>
                    <w:rPr>
                      <w:szCs w:val="21"/>
                      <w:highlight w:val="none"/>
                    </w:rPr>
                    <w:br w:type="textWrapping"/>
                  </w:r>
                  <w:r>
                    <w:rPr>
                      <w:rFonts w:ascii="Courier New" w:hAnsi="Courier New" w:cs="Courier New"/>
                      <w:szCs w:val="21"/>
                      <w:highlight w:val="none"/>
                    </w:rPr>
                    <w:t>休闲健身、居民服务、</w:t>
                  </w:r>
                  <w:r>
                    <w:rPr>
                      <w:szCs w:val="21"/>
                      <w:highlight w:val="none"/>
                    </w:rPr>
                    <w:br w:type="textWrapping"/>
                  </w:r>
                  <w:r>
                    <w:rPr>
                      <w:rFonts w:ascii="Courier New" w:hAnsi="Courier New" w:cs="Courier New"/>
                      <w:szCs w:val="21"/>
                      <w:highlight w:val="none"/>
                    </w:rPr>
                    <w:t>旅行社</w:t>
                  </w:r>
                </w:p>
              </w:tc>
              <w:tc>
                <w:tcPr>
                  <w:tcW w:w="950" w:type="pct"/>
                  <w:vAlign w:val="center"/>
                </w:tcPr>
                <w:p>
                  <w:pPr>
                    <w:autoSpaceDE w:val="0"/>
                    <w:autoSpaceDN w:val="0"/>
                    <w:adjustRightInd w:val="0"/>
                    <w:snapToGrid w:val="0"/>
                    <w:jc w:val="center"/>
                    <w:rPr>
                      <w:kern w:val="0"/>
                      <w:szCs w:val="21"/>
                      <w:highlight w:val="none"/>
                    </w:rPr>
                  </w:pPr>
                  <w:r>
                    <w:rPr>
                      <w:rFonts w:ascii="Courier New" w:hAnsi="Courier New" w:cs="Courier New"/>
                      <w:szCs w:val="21"/>
                      <w:highlight w:val="none"/>
                    </w:rPr>
                    <w:t>生态旅游，银</w:t>
                  </w:r>
                  <w:r>
                    <w:rPr>
                      <w:szCs w:val="21"/>
                      <w:highlight w:val="none"/>
                    </w:rPr>
                    <w:br w:type="textWrapping"/>
                  </w:r>
                  <w:r>
                    <w:rPr>
                      <w:rFonts w:ascii="Courier New" w:hAnsi="Courier New" w:cs="Courier New"/>
                      <w:szCs w:val="21"/>
                      <w:highlight w:val="none"/>
                    </w:rPr>
                    <w:t>发产业集聚</w:t>
                  </w:r>
                  <w:r>
                    <w:rPr>
                      <w:szCs w:val="21"/>
                      <w:highlight w:val="none"/>
                    </w:rPr>
                    <w:br w:type="textWrapping"/>
                  </w:r>
                  <w:r>
                    <w:rPr>
                      <w:rFonts w:ascii="Courier New" w:hAnsi="Courier New" w:cs="Courier New"/>
                      <w:szCs w:val="21"/>
                      <w:highlight w:val="none"/>
                    </w:rPr>
                    <w:t>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pct"/>
                  <w:vAlign w:val="center"/>
                </w:tcPr>
                <w:p>
                  <w:pPr>
                    <w:autoSpaceDE w:val="0"/>
                    <w:autoSpaceDN w:val="0"/>
                    <w:adjustRightInd w:val="0"/>
                    <w:snapToGrid w:val="0"/>
                    <w:jc w:val="center"/>
                    <w:rPr>
                      <w:kern w:val="0"/>
                      <w:szCs w:val="21"/>
                      <w:highlight w:val="none"/>
                    </w:rPr>
                  </w:pPr>
                  <w:r>
                    <w:rPr>
                      <w:kern w:val="0"/>
                      <w:szCs w:val="21"/>
                      <w:highlight w:val="none"/>
                    </w:rPr>
                    <w:t>横塘组团</w:t>
                  </w:r>
                </w:p>
              </w:tc>
              <w:tc>
                <w:tcPr>
                  <w:tcW w:w="402" w:type="pct"/>
                  <w:vAlign w:val="center"/>
                </w:tcPr>
                <w:p>
                  <w:pPr>
                    <w:autoSpaceDE w:val="0"/>
                    <w:autoSpaceDN w:val="0"/>
                    <w:adjustRightInd w:val="0"/>
                    <w:snapToGrid w:val="0"/>
                    <w:jc w:val="center"/>
                    <w:rPr>
                      <w:kern w:val="0"/>
                      <w:szCs w:val="21"/>
                      <w:highlight w:val="none"/>
                    </w:rPr>
                  </w:pPr>
                  <w:r>
                    <w:rPr>
                      <w:rFonts w:ascii="Courier New" w:hAnsi="Courier New" w:cs="Courier New"/>
                      <w:szCs w:val="21"/>
                      <w:highlight w:val="none"/>
                    </w:rPr>
                    <w:t>横塘</w:t>
                  </w:r>
                  <w:r>
                    <w:rPr>
                      <w:szCs w:val="21"/>
                      <w:highlight w:val="none"/>
                    </w:rPr>
                    <w:br w:type="textWrapping"/>
                  </w:r>
                  <w:r>
                    <w:rPr>
                      <w:rFonts w:ascii="Courier New" w:hAnsi="Courier New" w:cs="Courier New"/>
                      <w:szCs w:val="21"/>
                      <w:highlight w:val="none"/>
                    </w:rPr>
                    <w:t>片区</w:t>
                  </w:r>
                </w:p>
              </w:tc>
              <w:tc>
                <w:tcPr>
                  <w:tcW w:w="806" w:type="pct"/>
                  <w:vAlign w:val="center"/>
                </w:tcPr>
                <w:p>
                  <w:pPr>
                    <w:autoSpaceDE w:val="0"/>
                    <w:autoSpaceDN w:val="0"/>
                    <w:adjustRightInd w:val="0"/>
                    <w:snapToGrid w:val="0"/>
                    <w:jc w:val="center"/>
                    <w:rPr>
                      <w:kern w:val="0"/>
                      <w:szCs w:val="21"/>
                      <w:highlight w:val="none"/>
                    </w:rPr>
                  </w:pPr>
                  <w:r>
                    <w:rPr>
                      <w:rFonts w:ascii="Courier New" w:hAnsi="Courier New" w:cs="Courier New"/>
                      <w:szCs w:val="21"/>
                      <w:highlight w:val="none"/>
                    </w:rPr>
                    <w:t>商贸、科技</w:t>
                  </w:r>
                  <w:r>
                    <w:rPr>
                      <w:szCs w:val="21"/>
                      <w:highlight w:val="none"/>
                    </w:rPr>
                    <w:br w:type="textWrapping"/>
                  </w:r>
                  <w:r>
                    <w:rPr>
                      <w:rFonts w:ascii="Courier New" w:hAnsi="Courier New" w:cs="Courier New"/>
                      <w:szCs w:val="21"/>
                      <w:highlight w:val="none"/>
                    </w:rPr>
                    <w:t>教育服务</w:t>
                  </w:r>
                </w:p>
              </w:tc>
              <w:tc>
                <w:tcPr>
                  <w:tcW w:w="807" w:type="pct"/>
                  <w:vAlign w:val="center"/>
                </w:tcPr>
                <w:p>
                  <w:pPr>
                    <w:autoSpaceDE w:val="0"/>
                    <w:autoSpaceDN w:val="0"/>
                    <w:adjustRightInd w:val="0"/>
                    <w:snapToGrid w:val="0"/>
                    <w:jc w:val="center"/>
                    <w:rPr>
                      <w:kern w:val="0"/>
                      <w:szCs w:val="21"/>
                      <w:highlight w:val="none"/>
                    </w:rPr>
                  </w:pPr>
                  <w:r>
                    <w:rPr>
                      <w:rFonts w:ascii="Courier New" w:hAnsi="Courier New" w:cs="Courier New"/>
                      <w:szCs w:val="21"/>
                      <w:highlight w:val="none"/>
                    </w:rPr>
                    <w:t>科技服务、</w:t>
                  </w:r>
                  <w:r>
                    <w:rPr>
                      <w:szCs w:val="21"/>
                      <w:highlight w:val="none"/>
                    </w:rPr>
                    <w:br w:type="textWrapping"/>
                  </w:r>
                  <w:r>
                    <w:rPr>
                      <w:rFonts w:ascii="Courier New" w:hAnsi="Courier New" w:cs="Courier New"/>
                      <w:szCs w:val="21"/>
                      <w:highlight w:val="none"/>
                    </w:rPr>
                    <w:t>现代商贸</w:t>
                  </w:r>
                </w:p>
              </w:tc>
              <w:tc>
                <w:tcPr>
                  <w:tcW w:w="1583" w:type="pct"/>
                  <w:vAlign w:val="center"/>
                </w:tcPr>
                <w:p>
                  <w:pPr>
                    <w:autoSpaceDE w:val="0"/>
                    <w:autoSpaceDN w:val="0"/>
                    <w:adjustRightInd w:val="0"/>
                    <w:snapToGrid w:val="0"/>
                    <w:jc w:val="center"/>
                    <w:rPr>
                      <w:kern w:val="0"/>
                      <w:szCs w:val="21"/>
                      <w:highlight w:val="none"/>
                    </w:rPr>
                  </w:pPr>
                  <w:r>
                    <w:rPr>
                      <w:rFonts w:ascii="Courier New" w:hAnsi="Courier New" w:cs="Courier New"/>
                      <w:szCs w:val="21"/>
                      <w:highlight w:val="none"/>
                    </w:rPr>
                    <w:t>科技研发技术培训、装</w:t>
                  </w:r>
                  <w:r>
                    <w:rPr>
                      <w:szCs w:val="21"/>
                      <w:highlight w:val="none"/>
                    </w:rPr>
                    <w:br w:type="textWrapping"/>
                  </w:r>
                  <w:r>
                    <w:rPr>
                      <w:rFonts w:ascii="Courier New" w:hAnsi="Courier New" w:cs="Courier New"/>
                      <w:szCs w:val="21"/>
                      <w:highlight w:val="none"/>
                    </w:rPr>
                    <w:t>饰市场</w:t>
                  </w:r>
                </w:p>
              </w:tc>
              <w:tc>
                <w:tcPr>
                  <w:tcW w:w="950" w:type="pct"/>
                  <w:vAlign w:val="center"/>
                </w:tcPr>
                <w:p>
                  <w:pPr>
                    <w:autoSpaceDE w:val="0"/>
                    <w:autoSpaceDN w:val="0"/>
                    <w:adjustRightInd w:val="0"/>
                    <w:snapToGrid w:val="0"/>
                    <w:jc w:val="center"/>
                    <w:rPr>
                      <w:kern w:val="0"/>
                      <w:szCs w:val="21"/>
                      <w:highlight w:val="none"/>
                    </w:rPr>
                  </w:pPr>
                  <w:r>
                    <w:rPr>
                      <w:rFonts w:ascii="Courier New" w:hAnsi="Courier New" w:cs="Courier New"/>
                      <w:szCs w:val="21"/>
                      <w:highlight w:val="none"/>
                    </w:rPr>
                    <w:t>科技服务和</w:t>
                  </w:r>
                  <w:r>
                    <w:rPr>
                      <w:szCs w:val="21"/>
                      <w:highlight w:val="none"/>
                    </w:rPr>
                    <w:br w:type="textWrapping"/>
                  </w:r>
                  <w:r>
                    <w:rPr>
                      <w:rFonts w:ascii="Courier New" w:hAnsi="Courier New" w:cs="Courier New"/>
                      <w:szCs w:val="21"/>
                      <w:highlight w:val="none"/>
                    </w:rPr>
                    <w:t>商贸区</w:t>
                  </w:r>
                </w:p>
              </w:tc>
            </w:tr>
          </w:tbl>
          <w:p>
            <w:pPr>
              <w:tabs>
                <w:tab w:val="left" w:pos="2160"/>
              </w:tabs>
              <w:spacing w:line="360" w:lineRule="auto"/>
              <w:ind w:firstLine="480" w:firstLineChars="200"/>
              <w:rPr>
                <w:sz w:val="24"/>
                <w:highlight w:val="none"/>
              </w:rPr>
            </w:pPr>
            <w:r>
              <w:rPr>
                <w:rFonts w:hint="eastAsia"/>
                <w:sz w:val="24"/>
                <w:highlight w:val="none"/>
              </w:rPr>
              <w:t>②</w:t>
            </w:r>
            <w:r>
              <w:rPr>
                <w:sz w:val="24"/>
                <w:highlight w:val="none"/>
              </w:rPr>
              <w:t>分组团产业选择</w:t>
            </w:r>
          </w:p>
          <w:p>
            <w:pPr>
              <w:tabs>
                <w:tab w:val="left" w:pos="2160"/>
              </w:tabs>
              <w:spacing w:line="360" w:lineRule="auto"/>
              <w:ind w:firstLine="480" w:firstLineChars="200"/>
              <w:rPr>
                <w:sz w:val="24"/>
                <w:highlight w:val="none"/>
              </w:rPr>
            </w:pPr>
            <w:r>
              <w:rPr>
                <w:sz w:val="24"/>
                <w:highlight w:val="none"/>
              </w:rPr>
              <w:t>各重点组团中原有主导产业均以工业为主，未来随着高新区城市功能的增加，产业的选择在立足于原有的工业基础的同时要逐步增添各类现代服务业和生产性服务业。</w:t>
            </w:r>
          </w:p>
          <w:p>
            <w:pPr>
              <w:tabs>
                <w:tab w:val="left" w:pos="2160"/>
              </w:tabs>
              <w:spacing w:line="360" w:lineRule="auto"/>
              <w:ind w:firstLine="480" w:firstLineChars="200"/>
              <w:rPr>
                <w:sz w:val="24"/>
                <w:highlight w:val="none"/>
              </w:rPr>
            </w:pPr>
            <w:r>
              <w:rPr>
                <w:sz w:val="24"/>
                <w:highlight w:val="none"/>
              </w:rPr>
              <w:t xml:space="preserve">狮山组团中原狮山街道地区是承担着建设城市中心的重任，未来对原有传统类服务产业进行经营模式的更新，并加大对现代服务业和生产性服务业的培育力度；原枫桥街道地区要在承担对高新区工业发展的支撑功能的同时加强与浒通组团的生产协调，与狮山组团的服务协调以及与阳山组团的生态环境协调，实现同而不重，功能互补。 </w:t>
            </w:r>
          </w:p>
          <w:p>
            <w:pPr>
              <w:tabs>
                <w:tab w:val="left" w:pos="2160"/>
              </w:tabs>
              <w:spacing w:line="360" w:lineRule="auto"/>
              <w:ind w:firstLine="480" w:firstLineChars="200"/>
              <w:rPr>
                <w:sz w:val="24"/>
                <w:highlight w:val="none"/>
              </w:rPr>
            </w:pPr>
            <w:r>
              <w:rPr>
                <w:sz w:val="24"/>
                <w:highlight w:val="none"/>
              </w:rPr>
              <w:t xml:space="preserve">浒通组团要对原有的工业进行升级改造，并增添生产性服务业，在带动地区经济发展的同时实现生产性服务体系的完善。 </w:t>
            </w:r>
          </w:p>
          <w:p>
            <w:pPr>
              <w:tabs>
                <w:tab w:val="left" w:pos="2160"/>
              </w:tabs>
              <w:spacing w:line="360" w:lineRule="auto"/>
              <w:ind w:firstLine="480" w:firstLineChars="200"/>
              <w:rPr>
                <w:sz w:val="24"/>
                <w:highlight w:val="none"/>
              </w:rPr>
            </w:pPr>
            <w:r>
              <w:rPr>
                <w:sz w:val="24"/>
                <w:highlight w:val="none"/>
              </w:rPr>
              <w:t xml:space="preserve">科技城组团借助周边地区的环境和景观资源，以生态、科技为发展理念大力发展清洁型和科技型产业，并引入现代商务产业。 </w:t>
            </w:r>
          </w:p>
          <w:p>
            <w:pPr>
              <w:tabs>
                <w:tab w:val="left" w:pos="2160"/>
              </w:tabs>
              <w:spacing w:line="360" w:lineRule="auto"/>
              <w:ind w:firstLine="480" w:firstLineChars="200"/>
              <w:rPr>
                <w:sz w:val="24"/>
                <w:highlight w:val="none"/>
              </w:rPr>
            </w:pPr>
            <w:r>
              <w:rPr>
                <w:sz w:val="24"/>
                <w:highlight w:val="none"/>
              </w:rPr>
              <w:t xml:space="preserve">生态城组团拥有滨临太湖的天然优势，是苏州高新区宜居地区建设的典范，大力发展现代旅游业和休闲服务业。同时，把发展现代农业与发展生态休闲农业相结合，注重经济作物和农作物的规模经营，整治低效的家畜和渔业养殖。 </w:t>
            </w:r>
          </w:p>
          <w:p>
            <w:pPr>
              <w:tabs>
                <w:tab w:val="left" w:pos="2160"/>
              </w:tabs>
              <w:spacing w:line="360" w:lineRule="auto"/>
              <w:ind w:firstLine="480" w:firstLineChars="200"/>
              <w:rPr>
                <w:sz w:val="24"/>
                <w:highlight w:val="none"/>
              </w:rPr>
            </w:pPr>
            <w:r>
              <w:rPr>
                <w:sz w:val="24"/>
                <w:highlight w:val="none"/>
              </w:rPr>
              <w:t xml:space="preserve">阳山组团作为体现高新区魅力的生态之核，要尽快将原有的工业产业进行替换，建成以生态旅游和科技研发功能为主、彰显城市活力的绿色环保区。 </w:t>
            </w:r>
          </w:p>
          <w:p>
            <w:pPr>
              <w:tabs>
                <w:tab w:val="left" w:pos="2160"/>
              </w:tabs>
              <w:spacing w:line="360" w:lineRule="auto"/>
              <w:ind w:firstLine="480" w:firstLineChars="200"/>
              <w:rPr>
                <w:sz w:val="24"/>
                <w:highlight w:val="none"/>
              </w:rPr>
            </w:pPr>
            <w:r>
              <w:rPr>
                <w:sz w:val="24"/>
                <w:highlight w:val="none"/>
              </w:rPr>
              <w:t xml:space="preserve">横塘组团以特色市场服务（装饰市场）和科技服务为主打，注重经营模式的创新以及规模效益的发挥。 </w:t>
            </w:r>
          </w:p>
          <w:p>
            <w:pPr>
              <w:tabs>
                <w:tab w:val="left" w:pos="2160"/>
              </w:tabs>
              <w:spacing w:line="360" w:lineRule="auto"/>
              <w:ind w:firstLine="480" w:firstLineChars="200"/>
              <w:rPr>
                <w:sz w:val="24"/>
                <w:highlight w:val="none"/>
              </w:rPr>
            </w:pPr>
            <w:r>
              <w:rPr>
                <w:sz w:val="24"/>
                <w:highlight w:val="none"/>
              </w:rPr>
              <w:t>根据以上论述和分析，确定苏州高新区各</w:t>
            </w:r>
            <w:r>
              <w:rPr>
                <w:rFonts w:hint="eastAsia"/>
                <w:sz w:val="24"/>
                <w:highlight w:val="none"/>
              </w:rPr>
              <w:t>组团</w:t>
            </w:r>
            <w:r>
              <w:rPr>
                <w:sz w:val="24"/>
                <w:highlight w:val="none"/>
              </w:rPr>
              <w:t>选择的引导产业情况如下：</w:t>
            </w:r>
          </w:p>
          <w:p>
            <w:pPr>
              <w:autoSpaceDE w:val="0"/>
              <w:autoSpaceDN w:val="0"/>
              <w:adjustRightInd w:val="0"/>
              <w:snapToGrid w:val="0"/>
              <w:ind w:firstLine="482" w:firstLineChars="200"/>
              <w:jc w:val="center"/>
              <w:rPr>
                <w:b/>
                <w:sz w:val="24"/>
                <w:highlight w:val="none"/>
              </w:rPr>
            </w:pPr>
            <w:r>
              <w:rPr>
                <w:b/>
                <w:sz w:val="24"/>
                <w:highlight w:val="none"/>
              </w:rPr>
              <w:t xml:space="preserve">表1-2  </w:t>
            </w:r>
            <w:r>
              <w:rPr>
                <w:rFonts w:hint="eastAsia"/>
                <w:b/>
                <w:sz w:val="24"/>
                <w:highlight w:val="none"/>
              </w:rPr>
              <w:t>苏州高新区各重点组团未来主要引导产业情况</w:t>
            </w:r>
          </w:p>
          <w:tbl>
            <w:tblPr>
              <w:tblStyle w:val="22"/>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74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78" w:type="pct"/>
                  <w:vAlign w:val="center"/>
                </w:tcPr>
                <w:p>
                  <w:pPr>
                    <w:autoSpaceDE w:val="0"/>
                    <w:autoSpaceDN w:val="0"/>
                    <w:adjustRightInd w:val="0"/>
                    <w:snapToGrid w:val="0"/>
                    <w:jc w:val="center"/>
                    <w:rPr>
                      <w:b/>
                      <w:szCs w:val="21"/>
                      <w:highlight w:val="none"/>
                    </w:rPr>
                  </w:pPr>
                  <w:r>
                    <w:rPr>
                      <w:rFonts w:hint="eastAsia"/>
                      <w:b/>
                      <w:szCs w:val="21"/>
                      <w:highlight w:val="none"/>
                    </w:rPr>
                    <w:t>组团名称</w:t>
                  </w:r>
                </w:p>
              </w:tc>
              <w:tc>
                <w:tcPr>
                  <w:tcW w:w="4222" w:type="pct"/>
                  <w:vAlign w:val="center"/>
                </w:tcPr>
                <w:p>
                  <w:pPr>
                    <w:autoSpaceDE w:val="0"/>
                    <w:autoSpaceDN w:val="0"/>
                    <w:adjustRightInd w:val="0"/>
                    <w:snapToGrid w:val="0"/>
                    <w:jc w:val="center"/>
                    <w:rPr>
                      <w:b/>
                      <w:szCs w:val="21"/>
                      <w:highlight w:val="none"/>
                    </w:rPr>
                  </w:pPr>
                  <w:r>
                    <w:rPr>
                      <w:rFonts w:hint="eastAsia"/>
                      <w:b/>
                      <w:szCs w:val="21"/>
                      <w:highlight w:val="none"/>
                    </w:rPr>
                    <w:t>未来主要引导产业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78" w:type="pct"/>
                  <w:vAlign w:val="center"/>
                </w:tcPr>
                <w:p>
                  <w:pPr>
                    <w:autoSpaceDE w:val="0"/>
                    <w:autoSpaceDN w:val="0"/>
                    <w:adjustRightInd w:val="0"/>
                    <w:snapToGrid w:val="0"/>
                    <w:jc w:val="center"/>
                    <w:rPr>
                      <w:kern w:val="0"/>
                      <w:szCs w:val="21"/>
                      <w:highlight w:val="none"/>
                    </w:rPr>
                  </w:pPr>
                  <w:r>
                    <w:rPr>
                      <w:rFonts w:hint="eastAsia"/>
                      <w:kern w:val="0"/>
                      <w:szCs w:val="21"/>
                      <w:highlight w:val="none"/>
                    </w:rPr>
                    <w:t>狮山组团</w:t>
                  </w:r>
                </w:p>
              </w:tc>
              <w:tc>
                <w:tcPr>
                  <w:tcW w:w="4222" w:type="pct"/>
                  <w:vAlign w:val="center"/>
                </w:tcPr>
                <w:p>
                  <w:pPr>
                    <w:autoSpaceDE w:val="0"/>
                    <w:autoSpaceDN w:val="0"/>
                    <w:adjustRightInd w:val="0"/>
                    <w:snapToGrid w:val="0"/>
                    <w:jc w:val="center"/>
                    <w:rPr>
                      <w:kern w:val="0"/>
                      <w:szCs w:val="21"/>
                      <w:highlight w:val="none"/>
                    </w:rPr>
                  </w:pPr>
                  <w:r>
                    <w:rPr>
                      <w:rFonts w:hint="eastAsia"/>
                      <w:kern w:val="0"/>
                      <w:szCs w:val="21"/>
                      <w:highlight w:val="none"/>
                    </w:rPr>
                    <w:t>电子信息、精密机械、商务服务、金融保险、现代商贸、房地产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78" w:type="pct"/>
                  <w:vAlign w:val="center"/>
                </w:tcPr>
                <w:p>
                  <w:pPr>
                    <w:autoSpaceDE w:val="0"/>
                    <w:autoSpaceDN w:val="0"/>
                    <w:adjustRightInd w:val="0"/>
                    <w:snapToGrid w:val="0"/>
                    <w:jc w:val="center"/>
                    <w:rPr>
                      <w:kern w:val="0"/>
                      <w:szCs w:val="21"/>
                      <w:highlight w:val="none"/>
                    </w:rPr>
                  </w:pPr>
                  <w:r>
                    <w:rPr>
                      <w:kern w:val="0"/>
                      <w:szCs w:val="21"/>
                      <w:highlight w:val="none"/>
                    </w:rPr>
                    <w:t>浒通组团</w:t>
                  </w:r>
                </w:p>
              </w:tc>
              <w:tc>
                <w:tcPr>
                  <w:tcW w:w="4222" w:type="pct"/>
                  <w:vAlign w:val="center"/>
                </w:tcPr>
                <w:p>
                  <w:pPr>
                    <w:autoSpaceDE w:val="0"/>
                    <w:autoSpaceDN w:val="0"/>
                    <w:adjustRightInd w:val="0"/>
                    <w:snapToGrid w:val="0"/>
                    <w:jc w:val="center"/>
                    <w:rPr>
                      <w:kern w:val="0"/>
                      <w:szCs w:val="21"/>
                      <w:highlight w:val="none"/>
                    </w:rPr>
                  </w:pPr>
                  <w:r>
                    <w:rPr>
                      <w:kern w:val="0"/>
                      <w:szCs w:val="21"/>
                      <w:highlight w:val="none"/>
                    </w:rPr>
                    <w:t>电子信息、装备制造、精密机械、新材料、化工、现代物流、商务服务、金融保险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778" w:type="pct"/>
                  <w:vAlign w:val="center"/>
                </w:tcPr>
                <w:p>
                  <w:pPr>
                    <w:autoSpaceDE w:val="0"/>
                    <w:autoSpaceDN w:val="0"/>
                    <w:adjustRightInd w:val="0"/>
                    <w:snapToGrid w:val="0"/>
                    <w:jc w:val="center"/>
                    <w:rPr>
                      <w:kern w:val="0"/>
                      <w:szCs w:val="21"/>
                      <w:highlight w:val="none"/>
                    </w:rPr>
                  </w:pPr>
                  <w:r>
                    <w:rPr>
                      <w:kern w:val="0"/>
                      <w:szCs w:val="21"/>
                      <w:highlight w:val="none"/>
                    </w:rPr>
                    <w:t>科技城组团</w:t>
                  </w:r>
                </w:p>
              </w:tc>
              <w:tc>
                <w:tcPr>
                  <w:tcW w:w="4222" w:type="pct"/>
                  <w:vAlign w:val="center"/>
                </w:tcPr>
                <w:p>
                  <w:pPr>
                    <w:autoSpaceDE w:val="0"/>
                    <w:autoSpaceDN w:val="0"/>
                    <w:adjustRightInd w:val="0"/>
                    <w:snapToGrid w:val="0"/>
                    <w:jc w:val="center"/>
                    <w:rPr>
                      <w:kern w:val="0"/>
                      <w:szCs w:val="21"/>
                      <w:highlight w:val="none"/>
                    </w:rPr>
                  </w:pPr>
                  <w:r>
                    <w:rPr>
                      <w:kern w:val="0"/>
                      <w:szCs w:val="21"/>
                      <w:highlight w:val="none"/>
                    </w:rPr>
                    <w:t>轨道交通、新一代信息技术、新能源、医疗器械研发制造、科技研发、商务服务、金融保</w:t>
                  </w:r>
                  <w:r>
                    <w:rPr>
                      <w:rFonts w:hint="eastAsia"/>
                      <w:kern w:val="0"/>
                      <w:szCs w:val="21"/>
                      <w:highlight w:val="none"/>
                    </w:rPr>
                    <w:t>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78" w:type="pct"/>
                  <w:vAlign w:val="center"/>
                </w:tcPr>
                <w:p>
                  <w:pPr>
                    <w:autoSpaceDE w:val="0"/>
                    <w:autoSpaceDN w:val="0"/>
                    <w:adjustRightInd w:val="0"/>
                    <w:snapToGrid w:val="0"/>
                    <w:jc w:val="center"/>
                    <w:rPr>
                      <w:kern w:val="0"/>
                      <w:szCs w:val="21"/>
                      <w:highlight w:val="none"/>
                    </w:rPr>
                  </w:pPr>
                  <w:r>
                    <w:rPr>
                      <w:kern w:val="0"/>
                      <w:szCs w:val="21"/>
                      <w:highlight w:val="none"/>
                    </w:rPr>
                    <w:t>生态城组团</w:t>
                  </w:r>
                </w:p>
              </w:tc>
              <w:tc>
                <w:tcPr>
                  <w:tcW w:w="4222" w:type="pct"/>
                  <w:vAlign w:val="center"/>
                </w:tcPr>
                <w:p>
                  <w:pPr>
                    <w:autoSpaceDE w:val="0"/>
                    <w:autoSpaceDN w:val="0"/>
                    <w:adjustRightInd w:val="0"/>
                    <w:snapToGrid w:val="0"/>
                    <w:jc w:val="center"/>
                    <w:rPr>
                      <w:kern w:val="0"/>
                      <w:szCs w:val="21"/>
                      <w:highlight w:val="none"/>
                    </w:rPr>
                  </w:pPr>
                  <w:r>
                    <w:rPr>
                      <w:kern w:val="0"/>
                      <w:szCs w:val="21"/>
                      <w:highlight w:val="none"/>
                    </w:rPr>
                    <w:t>生态旅游、现代商贸、商务服务、金融保险、生态农业、生态旅游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78" w:type="pct"/>
                  <w:vAlign w:val="center"/>
                </w:tcPr>
                <w:p>
                  <w:pPr>
                    <w:autoSpaceDE w:val="0"/>
                    <w:autoSpaceDN w:val="0"/>
                    <w:adjustRightInd w:val="0"/>
                    <w:snapToGrid w:val="0"/>
                    <w:jc w:val="center"/>
                    <w:rPr>
                      <w:kern w:val="0"/>
                      <w:szCs w:val="21"/>
                      <w:highlight w:val="none"/>
                    </w:rPr>
                  </w:pPr>
                  <w:r>
                    <w:rPr>
                      <w:kern w:val="0"/>
                      <w:szCs w:val="21"/>
                      <w:highlight w:val="none"/>
                    </w:rPr>
                    <w:t>阳山组团</w:t>
                  </w:r>
                </w:p>
              </w:tc>
              <w:tc>
                <w:tcPr>
                  <w:tcW w:w="4222" w:type="pct"/>
                  <w:vAlign w:val="center"/>
                </w:tcPr>
                <w:p>
                  <w:pPr>
                    <w:autoSpaceDE w:val="0"/>
                    <w:autoSpaceDN w:val="0"/>
                    <w:adjustRightInd w:val="0"/>
                    <w:snapToGrid w:val="0"/>
                    <w:jc w:val="center"/>
                    <w:rPr>
                      <w:kern w:val="0"/>
                      <w:szCs w:val="21"/>
                      <w:highlight w:val="none"/>
                    </w:rPr>
                  </w:pPr>
                  <w:r>
                    <w:rPr>
                      <w:kern w:val="0"/>
                      <w:szCs w:val="21"/>
                      <w:highlight w:val="none"/>
                    </w:rPr>
                    <w:t>商务服务、文化休闲、生态旅游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78" w:type="pct"/>
                  <w:vAlign w:val="center"/>
                </w:tcPr>
                <w:p>
                  <w:pPr>
                    <w:autoSpaceDE w:val="0"/>
                    <w:autoSpaceDN w:val="0"/>
                    <w:adjustRightInd w:val="0"/>
                    <w:snapToGrid w:val="0"/>
                    <w:jc w:val="center"/>
                    <w:rPr>
                      <w:kern w:val="0"/>
                      <w:szCs w:val="21"/>
                      <w:highlight w:val="none"/>
                    </w:rPr>
                  </w:pPr>
                  <w:r>
                    <w:rPr>
                      <w:kern w:val="0"/>
                      <w:szCs w:val="21"/>
                      <w:highlight w:val="none"/>
                    </w:rPr>
                    <w:t>横塘组团</w:t>
                  </w:r>
                </w:p>
              </w:tc>
              <w:tc>
                <w:tcPr>
                  <w:tcW w:w="4222" w:type="pct"/>
                  <w:vAlign w:val="center"/>
                </w:tcPr>
                <w:p>
                  <w:pPr>
                    <w:autoSpaceDE w:val="0"/>
                    <w:autoSpaceDN w:val="0"/>
                    <w:adjustRightInd w:val="0"/>
                    <w:snapToGrid w:val="0"/>
                    <w:jc w:val="center"/>
                    <w:rPr>
                      <w:kern w:val="0"/>
                      <w:szCs w:val="21"/>
                      <w:highlight w:val="none"/>
                    </w:rPr>
                  </w:pPr>
                  <w:r>
                    <w:rPr>
                      <w:kern w:val="0"/>
                      <w:szCs w:val="21"/>
                      <w:highlight w:val="none"/>
                    </w:rPr>
                    <w:t>科技服务、现代商贸</w:t>
                  </w:r>
                </w:p>
              </w:tc>
            </w:tr>
          </w:tbl>
          <w:p>
            <w:pPr>
              <w:autoSpaceDE w:val="0"/>
              <w:autoSpaceDN w:val="0"/>
              <w:adjustRightInd w:val="0"/>
              <w:snapToGrid w:val="0"/>
              <w:jc w:val="left"/>
              <w:rPr>
                <w:kern w:val="0"/>
                <w:szCs w:val="21"/>
                <w:highlight w:val="yellow"/>
              </w:rPr>
            </w:pPr>
          </w:p>
          <w:p>
            <w:pPr>
              <w:tabs>
                <w:tab w:val="left" w:pos="2160"/>
              </w:tabs>
              <w:spacing w:line="360" w:lineRule="auto"/>
              <w:ind w:firstLine="480" w:firstLineChars="200"/>
              <w:rPr>
                <w:sz w:val="24"/>
                <w:highlight w:val="none"/>
              </w:rPr>
            </w:pPr>
            <w:r>
              <w:rPr>
                <w:sz w:val="24"/>
                <w:highlight w:val="none"/>
              </w:rPr>
              <w:t>（7）</w:t>
            </w:r>
            <w:r>
              <w:rPr>
                <w:rFonts w:hint="eastAsia"/>
                <w:sz w:val="24"/>
                <w:highlight w:val="none"/>
              </w:rPr>
              <w:t>基础设施建设情况</w:t>
            </w:r>
          </w:p>
          <w:p>
            <w:pPr>
              <w:tabs>
                <w:tab w:val="left" w:pos="2160"/>
              </w:tabs>
              <w:spacing w:line="360" w:lineRule="auto"/>
              <w:ind w:firstLine="480" w:firstLineChars="200"/>
              <w:rPr>
                <w:sz w:val="24"/>
                <w:highlight w:val="none"/>
              </w:rPr>
            </w:pPr>
            <w:r>
              <w:rPr>
                <w:rFonts w:hint="eastAsia"/>
                <w:sz w:val="24"/>
                <w:highlight w:val="none"/>
              </w:rPr>
              <w:t>①</w:t>
            </w:r>
            <w:r>
              <w:rPr>
                <w:sz w:val="24"/>
                <w:highlight w:val="none"/>
              </w:rPr>
              <w:t>给水：规划期末高新区总用水量为64.9 万m3/d，其中综合生活用水量31.2 万m3/d，工业用水量25.2 万m3/d，时变化系数取1.2，最大小时用水量为32450m3/h。</w:t>
            </w:r>
            <w:r>
              <w:rPr>
                <w:sz w:val="24"/>
                <w:highlight w:val="none"/>
              </w:rPr>
              <w:br w:type="textWrapping"/>
            </w:r>
            <w:r>
              <w:rPr>
                <w:sz w:val="24"/>
                <w:highlight w:val="none"/>
              </w:rPr>
              <w:t>供应高新区饮用水的水厂主要有2 座，即新宁水厂和高新区二水厂。新宁水厂位于竹园路、金枫路交叉口东北角，原水取自太湖渔洋山水源地，保持现状规模15.0 万m3/d，用地仍按规模30.0 万m3/d 控制为12.2ha。高新区二水厂位于镇湖西侧刑旺村附近，原水取自太湖上山水源地，现状规模30.0 万m3/d，规划进一步扩建至规模60.0 万m3/d，用地控制为20.0ha。高新区内白洋湾水厂保留，继续为主城服务。横山水厂搬迁至高新区外、吴中区内灵岩山西南角、苏福路北部。</w:t>
            </w:r>
            <w:r>
              <w:rPr>
                <w:sz w:val="24"/>
                <w:highlight w:val="none"/>
              </w:rPr>
              <w:br w:type="textWrapping"/>
            </w:r>
            <w:r>
              <w:rPr>
                <w:rFonts w:hint="eastAsia"/>
                <w:sz w:val="24"/>
                <w:highlight w:val="none"/>
                <w:lang w:val="en-US" w:eastAsia="zh-CN"/>
              </w:rPr>
              <w:t xml:space="preserve">    </w:t>
            </w:r>
            <w:r>
              <w:rPr>
                <w:sz w:val="24"/>
                <w:highlight w:val="none"/>
              </w:rPr>
              <w:t>高新区管网水质达到现行国家《生活饮用水卫生标准》。高新区管网水压满足直接向多层住宅供水要求，给水管网压力不小于0.28 兆帕。</w:t>
            </w:r>
            <w:r>
              <w:rPr>
                <w:sz w:val="24"/>
                <w:highlight w:val="yellow"/>
              </w:rPr>
              <w:br w:type="textWrapping"/>
            </w:r>
            <w:r>
              <w:rPr>
                <w:rFonts w:hint="eastAsia"/>
                <w:sz w:val="24"/>
                <w:highlight w:val="none"/>
                <w:lang w:val="en-US" w:eastAsia="zh-CN"/>
              </w:rPr>
              <w:t xml:space="preserve">    </w:t>
            </w:r>
            <w:r>
              <w:rPr>
                <w:rFonts w:hint="eastAsia"/>
                <w:sz w:val="24"/>
                <w:highlight w:val="none"/>
              </w:rPr>
              <w:t>②</w:t>
            </w:r>
            <w:r>
              <w:rPr>
                <w:sz w:val="24"/>
                <w:highlight w:val="none"/>
              </w:rPr>
              <w:t>排水：规划排水面积近期为55 平方公里，远期为180 平方公里，排水系统实行雨污分流。雨水排放以分散就近排入河道为主。结合原有航道和水系，规划河道布置形成东西方向八条：浒光运河、前桥港、双石河、马运河、生产河、枫津河、金山浜、沙金河，南北方向四条：金枫河、石城河、大轮浜、京杭大运河。东西方向河流在与太湖交汇处均设有闸坝。规划河道宽度控制在40~60m，在河道两侧控制10~50m 的绿化带。</w:t>
            </w:r>
          </w:p>
          <w:p>
            <w:pPr>
              <w:tabs>
                <w:tab w:val="left" w:pos="2160"/>
              </w:tabs>
              <w:spacing w:line="360" w:lineRule="auto"/>
              <w:ind w:firstLine="480" w:firstLineChars="200"/>
              <w:rPr>
                <w:sz w:val="24"/>
                <w:highlight w:val="none"/>
              </w:rPr>
            </w:pPr>
            <w:r>
              <w:rPr>
                <w:sz w:val="24"/>
                <w:highlight w:val="none"/>
              </w:rPr>
              <w:t>根据苏州高新区的实际情况和总体规划，规划范围内的地形、规模、总体布局和经济发展方向，按照基础设施先行的方针，苏州高新区污水综合治理采取集中治理原则，规划五个污水处理厂，所有污水排入污水处理厂集中处理。</w:t>
            </w:r>
          </w:p>
          <w:p>
            <w:pPr>
              <w:tabs>
                <w:tab w:val="left" w:pos="2160"/>
              </w:tabs>
              <w:spacing w:line="360" w:lineRule="auto"/>
              <w:ind w:firstLine="480" w:firstLineChars="200"/>
              <w:rPr>
                <w:sz w:val="24"/>
                <w:highlight w:val="none"/>
              </w:rPr>
            </w:pPr>
            <w:r>
              <w:rPr>
                <w:rFonts w:hint="eastAsia"/>
                <w:sz w:val="24"/>
                <w:highlight w:val="none"/>
              </w:rPr>
              <w:t>苏州高新区规划的五座污水处理厂分别是：</w:t>
            </w:r>
          </w:p>
          <w:p>
            <w:pPr>
              <w:tabs>
                <w:tab w:val="left" w:pos="2160"/>
              </w:tabs>
              <w:spacing w:line="360" w:lineRule="auto"/>
              <w:ind w:firstLine="480" w:firstLineChars="200"/>
              <w:rPr>
                <w:sz w:val="24"/>
                <w:highlight w:val="none"/>
              </w:rPr>
            </w:pPr>
            <w:r>
              <w:rPr>
                <w:rFonts w:hint="eastAsia"/>
                <w:sz w:val="24"/>
                <w:highlight w:val="none"/>
              </w:rPr>
              <w:t>狮山水质净化厂：位于运河南路、索山桥下，服务区域为华山路以南的苏州高新区，包括横塘、狮山街道和枫桥镇大部，总规模8 万吨/日，采用三槽交替式氧化沟工艺。</w:t>
            </w:r>
          </w:p>
          <w:p>
            <w:pPr>
              <w:tabs>
                <w:tab w:val="left" w:pos="2160"/>
              </w:tabs>
              <w:spacing w:line="360" w:lineRule="auto"/>
              <w:ind w:firstLine="480" w:firstLineChars="200"/>
              <w:rPr>
                <w:sz w:val="24"/>
                <w:highlight w:val="none"/>
              </w:rPr>
            </w:pPr>
            <w:r>
              <w:rPr>
                <w:rFonts w:hint="eastAsia"/>
                <w:sz w:val="24"/>
                <w:highlight w:val="none"/>
              </w:rPr>
              <w:t>枫桥水质净化厂：位于鹿山路东端、马运河以北，服务区域为华山路以北、白荡河以南、阳山以东，总规模8 万吨/日，采用AC 氧化沟工艺。</w:t>
            </w:r>
          </w:p>
          <w:p>
            <w:pPr>
              <w:tabs>
                <w:tab w:val="left" w:pos="2160"/>
              </w:tabs>
              <w:spacing w:line="360" w:lineRule="auto"/>
              <w:ind w:firstLine="480" w:firstLineChars="200"/>
              <w:rPr>
                <w:sz w:val="24"/>
                <w:highlight w:val="none"/>
              </w:rPr>
            </w:pPr>
            <w:r>
              <w:rPr>
                <w:rFonts w:hint="eastAsia"/>
                <w:sz w:val="24"/>
                <w:highlight w:val="none"/>
              </w:rPr>
              <w:t>白荡水质净化厂：位于出口加工区南白荡河边，服务于包括出口加工区等浒通片区运河以西地区。一期工程4 万吨/日，污水处理工艺采用循环式活性污泥法；远期总规模12万吨/日。</w:t>
            </w:r>
          </w:p>
          <w:p>
            <w:pPr>
              <w:tabs>
                <w:tab w:val="left" w:pos="2160"/>
              </w:tabs>
              <w:spacing w:line="360" w:lineRule="auto"/>
              <w:ind w:firstLine="480" w:firstLineChars="200"/>
              <w:rPr>
                <w:sz w:val="24"/>
                <w:highlight w:val="none"/>
              </w:rPr>
            </w:pPr>
            <w:r>
              <w:rPr>
                <w:rFonts w:hint="eastAsia"/>
                <w:sz w:val="24"/>
                <w:highlight w:val="none"/>
              </w:rPr>
              <w:t>浒东水质净化厂：位于大通路龙华塘边，服务于浒关工业园等浒通片区运河以东地区。一期工程4 万吨/日，采用循环式活性污泥法污水处理工艺；远期总规模8 万吨/日。</w:t>
            </w:r>
          </w:p>
          <w:p>
            <w:pPr>
              <w:tabs>
                <w:tab w:val="left" w:pos="2160"/>
              </w:tabs>
              <w:spacing w:line="360" w:lineRule="auto"/>
              <w:ind w:firstLine="480" w:firstLineChars="200"/>
              <w:rPr>
                <w:sz w:val="24"/>
                <w:highlight w:val="none"/>
              </w:rPr>
            </w:pPr>
            <w:r>
              <w:rPr>
                <w:rFonts w:hint="eastAsia"/>
                <w:sz w:val="24"/>
                <w:highlight w:val="none"/>
              </w:rPr>
              <w:t>科技城水质净化厂：位于通安和东渚镇交界处恩古山以东、浒光运河西岸，服务于镇湖、东渚以及通安大部。一期工程4 万吨/日，采用循环式活性污泥法处理工艺；远期总规模30 万吨/日。</w:t>
            </w:r>
          </w:p>
          <w:p>
            <w:pPr>
              <w:tabs>
                <w:tab w:val="left" w:pos="2160"/>
              </w:tabs>
              <w:spacing w:line="360" w:lineRule="auto"/>
              <w:ind w:firstLine="480" w:firstLineChars="200"/>
              <w:rPr>
                <w:sz w:val="24"/>
                <w:highlight w:val="none"/>
              </w:rPr>
            </w:pPr>
            <w:r>
              <w:rPr>
                <w:rFonts w:hint="eastAsia"/>
                <w:sz w:val="24"/>
                <w:highlight w:val="none"/>
              </w:rPr>
              <w:t>本项目位于科技城水质净化厂管网辐射范围之内，目前已具备完善的污水管网，可接管至科技城水质净化厂。</w:t>
            </w:r>
          </w:p>
          <w:p>
            <w:pPr>
              <w:tabs>
                <w:tab w:val="left" w:pos="2160"/>
              </w:tabs>
              <w:spacing w:line="360" w:lineRule="auto"/>
              <w:ind w:firstLine="480" w:firstLineChars="200"/>
              <w:rPr>
                <w:rFonts w:hint="eastAsia"/>
                <w:sz w:val="24"/>
                <w:highlight w:val="none"/>
              </w:rPr>
            </w:pPr>
            <w:r>
              <w:rPr>
                <w:rFonts w:hint="eastAsia"/>
                <w:sz w:val="24"/>
                <w:highlight w:val="none"/>
              </w:rPr>
              <w:t>③供热：高新区现状电源主要为望亭发电厂和500千伏苏州西变电站，现状220千伏狮山变、寒山变、阳山变、向阳变、建林变共5座220千伏变电所扩建增容，新建220千伏通安变、东渚变、永安变、滨湖变4座220千伏变电所，作为各组团主供电源。高新区高压配网主要以220千伏变电站为电源，110千伏电网采用互供型网络，逐步将部分现有具备条件的35千伏输变电设施升压至110千伏，不再新建35千伏公用变电站。</w:t>
            </w:r>
          </w:p>
          <w:p>
            <w:pPr>
              <w:tabs>
                <w:tab w:val="left" w:pos="2160"/>
              </w:tabs>
              <w:spacing w:line="360" w:lineRule="auto"/>
              <w:ind w:firstLine="480" w:firstLineChars="200"/>
              <w:rPr>
                <w:sz w:val="24"/>
                <w:highlight w:val="yellow"/>
              </w:rPr>
            </w:pPr>
            <w:r>
              <w:rPr>
                <w:rFonts w:hint="eastAsia"/>
                <w:sz w:val="24"/>
                <w:highlight w:val="none"/>
              </w:rPr>
              <w:t>本项目位于苏州市苏州高新区科技城华佗路12号2号楼，在本次规划范围内，属于科技城组团。本项目从事医疗仪器设备及器械制造，属于高新区产业规划中优先发展的医疗器械产业，符合高新区转型定位。本项目所在区域供水、供电、排水基础设施配套齐全，可以确保项目建成后的正常运行，不受基础设施限制。</w:t>
            </w:r>
          </w:p>
          <w:p>
            <w:pPr>
              <w:tabs>
                <w:tab w:val="left" w:pos="2160"/>
              </w:tabs>
              <w:spacing w:line="360" w:lineRule="auto"/>
              <w:ind w:firstLine="480" w:firstLineChars="200"/>
              <w:rPr>
                <w:sz w:val="24"/>
                <w:highlight w:val="none"/>
              </w:rPr>
            </w:pPr>
            <w:r>
              <w:rPr>
                <w:rFonts w:hint="eastAsia"/>
                <w:sz w:val="24"/>
                <w:highlight w:val="none"/>
              </w:rPr>
              <w:t>④燃气：根据《苏州新区总体规划》，全区控制燃料结构，实行燃气管网供气。近期东侧6.8km</w:t>
            </w:r>
            <w:r>
              <w:rPr>
                <w:rFonts w:hint="eastAsia"/>
                <w:sz w:val="24"/>
                <w:highlight w:val="none"/>
                <w:vertAlign w:val="superscript"/>
              </w:rPr>
              <w:t>2</w:t>
            </w:r>
            <w:r>
              <w:rPr>
                <w:rFonts w:hint="eastAsia"/>
                <w:sz w:val="24"/>
                <w:highlight w:val="none"/>
              </w:rPr>
              <w:t xml:space="preserve"> 内使用焦炉煤气（水煤气混合气体的方案保持不变，今后发展方向是采用液化石油气）空气混合气体。</w:t>
            </w:r>
          </w:p>
          <w:p>
            <w:pPr>
              <w:tabs>
                <w:tab w:val="left" w:pos="2160"/>
              </w:tabs>
              <w:spacing w:line="360" w:lineRule="auto"/>
              <w:ind w:firstLine="480" w:firstLineChars="200"/>
              <w:rPr>
                <w:sz w:val="24"/>
                <w:highlight w:val="none"/>
              </w:rPr>
            </w:pPr>
            <w:r>
              <w:rPr>
                <w:rFonts w:hint="eastAsia"/>
                <w:sz w:val="24"/>
                <w:highlight w:val="none"/>
              </w:rPr>
              <w:t>在新区的西部的典桥建设液化气源和相应的管网系统。一期工程规模为日供燃气4 万m</w:t>
            </w:r>
            <w:r>
              <w:rPr>
                <w:rFonts w:hint="eastAsia"/>
                <w:sz w:val="24"/>
                <w:highlight w:val="none"/>
                <w:vertAlign w:val="superscript"/>
              </w:rPr>
              <w:t>3</w:t>
            </w:r>
            <w:r>
              <w:rPr>
                <w:rFonts w:hint="eastAsia"/>
                <w:sz w:val="24"/>
                <w:highlight w:val="none"/>
              </w:rPr>
              <w:t>，供应新区中心区域18km</w:t>
            </w:r>
            <w:r>
              <w:rPr>
                <w:rFonts w:hint="eastAsia"/>
                <w:sz w:val="24"/>
                <w:highlight w:val="none"/>
                <w:vertAlign w:val="superscript"/>
              </w:rPr>
              <w:t>2</w:t>
            </w:r>
            <w:r>
              <w:rPr>
                <w:rFonts w:hint="eastAsia"/>
                <w:sz w:val="24"/>
                <w:highlight w:val="none"/>
              </w:rPr>
              <w:t xml:space="preserve"> 范围内用户；二期工程规模为5 万m</w:t>
            </w:r>
            <w:r>
              <w:rPr>
                <w:rFonts w:hint="eastAsia"/>
                <w:sz w:val="24"/>
                <w:highlight w:val="none"/>
                <w:vertAlign w:val="superscript"/>
              </w:rPr>
              <w:t>3</w:t>
            </w:r>
            <w:r>
              <w:rPr>
                <w:rFonts w:hint="eastAsia"/>
                <w:sz w:val="24"/>
                <w:highlight w:val="none"/>
              </w:rPr>
              <w:t>/d，相应扩大供应范围；最终规模达到13.4 万m</w:t>
            </w:r>
            <w:r>
              <w:rPr>
                <w:rFonts w:hint="eastAsia"/>
                <w:sz w:val="24"/>
                <w:highlight w:val="none"/>
                <w:vertAlign w:val="superscript"/>
              </w:rPr>
              <w:t>3</w:t>
            </w:r>
            <w:r>
              <w:rPr>
                <w:rFonts w:hint="eastAsia"/>
                <w:sz w:val="24"/>
                <w:highlight w:val="none"/>
              </w:rPr>
              <w:t>/d，供应范围为整个新区。</w:t>
            </w:r>
          </w:p>
          <w:p>
            <w:pPr>
              <w:tabs>
                <w:tab w:val="left" w:pos="2160"/>
              </w:tabs>
              <w:spacing w:line="360" w:lineRule="auto"/>
              <w:ind w:firstLine="480" w:firstLineChars="200"/>
              <w:rPr>
                <w:sz w:val="24"/>
                <w:highlight w:val="none"/>
              </w:rPr>
            </w:pPr>
            <w:r>
              <w:rPr>
                <w:rFonts w:hint="eastAsia"/>
                <w:sz w:val="24"/>
                <w:highlight w:val="none"/>
              </w:rPr>
              <w:t>⑤供电：电力主要由中国最大的供电系统华东电网提供，供电可靠率高于99.9%。</w:t>
            </w:r>
          </w:p>
          <w:p>
            <w:pPr>
              <w:tabs>
                <w:tab w:val="left" w:pos="2160"/>
              </w:tabs>
              <w:spacing w:line="360" w:lineRule="auto"/>
              <w:ind w:firstLine="480" w:firstLineChars="200"/>
              <w:rPr>
                <w:sz w:val="24"/>
                <w:highlight w:val="none"/>
              </w:rPr>
            </w:pPr>
            <w:r>
              <w:rPr>
                <w:rFonts w:hint="eastAsia"/>
                <w:sz w:val="24"/>
                <w:highlight w:val="none"/>
              </w:rPr>
              <w:t>⑥环保基础设施规划：新区生活垃圾采用定点、定时、定方式收集经垃圾中转站送垃圾处理厂。设立环卫水上工作基地，负责水面清理和船舶垃圾的收集、清理、运送。</w:t>
            </w:r>
          </w:p>
          <w:p>
            <w:pPr>
              <w:tabs>
                <w:tab w:val="left" w:pos="2160"/>
              </w:tabs>
              <w:spacing w:line="360" w:lineRule="auto"/>
              <w:ind w:firstLine="480" w:firstLineChars="200"/>
              <w:rPr>
                <w:rFonts w:hint="eastAsia"/>
                <w:sz w:val="24"/>
                <w:highlight w:val="none"/>
              </w:rPr>
            </w:pPr>
            <w:r>
              <w:rPr>
                <w:rFonts w:hint="eastAsia"/>
                <w:sz w:val="24"/>
                <w:highlight w:val="none"/>
              </w:rPr>
              <w:t>⑦生态保护规划：加强区域内水资源保护，所有入区企业应提高水的重复利用率，做到清污分流，全部污水截流进入污水处理厂处理。合理安排和使用土地，统筹规划，加强管理。提高绿化覆盖率，达到绿化标准要求。</w:t>
            </w:r>
          </w:p>
          <w:p>
            <w:pPr>
              <w:tabs>
                <w:tab w:val="left" w:pos="2160"/>
              </w:tabs>
              <w:spacing w:line="360" w:lineRule="auto"/>
              <w:ind w:firstLine="482" w:firstLineChars="200"/>
              <w:rPr>
                <w:rFonts w:hint="eastAsia"/>
                <w:b/>
                <w:bCs/>
                <w:sz w:val="24"/>
                <w:highlight w:val="none"/>
              </w:rPr>
            </w:pPr>
            <w:r>
              <w:rPr>
                <w:rFonts w:hint="eastAsia"/>
                <w:b/>
                <w:bCs/>
                <w:sz w:val="24"/>
                <w:highlight w:val="none"/>
                <w:lang w:eastAsia="zh-CN"/>
              </w:rPr>
              <w:t>（</w:t>
            </w:r>
            <w:r>
              <w:rPr>
                <w:rFonts w:hint="eastAsia"/>
                <w:b/>
                <w:bCs/>
                <w:sz w:val="24"/>
                <w:highlight w:val="none"/>
                <w:lang w:val="en-US" w:eastAsia="zh-CN"/>
              </w:rPr>
              <w:t>2</w:t>
            </w:r>
            <w:r>
              <w:rPr>
                <w:rFonts w:hint="eastAsia"/>
                <w:b/>
                <w:bCs/>
                <w:sz w:val="24"/>
                <w:highlight w:val="none"/>
                <w:lang w:eastAsia="zh-CN"/>
              </w:rPr>
              <w:t>）</w:t>
            </w:r>
            <w:r>
              <w:rPr>
                <w:rFonts w:hint="eastAsia"/>
                <w:b/>
                <w:bCs/>
                <w:sz w:val="24"/>
                <w:highlight w:val="none"/>
              </w:rPr>
              <w:t>《苏州国家高新技术产业开发区开发建设规划（2015-2030年）环境影响报告书》相符性分析</w:t>
            </w:r>
          </w:p>
          <w:p>
            <w:pPr>
              <w:tabs>
                <w:tab w:val="left" w:pos="2160"/>
              </w:tabs>
              <w:spacing w:line="360" w:lineRule="auto"/>
              <w:ind w:firstLine="480" w:firstLineChars="200"/>
              <w:rPr>
                <w:sz w:val="24"/>
                <w:highlight w:val="yellow"/>
              </w:rPr>
            </w:pPr>
            <w:r>
              <w:rPr>
                <w:sz w:val="24"/>
                <w:highlight w:val="none"/>
              </w:rPr>
              <w:t>根据《苏州高新技术产业开发区开发建设规划》（2015-2030），本项目位于</w:t>
            </w:r>
            <w:r>
              <w:rPr>
                <w:rFonts w:hint="eastAsia"/>
                <w:sz w:val="24"/>
                <w:highlight w:val="none"/>
              </w:rPr>
              <w:t>苏州高新区科技城华佗路12号2号楼</w:t>
            </w:r>
            <w:r>
              <w:rPr>
                <w:sz w:val="24"/>
                <w:highlight w:val="none"/>
              </w:rPr>
              <w:t>，属于</w:t>
            </w:r>
            <w:r>
              <w:rPr>
                <w:rFonts w:hint="eastAsia"/>
                <w:sz w:val="24"/>
                <w:highlight w:val="none"/>
              </w:rPr>
              <w:t>科技城</w:t>
            </w:r>
            <w:r>
              <w:rPr>
                <w:sz w:val="24"/>
                <w:highlight w:val="none"/>
              </w:rPr>
              <w:t>组团，</w:t>
            </w:r>
            <w:r>
              <w:rPr>
                <w:rFonts w:hint="eastAsia"/>
                <w:sz w:val="24"/>
                <w:highlight w:val="none"/>
                <w:lang w:eastAsia="zh-CN"/>
              </w:rPr>
              <w:t>根据</w:t>
            </w:r>
            <w:r>
              <w:rPr>
                <w:sz w:val="24"/>
                <w:highlight w:val="none"/>
              </w:rPr>
              <w:t>《</w:t>
            </w:r>
            <w:r>
              <w:rPr>
                <w:rFonts w:hint="eastAsia"/>
                <w:sz w:val="24"/>
                <w:highlight w:val="none"/>
              </w:rPr>
              <w:t>苏州金融小镇控制性详细规划</w:t>
            </w:r>
            <w:r>
              <w:rPr>
                <w:sz w:val="24"/>
                <w:highlight w:val="none"/>
              </w:rPr>
              <w:t>》</w:t>
            </w:r>
            <w:r>
              <w:rPr>
                <w:rFonts w:hint="eastAsia"/>
                <w:sz w:val="24"/>
                <w:highlight w:val="none"/>
                <w:lang w:eastAsia="zh-CN"/>
              </w:rPr>
              <w:t>，</w:t>
            </w:r>
            <w:r>
              <w:rPr>
                <w:sz w:val="24"/>
                <w:highlight w:val="none"/>
              </w:rPr>
              <w:t>项目区域用地被规划为</w:t>
            </w:r>
            <w:r>
              <w:rPr>
                <w:rFonts w:hint="eastAsia"/>
                <w:sz w:val="24"/>
                <w:highlight w:val="none"/>
                <w:lang w:eastAsia="zh-CN"/>
              </w:rPr>
              <w:t>生产研发</w:t>
            </w:r>
            <w:r>
              <w:rPr>
                <w:sz w:val="24"/>
                <w:highlight w:val="none"/>
              </w:rPr>
              <w:t>用地，本项目</w:t>
            </w:r>
            <w:r>
              <w:rPr>
                <w:rFonts w:hint="eastAsia"/>
                <w:sz w:val="24"/>
                <w:highlight w:val="none"/>
              </w:rPr>
              <w:t>为医疗仪器设备及器械制造，符合</w:t>
            </w:r>
            <w:r>
              <w:rPr>
                <w:rFonts w:hint="eastAsia"/>
                <w:sz w:val="24"/>
                <w:highlight w:val="none"/>
                <w:lang w:eastAsia="zh-CN"/>
              </w:rPr>
              <w:t>生产研发</w:t>
            </w:r>
            <w:r>
              <w:rPr>
                <w:rFonts w:hint="eastAsia"/>
                <w:sz w:val="24"/>
                <w:highlight w:val="none"/>
              </w:rPr>
              <w:t>用地性质</w:t>
            </w:r>
            <w:r>
              <w:rPr>
                <w:sz w:val="24"/>
                <w:highlight w:val="none"/>
              </w:rPr>
              <w:t>，符合该组团</w:t>
            </w:r>
            <w:r>
              <w:rPr>
                <w:rFonts w:hint="eastAsia"/>
                <w:sz w:val="24"/>
                <w:highlight w:val="none"/>
              </w:rPr>
              <w:t>现代服务业的</w:t>
            </w:r>
            <w:r>
              <w:rPr>
                <w:sz w:val="24"/>
                <w:highlight w:val="none"/>
              </w:rPr>
              <w:t xml:space="preserve">产业定位，与规划相符。 </w:t>
            </w:r>
          </w:p>
          <w:p>
            <w:pPr>
              <w:tabs>
                <w:tab w:val="left" w:pos="2160"/>
              </w:tabs>
              <w:spacing w:line="360" w:lineRule="auto"/>
              <w:ind w:firstLine="480" w:firstLineChars="200"/>
              <w:rPr>
                <w:sz w:val="24"/>
                <w:highlight w:val="none"/>
              </w:rPr>
            </w:pPr>
            <w:r>
              <w:rPr>
                <w:sz w:val="24"/>
                <w:highlight w:val="none"/>
              </w:rPr>
              <w:t xml:space="preserve">目前苏州高新区具有电力供应、物资运输及通讯条件等良好的投资环境，因此本项目建设地的选址是符合苏州高新区总体规划和环境规划的要求，与苏州高新区总体规划相容。 </w:t>
            </w:r>
          </w:p>
          <w:p>
            <w:pPr>
              <w:tabs>
                <w:tab w:val="left" w:pos="2160"/>
              </w:tabs>
              <w:spacing w:line="360" w:lineRule="auto"/>
              <w:ind w:firstLine="480" w:firstLineChars="200"/>
              <w:rPr>
                <w:sz w:val="24"/>
                <w:highlight w:val="none"/>
              </w:rPr>
            </w:pPr>
            <w:r>
              <w:rPr>
                <w:sz w:val="24"/>
                <w:highlight w:val="none"/>
              </w:rPr>
              <w:t>根据租赁方</w:t>
            </w:r>
            <w:r>
              <w:rPr>
                <w:rFonts w:hint="eastAsia"/>
                <w:sz w:val="24"/>
                <w:highlight w:val="none"/>
              </w:rPr>
              <w:t>房产</w:t>
            </w:r>
            <w:r>
              <w:rPr>
                <w:sz w:val="24"/>
                <w:highlight w:val="none"/>
              </w:rPr>
              <w:t>证“苏（201</w:t>
            </w:r>
            <w:r>
              <w:rPr>
                <w:rFonts w:hint="eastAsia"/>
                <w:sz w:val="24"/>
                <w:highlight w:val="none"/>
                <w:lang w:val="en-US" w:eastAsia="zh-CN"/>
              </w:rPr>
              <w:t>9</w:t>
            </w:r>
            <w:r>
              <w:rPr>
                <w:sz w:val="24"/>
                <w:highlight w:val="none"/>
              </w:rPr>
              <w:t>）</w:t>
            </w:r>
            <w:r>
              <w:rPr>
                <w:rFonts w:hint="eastAsia"/>
                <w:sz w:val="24"/>
                <w:highlight w:val="none"/>
              </w:rPr>
              <w:t>苏州市不动产权</w:t>
            </w:r>
            <w:r>
              <w:rPr>
                <w:sz w:val="24"/>
                <w:highlight w:val="none"/>
              </w:rPr>
              <w:t>第</w:t>
            </w:r>
            <w:r>
              <w:rPr>
                <w:rFonts w:hint="eastAsia"/>
                <w:sz w:val="24"/>
                <w:highlight w:val="none"/>
                <w:lang w:val="en-US" w:eastAsia="zh-CN"/>
              </w:rPr>
              <w:t>5151711</w:t>
            </w:r>
            <w:r>
              <w:rPr>
                <w:sz w:val="24"/>
                <w:highlight w:val="none"/>
              </w:rPr>
              <w:t>号”，项目</w:t>
            </w:r>
            <w:r>
              <w:rPr>
                <w:rFonts w:hint="eastAsia"/>
                <w:sz w:val="24"/>
                <w:highlight w:val="none"/>
              </w:rPr>
              <w:t>房屋用途为</w:t>
            </w:r>
            <w:r>
              <w:rPr>
                <w:rFonts w:hint="eastAsia"/>
                <w:sz w:val="24"/>
                <w:highlight w:val="none"/>
                <w:lang w:eastAsia="zh-CN"/>
              </w:rPr>
              <w:t>工业用地</w:t>
            </w:r>
            <w:r>
              <w:rPr>
                <w:sz w:val="24"/>
                <w:highlight w:val="none"/>
              </w:rPr>
              <w:t>，符合苏州市高新区土地利用规划，其选址可行。</w:t>
            </w:r>
          </w:p>
          <w:p>
            <w:pPr>
              <w:pStyle w:val="19"/>
              <w:snapToGrid w:val="0"/>
              <w:spacing w:before="0" w:beforeAutospacing="0" w:after="0" w:afterAutospacing="0" w:line="360" w:lineRule="auto"/>
              <w:ind w:firstLine="482" w:firstLineChars="200"/>
              <w:rPr>
                <w:rFonts w:ascii="Times New Roman" w:hAnsi="Times New Roman"/>
                <w:b/>
                <w:szCs w:val="24"/>
                <w:highlight w:val="none"/>
              </w:rPr>
            </w:pPr>
            <w:r>
              <w:rPr>
                <w:rFonts w:ascii="Times New Roman" w:hAnsi="Times New Roman"/>
                <w:b/>
                <w:szCs w:val="24"/>
                <w:highlight w:val="none"/>
              </w:rPr>
              <w:t>（</w:t>
            </w:r>
            <w:r>
              <w:rPr>
                <w:rFonts w:hint="eastAsia" w:ascii="Times New Roman" w:hAnsi="Times New Roman"/>
                <w:b/>
                <w:szCs w:val="24"/>
                <w:highlight w:val="none"/>
                <w:lang w:val="en-US" w:eastAsia="zh-CN"/>
              </w:rPr>
              <w:t>3</w:t>
            </w:r>
            <w:r>
              <w:rPr>
                <w:rFonts w:ascii="Times New Roman" w:hAnsi="Times New Roman"/>
                <w:b/>
                <w:szCs w:val="24"/>
                <w:highlight w:val="none"/>
              </w:rPr>
              <w:t>）与区域规划环评及其审查意见相符性分析</w:t>
            </w:r>
          </w:p>
          <w:p>
            <w:pPr>
              <w:tabs>
                <w:tab w:val="left" w:pos="2160"/>
              </w:tabs>
              <w:spacing w:line="360" w:lineRule="auto"/>
              <w:ind w:firstLine="480" w:firstLineChars="200"/>
              <w:rPr>
                <w:sz w:val="24"/>
                <w:highlight w:val="none"/>
              </w:rPr>
            </w:pPr>
            <w:r>
              <w:rPr>
                <w:sz w:val="24"/>
                <w:highlight w:val="none"/>
              </w:rPr>
              <w:t>2016年9月21日环境保护部在苏州主持召开了《苏州国家高新技术产业开发区开发建设规划（2015-2030年）环境影响报告书》（以下简称《规划环评报告书》）审查会。有关部门代表和专家等16人组成审查小组对《规划环评报告书》进行了审查，提出来审查意见（环审[2016]158号）。与本项目相关的主要条款及本项目与审查意见相符性分析见下表：</w:t>
            </w:r>
          </w:p>
          <w:p>
            <w:pPr>
              <w:autoSpaceDE w:val="0"/>
              <w:autoSpaceDN w:val="0"/>
              <w:adjustRightInd w:val="0"/>
              <w:snapToGrid w:val="0"/>
              <w:ind w:firstLine="482" w:firstLineChars="200"/>
              <w:jc w:val="center"/>
              <w:rPr>
                <w:b/>
                <w:sz w:val="24"/>
                <w:highlight w:val="none"/>
              </w:rPr>
            </w:pPr>
            <w:r>
              <w:rPr>
                <w:b/>
                <w:sz w:val="24"/>
                <w:highlight w:val="none"/>
              </w:rPr>
              <w:t>表1-3  项目与规划环评审查意见相符性分析</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4905"/>
              <w:gridCol w:w="30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vAlign w:val="center"/>
                </w:tcPr>
                <w:p>
                  <w:pPr>
                    <w:autoSpaceDE w:val="0"/>
                    <w:autoSpaceDN w:val="0"/>
                    <w:adjustRightInd w:val="0"/>
                    <w:snapToGrid w:val="0"/>
                    <w:jc w:val="center"/>
                    <w:rPr>
                      <w:b/>
                      <w:szCs w:val="21"/>
                      <w:highlight w:val="none"/>
                    </w:rPr>
                  </w:pPr>
                  <w:r>
                    <w:rPr>
                      <w:b/>
                      <w:szCs w:val="21"/>
                      <w:highlight w:val="none"/>
                    </w:rPr>
                    <w:t>序号</w:t>
                  </w:r>
                </w:p>
              </w:tc>
              <w:tc>
                <w:tcPr>
                  <w:tcW w:w="2791" w:type="pct"/>
                  <w:vAlign w:val="center"/>
                </w:tcPr>
                <w:p>
                  <w:pPr>
                    <w:autoSpaceDE w:val="0"/>
                    <w:autoSpaceDN w:val="0"/>
                    <w:adjustRightInd w:val="0"/>
                    <w:snapToGrid w:val="0"/>
                    <w:jc w:val="center"/>
                    <w:rPr>
                      <w:b/>
                      <w:szCs w:val="21"/>
                      <w:highlight w:val="none"/>
                    </w:rPr>
                  </w:pPr>
                  <w:r>
                    <w:rPr>
                      <w:rFonts w:hint="eastAsia"/>
                      <w:b/>
                      <w:szCs w:val="21"/>
                      <w:highlight w:val="none"/>
                    </w:rPr>
                    <w:t>审查意见（环审[2016]158 号）主要</w:t>
                  </w:r>
                </w:p>
                <w:p>
                  <w:pPr>
                    <w:autoSpaceDE w:val="0"/>
                    <w:autoSpaceDN w:val="0"/>
                    <w:adjustRightInd w:val="0"/>
                    <w:snapToGrid w:val="0"/>
                    <w:jc w:val="center"/>
                    <w:rPr>
                      <w:b/>
                      <w:szCs w:val="21"/>
                      <w:highlight w:val="none"/>
                    </w:rPr>
                  </w:pPr>
                  <w:r>
                    <w:rPr>
                      <w:rFonts w:hint="eastAsia"/>
                      <w:b/>
                      <w:szCs w:val="21"/>
                      <w:highlight w:val="none"/>
                    </w:rPr>
                    <w:t>内容</w:t>
                  </w:r>
                </w:p>
              </w:tc>
              <w:tc>
                <w:tcPr>
                  <w:tcW w:w="1727" w:type="pct"/>
                  <w:vAlign w:val="center"/>
                </w:tcPr>
                <w:p>
                  <w:pPr>
                    <w:autoSpaceDE w:val="0"/>
                    <w:autoSpaceDN w:val="0"/>
                    <w:adjustRightInd w:val="0"/>
                    <w:snapToGrid w:val="0"/>
                    <w:jc w:val="center"/>
                    <w:rPr>
                      <w:b/>
                      <w:szCs w:val="21"/>
                      <w:highlight w:val="none"/>
                    </w:rPr>
                  </w:pPr>
                  <w:r>
                    <w:rPr>
                      <w:b/>
                      <w:szCs w:val="21"/>
                      <w:highlight w:val="none"/>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vAlign w:val="center"/>
                </w:tcPr>
                <w:p>
                  <w:pPr>
                    <w:autoSpaceDE w:val="0"/>
                    <w:autoSpaceDN w:val="0"/>
                    <w:adjustRightInd w:val="0"/>
                    <w:snapToGrid w:val="0"/>
                    <w:jc w:val="center"/>
                    <w:rPr>
                      <w:kern w:val="0"/>
                      <w:szCs w:val="21"/>
                      <w:highlight w:val="none"/>
                    </w:rPr>
                  </w:pPr>
                  <w:r>
                    <w:rPr>
                      <w:rFonts w:hint="eastAsia"/>
                      <w:kern w:val="0"/>
                      <w:szCs w:val="21"/>
                      <w:highlight w:val="none"/>
                    </w:rPr>
                    <w:t>1</w:t>
                  </w:r>
                </w:p>
              </w:tc>
              <w:tc>
                <w:tcPr>
                  <w:tcW w:w="2791" w:type="pct"/>
                  <w:vAlign w:val="center"/>
                </w:tcPr>
                <w:p>
                  <w:pPr>
                    <w:autoSpaceDE w:val="0"/>
                    <w:autoSpaceDN w:val="0"/>
                    <w:adjustRightInd w:val="0"/>
                    <w:snapToGrid w:val="0"/>
                    <w:rPr>
                      <w:kern w:val="0"/>
                      <w:szCs w:val="21"/>
                      <w:highlight w:val="none"/>
                    </w:rPr>
                  </w:pPr>
                  <w:r>
                    <w:rPr>
                      <w:rFonts w:hint="eastAsia"/>
                      <w:kern w:val="0"/>
                      <w:szCs w:val="21"/>
                      <w:highlight w:val="none"/>
                    </w:rPr>
                    <w:t>根据国家、区域发展战略，结合苏州城市发展方向，突出集约发展、绿色发展以及城市与产业协调发展的理念，进一步优化《规划》的发展定位、功能布局、发展规模、产业布局和结构等，加强与苏州市城市总体规划、土地利用总体规划的协调和衔接，积极促进高新区产业转型升级，推进区域环境质量持续改善和提升。</w:t>
                  </w:r>
                </w:p>
              </w:tc>
              <w:tc>
                <w:tcPr>
                  <w:tcW w:w="1727" w:type="pct"/>
                  <w:vAlign w:val="center"/>
                </w:tcPr>
                <w:p>
                  <w:pPr>
                    <w:autoSpaceDE w:val="0"/>
                    <w:autoSpaceDN w:val="0"/>
                    <w:adjustRightInd w:val="0"/>
                    <w:snapToGrid w:val="0"/>
                    <w:rPr>
                      <w:kern w:val="0"/>
                      <w:szCs w:val="21"/>
                      <w:highlight w:val="none"/>
                    </w:rPr>
                  </w:pPr>
                  <w:r>
                    <w:rPr>
                      <w:rFonts w:hint="eastAsia"/>
                      <w:kern w:val="0"/>
                      <w:szCs w:val="21"/>
                      <w:highlight w:val="none"/>
                    </w:rPr>
                    <w:t>本项目位于</w:t>
                  </w:r>
                  <w:r>
                    <w:rPr>
                      <w:rFonts w:hint="eastAsia"/>
                      <w:kern w:val="0"/>
                      <w:szCs w:val="21"/>
                      <w:highlight w:val="none"/>
                      <w:lang w:eastAsia="zh-CN"/>
                    </w:rPr>
                    <w:t>科技城</w:t>
                  </w:r>
                  <w:r>
                    <w:rPr>
                      <w:rFonts w:hint="eastAsia"/>
                      <w:kern w:val="0"/>
                      <w:szCs w:val="21"/>
                      <w:highlight w:val="none"/>
                    </w:rPr>
                    <w:t>组团，主要进行医疗仪器设备及器械制造，符合苏州高新区产业发展方向，符合地方规划。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482" w:type="pct"/>
                  <w:vAlign w:val="center"/>
                </w:tcPr>
                <w:p>
                  <w:pPr>
                    <w:autoSpaceDE w:val="0"/>
                    <w:autoSpaceDN w:val="0"/>
                    <w:adjustRightInd w:val="0"/>
                    <w:snapToGrid w:val="0"/>
                    <w:jc w:val="center"/>
                    <w:rPr>
                      <w:kern w:val="0"/>
                      <w:szCs w:val="21"/>
                      <w:highlight w:val="none"/>
                    </w:rPr>
                  </w:pPr>
                  <w:r>
                    <w:rPr>
                      <w:rFonts w:hint="eastAsia"/>
                      <w:kern w:val="0"/>
                      <w:szCs w:val="21"/>
                      <w:highlight w:val="none"/>
                    </w:rPr>
                    <w:t>2</w:t>
                  </w:r>
                </w:p>
              </w:tc>
              <w:tc>
                <w:tcPr>
                  <w:tcW w:w="2791" w:type="pct"/>
                  <w:vAlign w:val="center"/>
                </w:tcPr>
                <w:p>
                  <w:pPr>
                    <w:autoSpaceDE w:val="0"/>
                    <w:autoSpaceDN w:val="0"/>
                    <w:adjustRightInd w:val="0"/>
                    <w:snapToGrid w:val="0"/>
                    <w:rPr>
                      <w:kern w:val="0"/>
                      <w:szCs w:val="21"/>
                      <w:highlight w:val="none"/>
                    </w:rPr>
                  </w:pPr>
                  <w:r>
                    <w:rPr>
                      <w:rFonts w:hint="eastAsia"/>
                      <w:kern w:val="0"/>
                      <w:szCs w:val="21"/>
                      <w:highlight w:val="none"/>
                    </w:rPr>
                    <w:t>优化区内空间布局。在严守生态红线的基础上逐步增加生态空间，加强太湖流域保护区、饮用水水源保护区、风景名胜区、重要湿地、基本农田保护区等生态敏感区的环境管控，确保区域生态安全和生态系统稳定。通过采取“退二进三”等用地调整策略，优化区内布局，解决部分片区居住与工业布局混杂的问题。逐步减小化工、钢铁等产业规模和用地规模。对位于化工集中区外的29家化工企业逐步整合到化工集中区域转移淘汰。</w:t>
                  </w:r>
                </w:p>
              </w:tc>
              <w:tc>
                <w:tcPr>
                  <w:tcW w:w="1727" w:type="pct"/>
                  <w:vAlign w:val="center"/>
                </w:tcPr>
                <w:p>
                  <w:pPr>
                    <w:autoSpaceDE w:val="0"/>
                    <w:autoSpaceDN w:val="0"/>
                    <w:adjustRightInd w:val="0"/>
                    <w:snapToGrid w:val="0"/>
                    <w:rPr>
                      <w:kern w:val="0"/>
                      <w:szCs w:val="21"/>
                      <w:highlight w:val="none"/>
                    </w:rPr>
                  </w:pPr>
                  <w:r>
                    <w:rPr>
                      <w:rFonts w:hint="eastAsia"/>
                      <w:kern w:val="0"/>
                      <w:szCs w:val="21"/>
                      <w:highlight w:val="none"/>
                    </w:rPr>
                    <w:t>项目不属于化工、钢铁行业，不在生态红线管控区内，且距离生态红线有一定的距离，符合意见要求。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vAlign w:val="center"/>
                </w:tcPr>
                <w:p>
                  <w:pPr>
                    <w:autoSpaceDE w:val="0"/>
                    <w:autoSpaceDN w:val="0"/>
                    <w:adjustRightInd w:val="0"/>
                    <w:snapToGrid w:val="0"/>
                    <w:jc w:val="center"/>
                    <w:rPr>
                      <w:kern w:val="0"/>
                      <w:szCs w:val="21"/>
                      <w:highlight w:val="none"/>
                    </w:rPr>
                  </w:pPr>
                  <w:r>
                    <w:rPr>
                      <w:rFonts w:hint="eastAsia"/>
                      <w:kern w:val="0"/>
                      <w:szCs w:val="21"/>
                      <w:highlight w:val="none"/>
                    </w:rPr>
                    <w:t>3</w:t>
                  </w:r>
                </w:p>
              </w:tc>
              <w:tc>
                <w:tcPr>
                  <w:tcW w:w="2791" w:type="pct"/>
                  <w:vAlign w:val="center"/>
                </w:tcPr>
                <w:p>
                  <w:pPr>
                    <w:autoSpaceDE w:val="0"/>
                    <w:autoSpaceDN w:val="0"/>
                    <w:adjustRightInd w:val="0"/>
                    <w:snapToGrid w:val="0"/>
                    <w:rPr>
                      <w:kern w:val="0"/>
                      <w:szCs w:val="21"/>
                      <w:highlight w:val="none"/>
                    </w:rPr>
                  </w:pPr>
                  <w:r>
                    <w:rPr>
                      <w:rFonts w:hint="eastAsia"/>
                      <w:kern w:val="0"/>
                      <w:szCs w:val="21"/>
                      <w:highlight w:val="none"/>
                    </w:rPr>
                    <w:t>加快推进区内产业转型升级，制定实施方案，逐步淘汰现有不符合区域发展定位环环境保护要求的企业。结合区域大气污染防治目标要求，进一步优化区内能源结构，逐步提升清洁能源使用率。推进技术研发型、创新型产业发展，提升产业的技术水平和高新区产业的循环化水平</w:t>
                  </w:r>
                </w:p>
              </w:tc>
              <w:tc>
                <w:tcPr>
                  <w:tcW w:w="1727" w:type="pct"/>
                  <w:vAlign w:val="center"/>
                </w:tcPr>
                <w:p>
                  <w:pPr>
                    <w:autoSpaceDE w:val="0"/>
                    <w:autoSpaceDN w:val="0"/>
                    <w:adjustRightInd w:val="0"/>
                    <w:snapToGrid w:val="0"/>
                    <w:rPr>
                      <w:kern w:val="0"/>
                      <w:szCs w:val="21"/>
                      <w:highlight w:val="none"/>
                    </w:rPr>
                  </w:pPr>
                  <w:r>
                    <w:rPr>
                      <w:rFonts w:hint="eastAsia"/>
                      <w:kern w:val="0"/>
                      <w:szCs w:val="21"/>
                      <w:highlight w:val="none"/>
                    </w:rPr>
                    <w:t>本次项目符合</w:t>
                  </w:r>
                  <w:r>
                    <w:rPr>
                      <w:rFonts w:hint="eastAsia"/>
                      <w:kern w:val="0"/>
                      <w:szCs w:val="21"/>
                      <w:highlight w:val="none"/>
                      <w:lang w:eastAsia="zh-CN"/>
                    </w:rPr>
                    <w:t>科技城</w:t>
                  </w:r>
                  <w:r>
                    <w:rPr>
                      <w:rFonts w:hint="eastAsia"/>
                      <w:kern w:val="0"/>
                      <w:szCs w:val="21"/>
                      <w:highlight w:val="none"/>
                    </w:rPr>
                    <w:t>组团服务产业的区域产业定位。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vAlign w:val="center"/>
                </w:tcPr>
                <w:p>
                  <w:pPr>
                    <w:autoSpaceDE w:val="0"/>
                    <w:autoSpaceDN w:val="0"/>
                    <w:adjustRightInd w:val="0"/>
                    <w:snapToGrid w:val="0"/>
                    <w:jc w:val="center"/>
                    <w:rPr>
                      <w:kern w:val="0"/>
                      <w:szCs w:val="21"/>
                      <w:highlight w:val="none"/>
                    </w:rPr>
                  </w:pPr>
                  <w:r>
                    <w:rPr>
                      <w:rFonts w:hint="eastAsia"/>
                      <w:kern w:val="0"/>
                      <w:szCs w:val="21"/>
                      <w:highlight w:val="none"/>
                    </w:rPr>
                    <w:t>4</w:t>
                  </w:r>
                </w:p>
              </w:tc>
              <w:tc>
                <w:tcPr>
                  <w:tcW w:w="2791" w:type="pct"/>
                  <w:vAlign w:val="center"/>
                </w:tcPr>
                <w:p>
                  <w:pPr>
                    <w:autoSpaceDE w:val="0"/>
                    <w:autoSpaceDN w:val="0"/>
                    <w:adjustRightInd w:val="0"/>
                    <w:snapToGrid w:val="0"/>
                    <w:rPr>
                      <w:kern w:val="0"/>
                      <w:szCs w:val="21"/>
                      <w:highlight w:val="none"/>
                    </w:rPr>
                  </w:pPr>
                  <w:r>
                    <w:rPr>
                      <w:rFonts w:hint="eastAsia"/>
                      <w:kern w:val="0"/>
                      <w:szCs w:val="21"/>
                      <w:highlight w:val="none"/>
                    </w:rPr>
                    <w:t>严格入区项目环境准入，引进项目的生产工艺、设备、污染治理技术，以及单位产品能耗、物耗、污染物排放和资源利用率等均需达到同行业国际先进水平。</w:t>
                  </w:r>
                </w:p>
              </w:tc>
              <w:tc>
                <w:tcPr>
                  <w:tcW w:w="1727" w:type="pct"/>
                  <w:vAlign w:val="center"/>
                </w:tcPr>
                <w:p>
                  <w:pPr>
                    <w:autoSpaceDE w:val="0"/>
                    <w:autoSpaceDN w:val="0"/>
                    <w:adjustRightInd w:val="0"/>
                    <w:snapToGrid w:val="0"/>
                    <w:rPr>
                      <w:kern w:val="0"/>
                      <w:szCs w:val="21"/>
                      <w:highlight w:val="none"/>
                    </w:rPr>
                  </w:pPr>
                  <w:r>
                    <w:rPr>
                      <w:rFonts w:hint="eastAsia"/>
                      <w:kern w:val="0"/>
                      <w:szCs w:val="21"/>
                      <w:highlight w:val="none"/>
                    </w:rPr>
                    <w:t>项目</w:t>
                  </w:r>
                  <w:r>
                    <w:rPr>
                      <w:rFonts w:hint="eastAsia"/>
                      <w:kern w:val="0"/>
                      <w:szCs w:val="21"/>
                      <w:highlight w:val="none"/>
                      <w:lang w:eastAsia="zh-CN"/>
                    </w:rPr>
                    <w:t>符合要求</w:t>
                  </w:r>
                  <w:r>
                    <w:rPr>
                      <w:rFonts w:hint="eastAsia"/>
                      <w:kern w:val="0"/>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482" w:type="pct"/>
                  <w:vAlign w:val="center"/>
                </w:tcPr>
                <w:p>
                  <w:pPr>
                    <w:autoSpaceDE w:val="0"/>
                    <w:autoSpaceDN w:val="0"/>
                    <w:adjustRightInd w:val="0"/>
                    <w:snapToGrid w:val="0"/>
                    <w:jc w:val="center"/>
                    <w:rPr>
                      <w:kern w:val="0"/>
                      <w:szCs w:val="21"/>
                      <w:highlight w:val="none"/>
                    </w:rPr>
                  </w:pPr>
                  <w:r>
                    <w:rPr>
                      <w:rFonts w:hint="eastAsia"/>
                      <w:kern w:val="0"/>
                      <w:szCs w:val="21"/>
                      <w:highlight w:val="none"/>
                    </w:rPr>
                    <w:t>5</w:t>
                  </w:r>
                </w:p>
              </w:tc>
              <w:tc>
                <w:tcPr>
                  <w:tcW w:w="2791" w:type="pct"/>
                  <w:vAlign w:val="center"/>
                </w:tcPr>
                <w:p>
                  <w:pPr>
                    <w:autoSpaceDE w:val="0"/>
                    <w:autoSpaceDN w:val="0"/>
                    <w:adjustRightInd w:val="0"/>
                    <w:snapToGrid w:val="0"/>
                    <w:rPr>
                      <w:kern w:val="0"/>
                      <w:szCs w:val="21"/>
                      <w:highlight w:val="none"/>
                    </w:rPr>
                  </w:pPr>
                  <w:r>
                    <w:rPr>
                      <w:rFonts w:hint="eastAsia"/>
                      <w:kern w:val="0"/>
                      <w:szCs w:val="21"/>
                      <w:highlight w:val="none"/>
                    </w:rPr>
                    <w:t>落实污染物排放总量控制要求，采取有效果措施减少二氧化硫、氮氧化物、挥发性有机物、化学需氧量、氨氮、总磷、总氮、重金属等污染物的排放量，切实改善区域环境质量。</w:t>
                  </w:r>
                </w:p>
              </w:tc>
              <w:tc>
                <w:tcPr>
                  <w:tcW w:w="1727" w:type="pct"/>
                  <w:vAlign w:val="center"/>
                </w:tcPr>
                <w:p>
                  <w:pPr>
                    <w:autoSpaceDE w:val="0"/>
                    <w:autoSpaceDN w:val="0"/>
                    <w:adjustRightInd w:val="0"/>
                    <w:snapToGrid w:val="0"/>
                    <w:rPr>
                      <w:kern w:val="0"/>
                      <w:szCs w:val="21"/>
                      <w:highlight w:val="none"/>
                    </w:rPr>
                  </w:pPr>
                  <w:r>
                    <w:rPr>
                      <w:rFonts w:hint="eastAsia"/>
                      <w:kern w:val="0"/>
                      <w:szCs w:val="21"/>
                      <w:highlight w:val="none"/>
                    </w:rPr>
                    <w:t>项目采取了有效的废气治理措施，不会改变区域环境质量。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vAlign w:val="center"/>
                </w:tcPr>
                <w:p>
                  <w:pPr>
                    <w:autoSpaceDE w:val="0"/>
                    <w:autoSpaceDN w:val="0"/>
                    <w:adjustRightInd w:val="0"/>
                    <w:snapToGrid w:val="0"/>
                    <w:jc w:val="center"/>
                    <w:rPr>
                      <w:kern w:val="0"/>
                      <w:szCs w:val="21"/>
                      <w:highlight w:val="none"/>
                    </w:rPr>
                  </w:pPr>
                  <w:r>
                    <w:rPr>
                      <w:rFonts w:hint="eastAsia"/>
                      <w:kern w:val="0"/>
                      <w:szCs w:val="21"/>
                      <w:highlight w:val="none"/>
                    </w:rPr>
                    <w:t>6</w:t>
                  </w:r>
                </w:p>
              </w:tc>
              <w:tc>
                <w:tcPr>
                  <w:tcW w:w="2791" w:type="pct"/>
                  <w:vAlign w:val="center"/>
                </w:tcPr>
                <w:p>
                  <w:pPr>
                    <w:autoSpaceDE w:val="0"/>
                    <w:autoSpaceDN w:val="0"/>
                    <w:adjustRightInd w:val="0"/>
                    <w:snapToGrid w:val="0"/>
                    <w:rPr>
                      <w:kern w:val="0"/>
                      <w:szCs w:val="21"/>
                      <w:highlight w:val="none"/>
                    </w:rPr>
                  </w:pPr>
                  <w:r>
                    <w:rPr>
                      <w:rFonts w:hint="eastAsia"/>
                      <w:kern w:val="0"/>
                      <w:szCs w:val="21"/>
                      <w:highlight w:val="none"/>
                    </w:rPr>
                    <w:t>组织制定生态环境保护规划，统筹考虑区内污染物排放、生态恢复与建设、环境风险防范、环境管理等事宜。建立健全区域环境风险防范体系和生态安全保障体系，加强区内重要环境风险源的管控。</w:t>
                  </w:r>
                </w:p>
              </w:tc>
              <w:tc>
                <w:tcPr>
                  <w:tcW w:w="1727" w:type="pct"/>
                  <w:vAlign w:val="center"/>
                </w:tcPr>
                <w:p>
                  <w:pPr>
                    <w:autoSpaceDE w:val="0"/>
                    <w:autoSpaceDN w:val="0"/>
                    <w:adjustRightInd w:val="0"/>
                    <w:snapToGrid w:val="0"/>
                    <w:rPr>
                      <w:kern w:val="0"/>
                      <w:szCs w:val="21"/>
                      <w:highlight w:val="none"/>
                    </w:rPr>
                  </w:pPr>
                  <w:r>
                    <w:rPr>
                      <w:rFonts w:hint="eastAsia"/>
                      <w:kern w:val="0"/>
                      <w:szCs w:val="21"/>
                      <w:highlight w:val="none"/>
                    </w:rPr>
                    <w:t>建立了环境风险防范体系，加强对风险源的管控，符合意见要求。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vAlign w:val="center"/>
                </w:tcPr>
                <w:p>
                  <w:pPr>
                    <w:autoSpaceDE w:val="0"/>
                    <w:autoSpaceDN w:val="0"/>
                    <w:adjustRightInd w:val="0"/>
                    <w:snapToGrid w:val="0"/>
                    <w:jc w:val="center"/>
                    <w:rPr>
                      <w:kern w:val="0"/>
                      <w:szCs w:val="21"/>
                      <w:highlight w:val="none"/>
                    </w:rPr>
                  </w:pPr>
                  <w:r>
                    <w:rPr>
                      <w:rFonts w:hint="eastAsia"/>
                      <w:kern w:val="0"/>
                      <w:szCs w:val="21"/>
                      <w:highlight w:val="none"/>
                    </w:rPr>
                    <w:t>7</w:t>
                  </w:r>
                </w:p>
              </w:tc>
              <w:tc>
                <w:tcPr>
                  <w:tcW w:w="2791" w:type="pct"/>
                  <w:vAlign w:val="center"/>
                </w:tcPr>
                <w:p>
                  <w:pPr>
                    <w:autoSpaceDE w:val="0"/>
                    <w:autoSpaceDN w:val="0"/>
                    <w:adjustRightInd w:val="0"/>
                    <w:snapToGrid w:val="0"/>
                    <w:rPr>
                      <w:kern w:val="0"/>
                      <w:szCs w:val="21"/>
                      <w:highlight w:val="none"/>
                    </w:rPr>
                  </w:pPr>
                  <w:r>
                    <w:rPr>
                      <w:rFonts w:hint="eastAsia"/>
                      <w:kern w:val="0"/>
                      <w:szCs w:val="21"/>
                      <w:highlight w:val="none"/>
                    </w:rPr>
                    <w:t>建立健全长期稳定的环境监测体系。根据高新区功能分区、产业布局、重点企业分布、特征污染物的排放种类和状况、环境敏感目标分布等情况，建立包括环境空气、地表水、地下水、土壤等环境要素的监控体系，明确环保投资、实施时限、责任主体等。做好高新区内大气、水、土壤等环境的长期跟踪监测与管理，根据监测结果适时优化调整《规划》。</w:t>
                  </w:r>
                </w:p>
              </w:tc>
              <w:tc>
                <w:tcPr>
                  <w:tcW w:w="1727" w:type="pct"/>
                  <w:vAlign w:val="center"/>
                </w:tcPr>
                <w:p>
                  <w:pPr>
                    <w:autoSpaceDE w:val="0"/>
                    <w:autoSpaceDN w:val="0"/>
                    <w:adjustRightInd w:val="0"/>
                    <w:snapToGrid w:val="0"/>
                    <w:rPr>
                      <w:kern w:val="0"/>
                      <w:szCs w:val="21"/>
                      <w:highlight w:val="none"/>
                    </w:rPr>
                  </w:pPr>
                  <w:r>
                    <w:rPr>
                      <w:rFonts w:hint="eastAsia"/>
                      <w:kern w:val="0"/>
                      <w:szCs w:val="21"/>
                      <w:highlight w:val="none"/>
                    </w:rPr>
                    <w:t>项目制定了污染源监测计划，符合意见要求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482" w:type="pct"/>
                  <w:vAlign w:val="center"/>
                </w:tcPr>
                <w:p>
                  <w:pPr>
                    <w:autoSpaceDE w:val="0"/>
                    <w:autoSpaceDN w:val="0"/>
                    <w:adjustRightInd w:val="0"/>
                    <w:snapToGrid w:val="0"/>
                    <w:jc w:val="center"/>
                    <w:rPr>
                      <w:kern w:val="0"/>
                      <w:szCs w:val="21"/>
                      <w:highlight w:val="none"/>
                    </w:rPr>
                  </w:pPr>
                  <w:r>
                    <w:rPr>
                      <w:rFonts w:hint="eastAsia"/>
                      <w:kern w:val="0"/>
                      <w:szCs w:val="21"/>
                      <w:highlight w:val="none"/>
                    </w:rPr>
                    <w:t>8</w:t>
                  </w:r>
                </w:p>
              </w:tc>
              <w:tc>
                <w:tcPr>
                  <w:tcW w:w="2791" w:type="pct"/>
                  <w:vAlign w:val="center"/>
                </w:tcPr>
                <w:p>
                  <w:pPr>
                    <w:autoSpaceDE w:val="0"/>
                    <w:autoSpaceDN w:val="0"/>
                    <w:adjustRightInd w:val="0"/>
                    <w:snapToGrid w:val="0"/>
                    <w:rPr>
                      <w:kern w:val="0"/>
                      <w:szCs w:val="21"/>
                      <w:highlight w:val="none"/>
                    </w:rPr>
                  </w:pPr>
                  <w:r>
                    <w:rPr>
                      <w:rFonts w:hint="eastAsia"/>
                      <w:kern w:val="0"/>
                      <w:szCs w:val="21"/>
                      <w:highlight w:val="none"/>
                    </w:rPr>
                    <w:t>完善区域环境基础设施建设，加快推进建设热电厂超低排放改造工程、污水处理厂中水回用工程等；加强固体废弃物的集中处理处置，危险废物交由有资质的单位统一收集处理。</w:t>
                  </w:r>
                </w:p>
              </w:tc>
              <w:tc>
                <w:tcPr>
                  <w:tcW w:w="1727" w:type="pct"/>
                  <w:vAlign w:val="center"/>
                </w:tcPr>
                <w:p>
                  <w:pPr>
                    <w:autoSpaceDE w:val="0"/>
                    <w:autoSpaceDN w:val="0"/>
                    <w:adjustRightInd w:val="0"/>
                    <w:snapToGrid w:val="0"/>
                    <w:rPr>
                      <w:kern w:val="0"/>
                      <w:szCs w:val="21"/>
                      <w:highlight w:val="none"/>
                    </w:rPr>
                  </w:pPr>
                  <w:r>
                    <w:rPr>
                      <w:rFonts w:hint="eastAsia"/>
                      <w:kern w:val="0"/>
                      <w:szCs w:val="21"/>
                      <w:highlight w:val="none"/>
                    </w:rPr>
                    <w:t>本次项目</w:t>
                  </w:r>
                  <w:r>
                    <w:rPr>
                      <w:rFonts w:hint="eastAsia"/>
                      <w:kern w:val="0"/>
                      <w:szCs w:val="21"/>
                      <w:highlight w:val="none"/>
                      <w:lang w:eastAsia="zh-CN"/>
                    </w:rPr>
                    <w:t>生活污水</w:t>
                  </w:r>
                  <w:r>
                    <w:rPr>
                      <w:rFonts w:hint="eastAsia"/>
                      <w:kern w:val="0"/>
                      <w:szCs w:val="21"/>
                      <w:highlight w:val="none"/>
                    </w:rPr>
                    <w:t>、</w:t>
                  </w:r>
                  <w:r>
                    <w:rPr>
                      <w:rFonts w:hint="eastAsia"/>
                      <w:kern w:val="0"/>
                      <w:szCs w:val="21"/>
                      <w:highlight w:val="none"/>
                      <w:lang w:eastAsia="zh-CN"/>
                    </w:rPr>
                    <w:t>冷却</w:t>
                  </w:r>
                  <w:r>
                    <w:rPr>
                      <w:rFonts w:hint="eastAsia"/>
                      <w:kern w:val="0"/>
                      <w:szCs w:val="21"/>
                      <w:highlight w:val="none"/>
                    </w:rPr>
                    <w:t>废水经</w:t>
                  </w:r>
                  <w:r>
                    <w:rPr>
                      <w:rFonts w:hint="eastAsia"/>
                      <w:kern w:val="0"/>
                      <w:szCs w:val="21"/>
                      <w:highlight w:val="none"/>
                      <w:lang w:eastAsia="zh-CN"/>
                    </w:rPr>
                    <w:t>厂区</w:t>
                  </w:r>
                  <w:r>
                    <w:rPr>
                      <w:rFonts w:hint="eastAsia"/>
                      <w:kern w:val="0"/>
                      <w:szCs w:val="21"/>
                      <w:highlight w:val="none"/>
                    </w:rPr>
                    <w:t>内污水处理设施处理后与生活污水接管市政污水管网，固体废弃物集中处置，危废委托有资质的单位统一收集，符合意见要求。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vAlign w:val="center"/>
                </w:tcPr>
                <w:p>
                  <w:pPr>
                    <w:autoSpaceDE w:val="0"/>
                    <w:autoSpaceDN w:val="0"/>
                    <w:adjustRightInd w:val="0"/>
                    <w:snapToGrid w:val="0"/>
                    <w:jc w:val="center"/>
                    <w:rPr>
                      <w:kern w:val="0"/>
                      <w:szCs w:val="21"/>
                      <w:highlight w:val="none"/>
                    </w:rPr>
                  </w:pPr>
                  <w:r>
                    <w:rPr>
                      <w:rFonts w:hint="eastAsia"/>
                      <w:kern w:val="0"/>
                      <w:szCs w:val="21"/>
                      <w:highlight w:val="none"/>
                    </w:rPr>
                    <w:t>9</w:t>
                  </w:r>
                </w:p>
              </w:tc>
              <w:tc>
                <w:tcPr>
                  <w:tcW w:w="2791" w:type="pct"/>
                  <w:vAlign w:val="center"/>
                </w:tcPr>
                <w:p>
                  <w:pPr>
                    <w:autoSpaceDE w:val="0"/>
                    <w:autoSpaceDN w:val="0"/>
                    <w:adjustRightInd w:val="0"/>
                    <w:snapToGrid w:val="0"/>
                    <w:rPr>
                      <w:kern w:val="0"/>
                      <w:szCs w:val="21"/>
                      <w:highlight w:val="none"/>
                    </w:rPr>
                  </w:pPr>
                  <w:r>
                    <w:rPr>
                      <w:rFonts w:hint="eastAsia"/>
                      <w:kern w:val="0"/>
                      <w:szCs w:val="21"/>
                      <w:highlight w:val="none"/>
                    </w:rPr>
                    <w:t>在《规划》实施过程中，适时开展环境影响跟踪评价。</w:t>
                  </w:r>
                </w:p>
                <w:p>
                  <w:pPr>
                    <w:autoSpaceDE w:val="0"/>
                    <w:autoSpaceDN w:val="0"/>
                    <w:adjustRightInd w:val="0"/>
                    <w:snapToGrid w:val="0"/>
                    <w:rPr>
                      <w:kern w:val="0"/>
                      <w:szCs w:val="21"/>
                      <w:highlight w:val="none"/>
                    </w:rPr>
                  </w:pPr>
                  <w:r>
                    <w:rPr>
                      <w:rFonts w:hint="eastAsia"/>
                      <w:kern w:val="0"/>
                      <w:szCs w:val="21"/>
                      <w:highlight w:val="none"/>
                    </w:rPr>
                    <w:t>《规划》修编时应重新编制环境影响报告书。</w:t>
                  </w:r>
                </w:p>
              </w:tc>
              <w:tc>
                <w:tcPr>
                  <w:tcW w:w="1727" w:type="pct"/>
                  <w:vAlign w:val="center"/>
                </w:tcPr>
                <w:p>
                  <w:pPr>
                    <w:autoSpaceDE w:val="0"/>
                    <w:autoSpaceDN w:val="0"/>
                    <w:adjustRightInd w:val="0"/>
                    <w:snapToGrid w:val="0"/>
                    <w:jc w:val="center"/>
                    <w:rPr>
                      <w:kern w:val="0"/>
                      <w:szCs w:val="21"/>
                      <w:highlight w:val="none"/>
                    </w:rPr>
                  </w:pPr>
                  <w:r>
                    <w:rPr>
                      <w:rFonts w:hint="eastAsia"/>
                      <w:kern w:val="0"/>
                      <w:szCs w:val="21"/>
                      <w:highlight w:val="none"/>
                    </w:rPr>
                    <w:t>/</w:t>
                  </w:r>
                </w:p>
              </w:tc>
            </w:tr>
          </w:tbl>
          <w:p>
            <w:pPr>
              <w:spacing w:line="360" w:lineRule="auto"/>
              <w:ind w:firstLine="480" w:firstLineChars="200"/>
              <w:rPr>
                <w:kern w:val="0"/>
                <w:sz w:val="24"/>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21" w:hRule="atLeast"/>
          <w:jc w:val="center"/>
        </w:trPr>
        <w:tc>
          <w:tcPr>
            <w:tcW w:w="444" w:type="dxa"/>
            <w:vAlign w:val="center"/>
          </w:tcPr>
          <w:p>
            <w:pPr>
              <w:jc w:val="center"/>
              <w:rPr>
                <w:highlight w:val="yellow"/>
              </w:rPr>
            </w:pPr>
            <w:bookmarkStart w:id="19" w:name="_GoBack"/>
            <w:r>
              <w:rPr>
                <w:b/>
                <w:bCs/>
                <w:kern w:val="0"/>
                <w:sz w:val="24"/>
                <w:highlight w:val="none"/>
              </w:rPr>
              <w:t>其他符合性分析</w:t>
            </w:r>
            <w:bookmarkEnd w:id="19"/>
          </w:p>
        </w:tc>
        <w:tc>
          <w:tcPr>
            <w:tcW w:w="8843" w:type="dxa"/>
            <w:gridSpan w:val="4"/>
            <w:vAlign w:val="center"/>
          </w:tcPr>
          <w:p>
            <w:pPr>
              <w:pStyle w:val="19"/>
              <w:snapToGrid w:val="0"/>
              <w:spacing w:before="0" w:beforeAutospacing="0" w:after="0" w:afterAutospacing="0" w:line="360" w:lineRule="auto"/>
              <w:ind w:firstLine="482" w:firstLineChars="200"/>
              <w:rPr>
                <w:rFonts w:ascii="Times New Roman" w:hAnsi="Times New Roman"/>
                <w:b/>
                <w:szCs w:val="21"/>
                <w:highlight w:val="none"/>
              </w:rPr>
            </w:pPr>
            <w:r>
              <w:rPr>
                <w:rFonts w:ascii="Times New Roman" w:hAnsi="Times New Roman"/>
                <w:b/>
                <w:szCs w:val="21"/>
                <w:highlight w:val="none"/>
              </w:rPr>
              <w:t>（1）与产业政策的相符性</w:t>
            </w:r>
          </w:p>
          <w:p>
            <w:pPr>
              <w:spacing w:line="360" w:lineRule="auto"/>
              <w:ind w:firstLine="540" w:firstLineChars="225"/>
              <w:rPr>
                <w:kern w:val="0"/>
                <w:sz w:val="24"/>
                <w:szCs w:val="21"/>
                <w:highlight w:val="none"/>
              </w:rPr>
            </w:pPr>
            <w:r>
              <w:rPr>
                <w:kern w:val="0"/>
                <w:sz w:val="24"/>
                <w:szCs w:val="21"/>
                <w:highlight w:val="none"/>
              </w:rPr>
              <w:t>本项目</w:t>
            </w:r>
            <w:r>
              <w:rPr>
                <w:rFonts w:hint="eastAsia"/>
                <w:kern w:val="0"/>
                <w:sz w:val="24"/>
                <w:szCs w:val="21"/>
                <w:highlight w:val="none"/>
                <w:lang w:eastAsia="zh-CN"/>
              </w:rPr>
              <w:t>属于</w:t>
            </w:r>
            <w:r>
              <w:rPr>
                <w:rFonts w:hint="eastAsia"/>
                <w:kern w:val="0"/>
                <w:sz w:val="24"/>
                <w:szCs w:val="21"/>
                <w:highlight w:val="none"/>
              </w:rPr>
              <w:t>3589  其他医疗设备及器械制造</w:t>
            </w:r>
            <w:r>
              <w:rPr>
                <w:kern w:val="0"/>
                <w:sz w:val="24"/>
                <w:szCs w:val="21"/>
                <w:highlight w:val="none"/>
              </w:rPr>
              <w:t>，</w:t>
            </w:r>
            <w:r>
              <w:rPr>
                <w:rFonts w:hint="eastAsia"/>
                <w:kern w:val="0"/>
                <w:sz w:val="24"/>
                <w:szCs w:val="21"/>
                <w:highlight w:val="none"/>
              </w:rPr>
              <w:t>经对照《产业结构调整指导目录（2019 年本）》和《市场准入负面清单（2020 年版）》，本项目为允许类。</w:t>
            </w:r>
            <w:r>
              <w:rPr>
                <w:kern w:val="0"/>
                <w:sz w:val="24"/>
                <w:szCs w:val="21"/>
                <w:highlight w:val="none"/>
              </w:rPr>
              <w:t>根据《江苏省工业和信息结构调整指导目录（2012年本）》、《苏州市产业发展导向目录（2007年本）》，</w:t>
            </w:r>
            <w:r>
              <w:rPr>
                <w:rFonts w:hint="eastAsia"/>
                <w:kern w:val="0"/>
                <w:sz w:val="24"/>
                <w:szCs w:val="21"/>
                <w:highlight w:val="none"/>
              </w:rPr>
              <w:t>本项目不属于鼓励类、限制类、淘汰类，应为允许类</w:t>
            </w:r>
            <w:r>
              <w:rPr>
                <w:kern w:val="0"/>
                <w:sz w:val="24"/>
                <w:szCs w:val="21"/>
                <w:highlight w:val="none"/>
              </w:rPr>
              <w:t>。</w:t>
            </w:r>
          </w:p>
          <w:p>
            <w:pPr>
              <w:spacing w:line="360" w:lineRule="auto"/>
              <w:ind w:firstLine="540" w:firstLineChars="225"/>
              <w:rPr>
                <w:kern w:val="0"/>
                <w:sz w:val="24"/>
                <w:szCs w:val="21"/>
                <w:highlight w:val="none"/>
                <w:lang w:val="en-GB"/>
              </w:rPr>
            </w:pPr>
            <w:r>
              <w:rPr>
                <w:kern w:val="0"/>
                <w:sz w:val="24"/>
                <w:szCs w:val="21"/>
                <w:highlight w:val="none"/>
              </w:rPr>
              <w:t>本项目产品不在《江苏省工业和信息产业结构调整限制、淘汰目录和能耗限额》（苏政办发〔2015〕118号）、《江苏省产业结构调整限制、淘汰和禁止目录》（2018 年）中限制、淘汰、落后、禁止的目录内，与该规定相符。</w:t>
            </w:r>
          </w:p>
          <w:p>
            <w:pPr>
              <w:spacing w:line="360" w:lineRule="auto"/>
              <w:ind w:firstLine="540" w:firstLineChars="225"/>
              <w:rPr>
                <w:kern w:val="0"/>
                <w:sz w:val="24"/>
                <w:szCs w:val="21"/>
                <w:highlight w:val="none"/>
              </w:rPr>
            </w:pPr>
            <w:r>
              <w:rPr>
                <w:kern w:val="0"/>
                <w:sz w:val="24"/>
                <w:szCs w:val="21"/>
                <w:highlight w:val="none"/>
              </w:rPr>
              <w:t>综上，本项目符合国家及地方产业政策要求。</w:t>
            </w:r>
          </w:p>
          <w:p>
            <w:pPr>
              <w:spacing w:line="360" w:lineRule="auto"/>
              <w:ind w:firstLine="482" w:firstLineChars="200"/>
              <w:rPr>
                <w:b/>
                <w:bCs/>
                <w:sz w:val="24"/>
                <w:szCs w:val="21"/>
                <w:highlight w:val="none"/>
              </w:rPr>
            </w:pPr>
            <w:r>
              <w:rPr>
                <w:b/>
                <w:bCs/>
                <w:sz w:val="24"/>
                <w:szCs w:val="21"/>
                <w:highlight w:val="none"/>
              </w:rPr>
              <w:t>（2）“三线一单”相符性分析</w:t>
            </w:r>
          </w:p>
          <w:p>
            <w:pPr>
              <w:spacing w:line="360" w:lineRule="auto"/>
              <w:ind w:firstLine="480" w:firstLineChars="200"/>
              <w:rPr>
                <w:sz w:val="24"/>
                <w:szCs w:val="21"/>
                <w:highlight w:val="none"/>
              </w:rPr>
            </w:pPr>
            <w:r>
              <w:rPr>
                <w:rFonts w:hint="eastAsia" w:ascii="宋体" w:hAnsi="宋体" w:cs="宋体"/>
                <w:sz w:val="24"/>
                <w:szCs w:val="21"/>
                <w:highlight w:val="none"/>
              </w:rPr>
              <w:t>①</w:t>
            </w:r>
            <w:r>
              <w:rPr>
                <w:sz w:val="24"/>
                <w:szCs w:val="21"/>
                <w:highlight w:val="none"/>
              </w:rPr>
              <w:t>生态保护红线</w:t>
            </w:r>
          </w:p>
          <w:p>
            <w:pPr>
              <w:spacing w:line="360" w:lineRule="auto"/>
              <w:ind w:firstLine="480" w:firstLineChars="200"/>
              <w:rPr>
                <w:sz w:val="24"/>
                <w:szCs w:val="21"/>
                <w:highlight w:val="none"/>
              </w:rPr>
            </w:pPr>
            <w:r>
              <w:rPr>
                <w:rFonts w:hint="eastAsia"/>
                <w:sz w:val="24"/>
                <w:szCs w:val="21"/>
                <w:highlight w:val="none"/>
              </w:rPr>
              <w:t>本项目位于苏州高新区科技城华佗路12号2号楼</w:t>
            </w:r>
            <w:r>
              <w:rPr>
                <w:rFonts w:hint="eastAsia"/>
                <w:sz w:val="24"/>
                <w:szCs w:val="21"/>
                <w:highlight w:val="none"/>
                <w:lang w:eastAsia="zh-CN"/>
              </w:rPr>
              <w:t>，</w:t>
            </w:r>
            <w:r>
              <w:rPr>
                <w:sz w:val="24"/>
                <w:szCs w:val="21"/>
                <w:highlight w:val="none"/>
              </w:rPr>
              <w:t>对照《江苏省生态空间管控区域规划》（苏政发〔2020〕1号），本项目距离最近的</w:t>
            </w:r>
            <w:r>
              <w:rPr>
                <w:rFonts w:hint="eastAsia"/>
                <w:sz w:val="24"/>
                <w:szCs w:val="21"/>
                <w:highlight w:val="none"/>
              </w:rPr>
              <w:t>生态空间</w:t>
            </w:r>
            <w:r>
              <w:rPr>
                <w:sz w:val="24"/>
                <w:szCs w:val="21"/>
                <w:highlight w:val="none"/>
              </w:rPr>
              <w:t>保护区为</w:t>
            </w:r>
            <w:r>
              <w:rPr>
                <w:rFonts w:hint="eastAsia"/>
                <w:sz w:val="24"/>
                <w:szCs w:val="21"/>
                <w:highlight w:val="none"/>
              </w:rPr>
              <w:t>江苏大阳山国家级森林公园</w:t>
            </w:r>
            <w:r>
              <w:rPr>
                <w:rFonts w:hint="eastAsia"/>
                <w:sz w:val="24"/>
                <w:szCs w:val="21"/>
                <w:highlight w:val="none"/>
                <w:lang w:eastAsia="zh-CN"/>
              </w:rPr>
              <w:t>，</w:t>
            </w:r>
            <w:r>
              <w:rPr>
                <w:sz w:val="24"/>
                <w:szCs w:val="21"/>
                <w:highlight w:val="none"/>
              </w:rPr>
              <w:t>约</w:t>
            </w:r>
            <w:r>
              <w:rPr>
                <w:rFonts w:hint="eastAsia"/>
                <w:sz w:val="24"/>
                <w:szCs w:val="21"/>
                <w:highlight w:val="none"/>
                <w:lang w:val="en-US" w:eastAsia="zh-CN"/>
              </w:rPr>
              <w:t>3.2</w:t>
            </w:r>
            <w:r>
              <w:rPr>
                <w:sz w:val="24"/>
                <w:szCs w:val="21"/>
                <w:highlight w:val="none"/>
              </w:rPr>
              <w:t>km，不在其管控区范围内。因此本项目建设与《江苏省生态空间管控区域规划》相符。</w:t>
            </w:r>
          </w:p>
          <w:p>
            <w:pPr>
              <w:spacing w:line="360" w:lineRule="auto"/>
              <w:ind w:firstLine="480" w:firstLineChars="200"/>
              <w:rPr>
                <w:rFonts w:hint="eastAsia"/>
                <w:sz w:val="24"/>
                <w:szCs w:val="21"/>
                <w:highlight w:val="none"/>
              </w:rPr>
            </w:pPr>
            <w:r>
              <w:rPr>
                <w:rFonts w:hint="eastAsia"/>
                <w:sz w:val="24"/>
                <w:szCs w:val="21"/>
                <w:highlight w:val="none"/>
              </w:rPr>
              <w:t>根据《江苏省生态空间管控区域规划》，项目所在地附近重要生态功能区划详见下表。</w:t>
            </w:r>
          </w:p>
          <w:p>
            <w:pPr>
              <w:spacing w:line="360" w:lineRule="auto"/>
              <w:ind w:firstLine="482" w:firstLineChars="200"/>
              <w:jc w:val="center"/>
              <w:rPr>
                <w:b/>
                <w:bCs/>
                <w:sz w:val="24"/>
                <w:szCs w:val="21"/>
                <w:highlight w:val="none"/>
              </w:rPr>
            </w:pPr>
            <w:r>
              <w:rPr>
                <w:b/>
                <w:bCs/>
                <w:sz w:val="24"/>
                <w:szCs w:val="21"/>
                <w:highlight w:val="none"/>
              </w:rPr>
              <w:t>表1-4  生态红线管控区域对照表</w:t>
            </w:r>
          </w:p>
          <w:tbl>
            <w:tblPr>
              <w:tblStyle w:val="23"/>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1201"/>
              <w:gridCol w:w="1463"/>
              <w:gridCol w:w="1781"/>
              <w:gridCol w:w="733"/>
              <w:gridCol w:w="795"/>
              <w:gridCol w:w="851"/>
              <w:gridCol w:w="8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615" w:type="pct"/>
                  <w:vMerge w:val="restart"/>
                  <w:vAlign w:val="center"/>
                </w:tcPr>
                <w:p>
                  <w:pPr>
                    <w:spacing w:line="320" w:lineRule="exact"/>
                    <w:jc w:val="center"/>
                    <w:rPr>
                      <w:b/>
                      <w:color w:val="000000"/>
                      <w:szCs w:val="21"/>
                      <w:highlight w:val="none"/>
                    </w:rPr>
                  </w:pPr>
                  <w:r>
                    <w:rPr>
                      <w:b/>
                      <w:color w:val="000000"/>
                      <w:szCs w:val="21"/>
                      <w:highlight w:val="none"/>
                    </w:rPr>
                    <w:t>生态空间保护区域名称</w:t>
                  </w:r>
                </w:p>
              </w:tc>
              <w:tc>
                <w:tcPr>
                  <w:tcW w:w="683" w:type="pct"/>
                  <w:vMerge w:val="restart"/>
                  <w:vAlign w:val="center"/>
                </w:tcPr>
                <w:p>
                  <w:pPr>
                    <w:spacing w:line="320" w:lineRule="exact"/>
                    <w:jc w:val="center"/>
                    <w:rPr>
                      <w:b/>
                      <w:color w:val="000000"/>
                      <w:szCs w:val="21"/>
                      <w:highlight w:val="none"/>
                    </w:rPr>
                  </w:pPr>
                  <w:r>
                    <w:rPr>
                      <w:b/>
                      <w:color w:val="000000"/>
                      <w:szCs w:val="21"/>
                      <w:highlight w:val="none"/>
                    </w:rPr>
                    <w:t>主导生态功能</w:t>
                  </w:r>
                </w:p>
              </w:tc>
              <w:tc>
                <w:tcPr>
                  <w:tcW w:w="1845" w:type="pct"/>
                  <w:gridSpan w:val="2"/>
                  <w:vAlign w:val="center"/>
                </w:tcPr>
                <w:p>
                  <w:pPr>
                    <w:spacing w:line="320" w:lineRule="exact"/>
                    <w:jc w:val="center"/>
                    <w:rPr>
                      <w:b/>
                      <w:color w:val="000000"/>
                      <w:szCs w:val="21"/>
                      <w:highlight w:val="none"/>
                    </w:rPr>
                  </w:pPr>
                  <w:r>
                    <w:rPr>
                      <w:b/>
                      <w:color w:val="000000"/>
                      <w:szCs w:val="21"/>
                      <w:highlight w:val="none"/>
                    </w:rPr>
                    <w:t>范围</w:t>
                  </w:r>
                </w:p>
              </w:tc>
              <w:tc>
                <w:tcPr>
                  <w:tcW w:w="1353" w:type="pct"/>
                  <w:gridSpan w:val="3"/>
                  <w:vAlign w:val="center"/>
                </w:tcPr>
                <w:p>
                  <w:pPr>
                    <w:spacing w:line="320" w:lineRule="exact"/>
                    <w:jc w:val="center"/>
                    <w:rPr>
                      <w:b/>
                      <w:color w:val="000000"/>
                      <w:szCs w:val="21"/>
                      <w:highlight w:val="none"/>
                    </w:rPr>
                  </w:pPr>
                  <w:r>
                    <w:rPr>
                      <w:b/>
                      <w:color w:val="000000"/>
                      <w:szCs w:val="21"/>
                      <w:highlight w:val="none"/>
                    </w:rPr>
                    <w:t>面积（km</w:t>
                  </w:r>
                  <w:r>
                    <w:rPr>
                      <w:b/>
                      <w:color w:val="000000"/>
                      <w:szCs w:val="21"/>
                      <w:highlight w:val="none"/>
                      <w:vertAlign w:val="superscript"/>
                    </w:rPr>
                    <w:t>2</w:t>
                  </w:r>
                  <w:r>
                    <w:rPr>
                      <w:b/>
                      <w:color w:val="000000"/>
                      <w:szCs w:val="21"/>
                      <w:highlight w:val="none"/>
                    </w:rPr>
                    <w:t>）</w:t>
                  </w:r>
                </w:p>
              </w:tc>
              <w:tc>
                <w:tcPr>
                  <w:tcW w:w="501" w:type="pct"/>
                  <w:vMerge w:val="restart"/>
                  <w:vAlign w:val="center"/>
                </w:tcPr>
                <w:p>
                  <w:pPr>
                    <w:spacing w:line="320" w:lineRule="exact"/>
                    <w:jc w:val="center"/>
                    <w:rPr>
                      <w:b/>
                      <w:color w:val="000000"/>
                      <w:szCs w:val="21"/>
                      <w:highlight w:val="none"/>
                    </w:rPr>
                  </w:pPr>
                  <w:r>
                    <w:rPr>
                      <w:b/>
                      <w:color w:val="000000"/>
                      <w:szCs w:val="21"/>
                      <w:highlight w:val="none"/>
                    </w:rPr>
                    <w:t>与本项目距离方位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615" w:type="pct"/>
                  <w:vMerge w:val="continue"/>
                  <w:vAlign w:val="center"/>
                </w:tcPr>
                <w:p>
                  <w:pPr>
                    <w:spacing w:line="320" w:lineRule="exact"/>
                    <w:jc w:val="center"/>
                    <w:rPr>
                      <w:b/>
                      <w:color w:val="000000"/>
                      <w:szCs w:val="21"/>
                      <w:highlight w:val="none"/>
                    </w:rPr>
                  </w:pPr>
                </w:p>
              </w:tc>
              <w:tc>
                <w:tcPr>
                  <w:tcW w:w="683" w:type="pct"/>
                  <w:vMerge w:val="continue"/>
                  <w:vAlign w:val="center"/>
                </w:tcPr>
                <w:p>
                  <w:pPr>
                    <w:spacing w:line="320" w:lineRule="exact"/>
                    <w:jc w:val="center"/>
                    <w:rPr>
                      <w:b/>
                      <w:color w:val="000000"/>
                      <w:szCs w:val="21"/>
                      <w:highlight w:val="none"/>
                    </w:rPr>
                  </w:pPr>
                </w:p>
              </w:tc>
              <w:tc>
                <w:tcPr>
                  <w:tcW w:w="832" w:type="pct"/>
                  <w:vAlign w:val="center"/>
                </w:tcPr>
                <w:p>
                  <w:pPr>
                    <w:spacing w:line="320" w:lineRule="exact"/>
                    <w:jc w:val="center"/>
                    <w:rPr>
                      <w:b/>
                      <w:color w:val="000000"/>
                      <w:szCs w:val="21"/>
                      <w:highlight w:val="none"/>
                    </w:rPr>
                  </w:pPr>
                  <w:r>
                    <w:rPr>
                      <w:b/>
                      <w:color w:val="000000"/>
                      <w:szCs w:val="21"/>
                      <w:highlight w:val="none"/>
                    </w:rPr>
                    <w:t>国家级生态保护红线范围</w:t>
                  </w:r>
                </w:p>
              </w:tc>
              <w:tc>
                <w:tcPr>
                  <w:tcW w:w="1012" w:type="pct"/>
                  <w:vAlign w:val="center"/>
                </w:tcPr>
                <w:p>
                  <w:pPr>
                    <w:spacing w:line="320" w:lineRule="exact"/>
                    <w:jc w:val="center"/>
                    <w:rPr>
                      <w:b/>
                      <w:color w:val="000000"/>
                      <w:szCs w:val="21"/>
                      <w:highlight w:val="none"/>
                    </w:rPr>
                  </w:pPr>
                  <w:r>
                    <w:rPr>
                      <w:b/>
                      <w:color w:val="000000"/>
                      <w:szCs w:val="21"/>
                      <w:highlight w:val="none"/>
                    </w:rPr>
                    <w:t>生态空间管控区域范围</w:t>
                  </w:r>
                </w:p>
              </w:tc>
              <w:tc>
                <w:tcPr>
                  <w:tcW w:w="417" w:type="pct"/>
                  <w:vAlign w:val="center"/>
                </w:tcPr>
                <w:p>
                  <w:pPr>
                    <w:spacing w:line="320" w:lineRule="exact"/>
                    <w:jc w:val="center"/>
                    <w:rPr>
                      <w:b/>
                      <w:color w:val="000000"/>
                      <w:szCs w:val="21"/>
                      <w:highlight w:val="none"/>
                    </w:rPr>
                  </w:pPr>
                  <w:r>
                    <w:rPr>
                      <w:b/>
                      <w:color w:val="000000"/>
                      <w:szCs w:val="21"/>
                      <w:highlight w:val="none"/>
                    </w:rPr>
                    <w:t>国家级生态保护红线面积</w:t>
                  </w:r>
                </w:p>
              </w:tc>
              <w:tc>
                <w:tcPr>
                  <w:tcW w:w="452" w:type="pct"/>
                  <w:vAlign w:val="center"/>
                </w:tcPr>
                <w:p>
                  <w:pPr>
                    <w:spacing w:line="320" w:lineRule="exact"/>
                    <w:jc w:val="center"/>
                    <w:rPr>
                      <w:b/>
                      <w:color w:val="000000"/>
                      <w:szCs w:val="21"/>
                      <w:highlight w:val="none"/>
                    </w:rPr>
                  </w:pPr>
                  <w:r>
                    <w:rPr>
                      <w:b/>
                      <w:color w:val="000000"/>
                      <w:szCs w:val="21"/>
                      <w:highlight w:val="none"/>
                    </w:rPr>
                    <w:t>生态空间管控区域范围面积</w:t>
                  </w:r>
                </w:p>
              </w:tc>
              <w:tc>
                <w:tcPr>
                  <w:tcW w:w="484" w:type="pct"/>
                  <w:vAlign w:val="center"/>
                </w:tcPr>
                <w:p>
                  <w:pPr>
                    <w:spacing w:line="320" w:lineRule="exact"/>
                    <w:jc w:val="center"/>
                    <w:rPr>
                      <w:b/>
                      <w:color w:val="000000"/>
                      <w:szCs w:val="21"/>
                      <w:highlight w:val="none"/>
                    </w:rPr>
                  </w:pPr>
                  <w:r>
                    <w:rPr>
                      <w:b/>
                      <w:color w:val="000000"/>
                      <w:szCs w:val="21"/>
                      <w:highlight w:val="none"/>
                    </w:rPr>
                    <w:t>总面积</w:t>
                  </w:r>
                </w:p>
              </w:tc>
              <w:tc>
                <w:tcPr>
                  <w:tcW w:w="501" w:type="pct"/>
                  <w:vMerge w:val="continue"/>
                  <w:vAlign w:val="center"/>
                </w:tcPr>
                <w:p>
                  <w:pPr>
                    <w:spacing w:line="320" w:lineRule="exact"/>
                    <w:jc w:val="center"/>
                    <w:rPr>
                      <w:color w:val="00000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615" w:type="pct"/>
                  <w:vAlign w:val="center"/>
                </w:tcPr>
                <w:p>
                  <w:pPr>
                    <w:spacing w:line="320" w:lineRule="exact"/>
                    <w:jc w:val="center"/>
                    <w:rPr>
                      <w:rFonts w:hint="eastAsia"/>
                      <w:color w:val="000000"/>
                      <w:szCs w:val="21"/>
                      <w:highlight w:val="none"/>
                    </w:rPr>
                  </w:pPr>
                  <w:r>
                    <w:rPr>
                      <w:rFonts w:hint="eastAsia"/>
                      <w:color w:val="000000"/>
                      <w:szCs w:val="21"/>
                      <w:highlight w:val="none"/>
                    </w:rPr>
                    <w:t>江苏大阳</w:t>
                  </w:r>
                </w:p>
                <w:p>
                  <w:pPr>
                    <w:spacing w:line="320" w:lineRule="exact"/>
                    <w:jc w:val="center"/>
                    <w:rPr>
                      <w:rFonts w:hint="eastAsia"/>
                      <w:color w:val="000000"/>
                      <w:szCs w:val="21"/>
                      <w:highlight w:val="none"/>
                    </w:rPr>
                  </w:pPr>
                  <w:r>
                    <w:rPr>
                      <w:rFonts w:hint="eastAsia"/>
                      <w:color w:val="000000"/>
                      <w:szCs w:val="21"/>
                      <w:highlight w:val="none"/>
                    </w:rPr>
                    <w:t>山国家级</w:t>
                  </w:r>
                </w:p>
                <w:p>
                  <w:pPr>
                    <w:spacing w:line="320" w:lineRule="exact"/>
                    <w:jc w:val="center"/>
                    <w:rPr>
                      <w:color w:val="000000"/>
                      <w:szCs w:val="21"/>
                      <w:highlight w:val="none"/>
                    </w:rPr>
                  </w:pPr>
                  <w:r>
                    <w:rPr>
                      <w:rFonts w:hint="eastAsia"/>
                      <w:color w:val="000000"/>
                      <w:szCs w:val="21"/>
                      <w:highlight w:val="none"/>
                    </w:rPr>
                    <w:t>森林公园</w:t>
                  </w:r>
                </w:p>
              </w:tc>
              <w:tc>
                <w:tcPr>
                  <w:tcW w:w="683" w:type="pct"/>
                  <w:vAlign w:val="center"/>
                </w:tcPr>
                <w:p>
                  <w:pPr>
                    <w:spacing w:line="320" w:lineRule="exact"/>
                    <w:jc w:val="center"/>
                    <w:rPr>
                      <w:color w:val="000000"/>
                      <w:szCs w:val="21"/>
                      <w:highlight w:val="none"/>
                    </w:rPr>
                  </w:pPr>
                  <w:r>
                    <w:rPr>
                      <w:rFonts w:hint="eastAsia"/>
                      <w:color w:val="000000"/>
                      <w:szCs w:val="21"/>
                      <w:highlight w:val="none"/>
                    </w:rPr>
                    <w:t>自然与人文景观保护</w:t>
                  </w:r>
                </w:p>
              </w:tc>
              <w:tc>
                <w:tcPr>
                  <w:tcW w:w="832" w:type="pct"/>
                  <w:vAlign w:val="center"/>
                </w:tcPr>
                <w:p>
                  <w:pPr>
                    <w:spacing w:line="320" w:lineRule="exact"/>
                    <w:jc w:val="center"/>
                    <w:rPr>
                      <w:color w:val="000000"/>
                      <w:szCs w:val="21"/>
                      <w:highlight w:val="none"/>
                    </w:rPr>
                  </w:pPr>
                  <w:r>
                    <w:rPr>
                      <w:color w:val="000000"/>
                      <w:szCs w:val="21"/>
                      <w:highlight w:val="none"/>
                    </w:rPr>
                    <w:t>/</w:t>
                  </w:r>
                </w:p>
              </w:tc>
              <w:tc>
                <w:tcPr>
                  <w:tcW w:w="1012" w:type="pct"/>
                  <w:vAlign w:val="center"/>
                </w:tcPr>
                <w:p>
                  <w:pPr>
                    <w:spacing w:line="320" w:lineRule="exact"/>
                    <w:jc w:val="center"/>
                    <w:rPr>
                      <w:color w:val="000000"/>
                      <w:szCs w:val="21"/>
                      <w:highlight w:val="none"/>
                    </w:rPr>
                  </w:pPr>
                  <w:r>
                    <w:rPr>
                      <w:rFonts w:hint="eastAsia"/>
                      <w:color w:val="000000"/>
                      <w:szCs w:val="21"/>
                      <w:highlight w:val="none"/>
                    </w:rPr>
                    <w:t>江苏大阳山国家级森林公园总体规划中确定的范围（包括生态保育区和核心景观区等）</w:t>
                  </w:r>
                </w:p>
              </w:tc>
              <w:tc>
                <w:tcPr>
                  <w:tcW w:w="417" w:type="pct"/>
                  <w:vAlign w:val="center"/>
                </w:tcPr>
                <w:p>
                  <w:pPr>
                    <w:spacing w:line="320" w:lineRule="exact"/>
                    <w:jc w:val="center"/>
                    <w:rPr>
                      <w:color w:val="000000"/>
                      <w:szCs w:val="21"/>
                      <w:highlight w:val="none"/>
                    </w:rPr>
                  </w:pPr>
                  <w:r>
                    <w:rPr>
                      <w:rFonts w:hint="eastAsia"/>
                      <w:color w:val="000000"/>
                      <w:szCs w:val="21"/>
                      <w:highlight w:val="none"/>
                    </w:rPr>
                    <w:t>10.30</w:t>
                  </w:r>
                </w:p>
              </w:tc>
              <w:tc>
                <w:tcPr>
                  <w:tcW w:w="452" w:type="pct"/>
                  <w:vAlign w:val="center"/>
                </w:tcPr>
                <w:p>
                  <w:pPr>
                    <w:spacing w:line="320" w:lineRule="exact"/>
                    <w:jc w:val="center"/>
                    <w:rPr>
                      <w:color w:val="000000"/>
                      <w:szCs w:val="21"/>
                      <w:highlight w:val="none"/>
                    </w:rPr>
                  </w:pPr>
                  <w:r>
                    <w:rPr>
                      <w:color w:val="000000"/>
                      <w:szCs w:val="21"/>
                      <w:highlight w:val="none"/>
                    </w:rPr>
                    <w:t>/</w:t>
                  </w:r>
                </w:p>
              </w:tc>
              <w:tc>
                <w:tcPr>
                  <w:tcW w:w="484" w:type="pct"/>
                  <w:vAlign w:val="center"/>
                </w:tcPr>
                <w:p>
                  <w:pPr>
                    <w:spacing w:line="320" w:lineRule="exact"/>
                    <w:jc w:val="center"/>
                    <w:rPr>
                      <w:color w:val="000000"/>
                      <w:szCs w:val="21"/>
                      <w:highlight w:val="none"/>
                    </w:rPr>
                  </w:pPr>
                  <w:r>
                    <w:rPr>
                      <w:rFonts w:hint="eastAsia"/>
                      <w:color w:val="000000"/>
                      <w:szCs w:val="21"/>
                      <w:highlight w:val="none"/>
                    </w:rPr>
                    <w:t xml:space="preserve">10.30 </w:t>
                  </w:r>
                </w:p>
              </w:tc>
              <w:tc>
                <w:tcPr>
                  <w:tcW w:w="501" w:type="pct"/>
                  <w:vAlign w:val="center"/>
                </w:tcPr>
                <w:p>
                  <w:pPr>
                    <w:spacing w:line="320" w:lineRule="exact"/>
                    <w:jc w:val="center"/>
                    <w:rPr>
                      <w:color w:val="000000"/>
                      <w:szCs w:val="21"/>
                      <w:highlight w:val="none"/>
                    </w:rPr>
                  </w:pPr>
                  <w:r>
                    <w:rPr>
                      <w:color w:val="000000"/>
                      <w:szCs w:val="21"/>
                      <w:highlight w:val="none"/>
                    </w:rPr>
                    <w:t>项目</w:t>
                  </w:r>
                  <w:r>
                    <w:rPr>
                      <w:rFonts w:hint="eastAsia"/>
                      <w:color w:val="000000"/>
                      <w:szCs w:val="21"/>
                      <w:highlight w:val="none"/>
                    </w:rPr>
                    <w:t>东北</w:t>
                  </w:r>
                  <w:r>
                    <w:rPr>
                      <w:rFonts w:hint="eastAsia"/>
                      <w:color w:val="000000"/>
                      <w:szCs w:val="21"/>
                      <w:highlight w:val="none"/>
                      <w:lang w:val="en-US" w:eastAsia="zh-CN"/>
                    </w:rPr>
                    <w:t>3.2</w:t>
                  </w:r>
                  <w:r>
                    <w:rPr>
                      <w:color w:val="000000"/>
                      <w:szCs w:val="21"/>
                      <w:highlight w:val="none"/>
                    </w:rPr>
                    <w:t>km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615" w:type="pct"/>
                  <w:vAlign w:val="center"/>
                </w:tcPr>
                <w:p>
                  <w:pPr>
                    <w:spacing w:line="320" w:lineRule="exact"/>
                    <w:jc w:val="center"/>
                    <w:rPr>
                      <w:color w:val="000000"/>
                      <w:szCs w:val="21"/>
                      <w:highlight w:val="none"/>
                    </w:rPr>
                  </w:pPr>
                  <w:r>
                    <w:rPr>
                      <w:rFonts w:hint="eastAsia"/>
                      <w:color w:val="000000"/>
                      <w:szCs w:val="21"/>
                      <w:highlight w:val="none"/>
                    </w:rPr>
                    <w:t>太湖（高新区）重要保护区</w:t>
                  </w:r>
                </w:p>
              </w:tc>
              <w:tc>
                <w:tcPr>
                  <w:tcW w:w="683" w:type="pct"/>
                  <w:vAlign w:val="center"/>
                </w:tcPr>
                <w:p>
                  <w:pPr>
                    <w:spacing w:line="320" w:lineRule="exact"/>
                    <w:jc w:val="center"/>
                    <w:rPr>
                      <w:rFonts w:hint="eastAsia"/>
                      <w:color w:val="000000"/>
                      <w:szCs w:val="21"/>
                      <w:highlight w:val="none"/>
                    </w:rPr>
                  </w:pPr>
                  <w:r>
                    <w:rPr>
                      <w:rFonts w:hint="eastAsia"/>
                      <w:color w:val="000000"/>
                      <w:szCs w:val="21"/>
                      <w:highlight w:val="none"/>
                    </w:rPr>
                    <w:t>湿地生态系统</w:t>
                  </w:r>
                </w:p>
                <w:p>
                  <w:pPr>
                    <w:spacing w:line="320" w:lineRule="exact"/>
                    <w:jc w:val="center"/>
                    <w:rPr>
                      <w:color w:val="000000"/>
                      <w:szCs w:val="21"/>
                      <w:highlight w:val="none"/>
                    </w:rPr>
                  </w:pPr>
                  <w:r>
                    <w:rPr>
                      <w:rFonts w:hint="eastAsia"/>
                      <w:color w:val="000000"/>
                      <w:szCs w:val="21"/>
                      <w:highlight w:val="none"/>
                    </w:rPr>
                    <w:t>保护</w:t>
                  </w:r>
                </w:p>
              </w:tc>
              <w:tc>
                <w:tcPr>
                  <w:tcW w:w="832" w:type="pct"/>
                  <w:vAlign w:val="center"/>
                </w:tcPr>
                <w:p>
                  <w:pPr>
                    <w:spacing w:line="320" w:lineRule="exact"/>
                    <w:jc w:val="center"/>
                    <w:rPr>
                      <w:color w:val="000000"/>
                      <w:szCs w:val="21"/>
                      <w:highlight w:val="none"/>
                    </w:rPr>
                  </w:pPr>
                  <w:r>
                    <w:rPr>
                      <w:color w:val="000000"/>
                      <w:szCs w:val="21"/>
                      <w:highlight w:val="none"/>
                    </w:rPr>
                    <w:t>/</w:t>
                  </w:r>
                </w:p>
              </w:tc>
              <w:tc>
                <w:tcPr>
                  <w:tcW w:w="1012" w:type="pct"/>
                  <w:vAlign w:val="center"/>
                </w:tcPr>
                <w:p>
                  <w:pPr>
                    <w:spacing w:line="320" w:lineRule="exact"/>
                    <w:jc w:val="center"/>
                    <w:rPr>
                      <w:rFonts w:hint="eastAsia"/>
                      <w:color w:val="000000"/>
                      <w:szCs w:val="21"/>
                      <w:highlight w:val="none"/>
                    </w:rPr>
                  </w:pPr>
                  <w:r>
                    <w:rPr>
                      <w:rFonts w:hint="eastAsia"/>
                      <w:color w:val="000000"/>
                      <w:szCs w:val="21"/>
                      <w:highlight w:val="none"/>
                    </w:rPr>
                    <w:t>分为两部分：湖体和湖岸。湖体为高新区内太湖水体（不包括金墅港、镇湖饮用水源保护区和太湖梅鲚河蚬国家级水产种质资</w:t>
                  </w:r>
                  <w:r>
                    <w:rPr>
                      <w:rFonts w:hint="eastAsia"/>
                      <w:color w:val="000000"/>
                      <w:szCs w:val="21"/>
                      <w:highlight w:val="none"/>
                      <w:lang w:eastAsia="zh-CN"/>
                    </w:rPr>
                    <w:t>源</w:t>
                  </w:r>
                  <w:r>
                    <w:rPr>
                      <w:rFonts w:hint="eastAsia"/>
                      <w:color w:val="000000"/>
                      <w:szCs w:val="21"/>
                      <w:highlight w:val="none"/>
                    </w:rPr>
                    <w:t>保护区的核心区）。湖岸部分为高新区太湖大</w:t>
                  </w:r>
                </w:p>
                <w:p>
                  <w:pPr>
                    <w:spacing w:line="320" w:lineRule="exact"/>
                    <w:jc w:val="center"/>
                    <w:rPr>
                      <w:color w:val="000000"/>
                      <w:szCs w:val="21"/>
                      <w:highlight w:val="none"/>
                    </w:rPr>
                  </w:pPr>
                  <w:r>
                    <w:rPr>
                      <w:rFonts w:hint="eastAsia"/>
                      <w:color w:val="000000"/>
                      <w:szCs w:val="21"/>
                      <w:highlight w:val="none"/>
                    </w:rPr>
                    <w:t>堤以东 1 公里生态林带范围</w:t>
                  </w:r>
                </w:p>
              </w:tc>
              <w:tc>
                <w:tcPr>
                  <w:tcW w:w="417" w:type="pct"/>
                  <w:vAlign w:val="center"/>
                </w:tcPr>
                <w:p>
                  <w:pPr>
                    <w:spacing w:line="320" w:lineRule="exact"/>
                    <w:jc w:val="center"/>
                    <w:rPr>
                      <w:color w:val="000000"/>
                      <w:szCs w:val="21"/>
                      <w:highlight w:val="none"/>
                    </w:rPr>
                  </w:pPr>
                  <w:r>
                    <w:rPr>
                      <w:color w:val="000000"/>
                      <w:szCs w:val="21"/>
                      <w:highlight w:val="none"/>
                    </w:rPr>
                    <w:t>/</w:t>
                  </w:r>
                </w:p>
              </w:tc>
              <w:tc>
                <w:tcPr>
                  <w:tcW w:w="452" w:type="pct"/>
                  <w:vAlign w:val="center"/>
                </w:tcPr>
                <w:p>
                  <w:pPr>
                    <w:spacing w:line="320" w:lineRule="exact"/>
                    <w:jc w:val="center"/>
                    <w:rPr>
                      <w:color w:val="000000"/>
                      <w:szCs w:val="21"/>
                      <w:highlight w:val="none"/>
                    </w:rPr>
                  </w:pPr>
                  <w:r>
                    <w:rPr>
                      <w:rFonts w:hint="eastAsia"/>
                      <w:color w:val="000000"/>
                      <w:szCs w:val="21"/>
                      <w:highlight w:val="none"/>
                    </w:rPr>
                    <w:t xml:space="preserve">126.62 </w:t>
                  </w:r>
                </w:p>
              </w:tc>
              <w:tc>
                <w:tcPr>
                  <w:tcW w:w="484" w:type="pct"/>
                  <w:vAlign w:val="center"/>
                </w:tcPr>
                <w:p>
                  <w:pPr>
                    <w:spacing w:line="320" w:lineRule="exact"/>
                    <w:jc w:val="center"/>
                    <w:rPr>
                      <w:color w:val="000000"/>
                      <w:szCs w:val="21"/>
                      <w:highlight w:val="none"/>
                    </w:rPr>
                  </w:pPr>
                  <w:r>
                    <w:rPr>
                      <w:rFonts w:hint="eastAsia"/>
                      <w:color w:val="000000"/>
                      <w:szCs w:val="21"/>
                      <w:highlight w:val="none"/>
                    </w:rPr>
                    <w:t xml:space="preserve">126.62 </w:t>
                  </w:r>
                </w:p>
              </w:tc>
              <w:tc>
                <w:tcPr>
                  <w:tcW w:w="501" w:type="pct"/>
                  <w:vAlign w:val="center"/>
                </w:tcPr>
                <w:p>
                  <w:pPr>
                    <w:spacing w:line="320" w:lineRule="exact"/>
                    <w:jc w:val="center"/>
                    <w:rPr>
                      <w:color w:val="000000"/>
                      <w:szCs w:val="21"/>
                      <w:highlight w:val="none"/>
                    </w:rPr>
                  </w:pPr>
                  <w:r>
                    <w:rPr>
                      <w:color w:val="000000"/>
                      <w:szCs w:val="21"/>
                      <w:highlight w:val="none"/>
                    </w:rPr>
                    <w:t>项目</w:t>
                  </w:r>
                  <w:r>
                    <w:rPr>
                      <w:rFonts w:hint="eastAsia"/>
                      <w:color w:val="000000"/>
                      <w:szCs w:val="21"/>
                      <w:highlight w:val="none"/>
                      <w:lang w:eastAsia="zh-CN"/>
                    </w:rPr>
                    <w:t>西</w:t>
                  </w:r>
                  <w:r>
                    <w:rPr>
                      <w:rFonts w:hint="eastAsia"/>
                      <w:color w:val="000000"/>
                      <w:szCs w:val="21"/>
                      <w:highlight w:val="none"/>
                    </w:rPr>
                    <w:t>南</w:t>
                  </w:r>
                  <w:r>
                    <w:rPr>
                      <w:rFonts w:hint="eastAsia"/>
                      <w:color w:val="000000"/>
                      <w:szCs w:val="21"/>
                      <w:highlight w:val="none"/>
                      <w:lang w:val="en-US" w:eastAsia="zh-CN"/>
                    </w:rPr>
                    <w:t>6</w:t>
                  </w:r>
                  <w:r>
                    <w:rPr>
                      <w:color w:val="000000"/>
                      <w:szCs w:val="21"/>
                      <w:highlight w:val="none"/>
                    </w:rPr>
                    <w:t>.9km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5" w:type="pct"/>
                  <w:vAlign w:val="center"/>
                </w:tcPr>
                <w:p>
                  <w:pPr>
                    <w:spacing w:line="320" w:lineRule="exact"/>
                    <w:jc w:val="center"/>
                    <w:rPr>
                      <w:rFonts w:hint="eastAsia"/>
                      <w:color w:val="000000"/>
                      <w:szCs w:val="21"/>
                      <w:highlight w:val="none"/>
                    </w:rPr>
                  </w:pPr>
                  <w:r>
                    <w:rPr>
                      <w:rFonts w:hint="eastAsia"/>
                      <w:color w:val="000000"/>
                      <w:szCs w:val="21"/>
                      <w:highlight w:val="none"/>
                    </w:rPr>
                    <w:t>苏州太</w:t>
                  </w:r>
                </w:p>
                <w:p>
                  <w:pPr>
                    <w:spacing w:line="320" w:lineRule="exact"/>
                    <w:jc w:val="center"/>
                    <w:rPr>
                      <w:rFonts w:hint="eastAsia"/>
                      <w:color w:val="000000"/>
                      <w:szCs w:val="21"/>
                      <w:highlight w:val="none"/>
                    </w:rPr>
                  </w:pPr>
                  <w:r>
                    <w:rPr>
                      <w:rFonts w:hint="eastAsia"/>
                      <w:color w:val="000000"/>
                      <w:szCs w:val="21"/>
                      <w:highlight w:val="none"/>
                    </w:rPr>
                    <w:t>湖国家</w:t>
                  </w:r>
                </w:p>
                <w:p>
                  <w:pPr>
                    <w:spacing w:line="320" w:lineRule="exact"/>
                    <w:jc w:val="center"/>
                    <w:rPr>
                      <w:rFonts w:hint="eastAsia"/>
                      <w:color w:val="000000"/>
                      <w:szCs w:val="21"/>
                      <w:highlight w:val="none"/>
                    </w:rPr>
                  </w:pPr>
                  <w:r>
                    <w:rPr>
                      <w:rFonts w:hint="eastAsia"/>
                      <w:color w:val="000000"/>
                      <w:szCs w:val="21"/>
                      <w:highlight w:val="none"/>
                    </w:rPr>
                    <w:t>湿地公</w:t>
                  </w:r>
                </w:p>
                <w:p>
                  <w:pPr>
                    <w:spacing w:line="320" w:lineRule="exact"/>
                    <w:jc w:val="center"/>
                    <w:rPr>
                      <w:rFonts w:hint="eastAsia"/>
                      <w:color w:val="000000"/>
                      <w:szCs w:val="21"/>
                      <w:highlight w:val="none"/>
                    </w:rPr>
                  </w:pPr>
                  <w:r>
                    <w:rPr>
                      <w:rFonts w:hint="eastAsia"/>
                      <w:color w:val="000000"/>
                      <w:szCs w:val="21"/>
                      <w:highlight w:val="none"/>
                    </w:rPr>
                    <w:t>园</w:t>
                  </w:r>
                </w:p>
              </w:tc>
              <w:tc>
                <w:tcPr>
                  <w:tcW w:w="683" w:type="pct"/>
                  <w:vAlign w:val="center"/>
                </w:tcPr>
                <w:p>
                  <w:pPr>
                    <w:spacing w:line="320" w:lineRule="exact"/>
                    <w:jc w:val="center"/>
                    <w:rPr>
                      <w:rFonts w:hint="eastAsia"/>
                      <w:color w:val="000000"/>
                      <w:szCs w:val="21"/>
                      <w:highlight w:val="none"/>
                    </w:rPr>
                  </w:pPr>
                  <w:r>
                    <w:rPr>
                      <w:rFonts w:hint="eastAsia"/>
                      <w:color w:val="000000"/>
                      <w:szCs w:val="21"/>
                      <w:highlight w:val="none"/>
                    </w:rPr>
                    <w:t>苏州太湖国家湿地公园总体规划中确定的范围（包</w:t>
                  </w:r>
                </w:p>
                <w:p>
                  <w:pPr>
                    <w:spacing w:line="320" w:lineRule="exact"/>
                    <w:jc w:val="center"/>
                    <w:rPr>
                      <w:rFonts w:hint="eastAsia"/>
                      <w:color w:val="000000"/>
                      <w:szCs w:val="21"/>
                      <w:highlight w:val="none"/>
                    </w:rPr>
                  </w:pPr>
                  <w:r>
                    <w:rPr>
                      <w:rFonts w:hint="eastAsia"/>
                      <w:color w:val="000000"/>
                      <w:szCs w:val="21"/>
                      <w:highlight w:val="none"/>
                    </w:rPr>
                    <w:t>括湿地保育区和恢复重建区等）</w:t>
                  </w:r>
                </w:p>
              </w:tc>
              <w:tc>
                <w:tcPr>
                  <w:tcW w:w="832" w:type="pct"/>
                  <w:vAlign w:val="center"/>
                </w:tcPr>
                <w:p>
                  <w:pPr>
                    <w:spacing w:line="320" w:lineRule="exact"/>
                    <w:jc w:val="center"/>
                    <w:rPr>
                      <w:color w:val="000000"/>
                      <w:szCs w:val="21"/>
                      <w:highlight w:val="none"/>
                    </w:rPr>
                  </w:pPr>
                  <w:r>
                    <w:rPr>
                      <w:color w:val="000000"/>
                      <w:szCs w:val="21"/>
                      <w:highlight w:val="none"/>
                    </w:rPr>
                    <w:t>/</w:t>
                  </w:r>
                </w:p>
              </w:tc>
              <w:tc>
                <w:tcPr>
                  <w:tcW w:w="1012" w:type="pct"/>
                  <w:vAlign w:val="center"/>
                </w:tcPr>
                <w:p>
                  <w:pPr>
                    <w:spacing w:line="320" w:lineRule="exact"/>
                    <w:jc w:val="center"/>
                    <w:rPr>
                      <w:rFonts w:hint="eastAsia"/>
                      <w:color w:val="000000"/>
                      <w:szCs w:val="21"/>
                      <w:highlight w:val="none"/>
                    </w:rPr>
                  </w:pPr>
                  <w:r>
                    <w:rPr>
                      <w:rFonts w:hint="eastAsia"/>
                      <w:color w:val="000000"/>
                      <w:szCs w:val="21"/>
                      <w:highlight w:val="none"/>
                    </w:rPr>
                    <w:t>苏州太湖国家湿</w:t>
                  </w:r>
                </w:p>
                <w:p>
                  <w:pPr>
                    <w:spacing w:line="320" w:lineRule="exact"/>
                    <w:jc w:val="center"/>
                    <w:rPr>
                      <w:rFonts w:hint="eastAsia"/>
                      <w:color w:val="000000"/>
                      <w:szCs w:val="21"/>
                      <w:highlight w:val="none"/>
                    </w:rPr>
                  </w:pPr>
                  <w:r>
                    <w:rPr>
                      <w:rFonts w:hint="eastAsia"/>
                      <w:color w:val="000000"/>
                      <w:szCs w:val="21"/>
                      <w:highlight w:val="none"/>
                    </w:rPr>
                    <w:t>地公园总体规划</w:t>
                  </w:r>
                </w:p>
                <w:p>
                  <w:pPr>
                    <w:spacing w:line="320" w:lineRule="exact"/>
                    <w:jc w:val="center"/>
                    <w:rPr>
                      <w:rFonts w:hint="eastAsia"/>
                      <w:color w:val="000000"/>
                      <w:szCs w:val="21"/>
                      <w:highlight w:val="none"/>
                    </w:rPr>
                  </w:pPr>
                  <w:r>
                    <w:rPr>
                      <w:rFonts w:hint="eastAsia"/>
                      <w:color w:val="000000"/>
                      <w:szCs w:val="21"/>
                      <w:highlight w:val="none"/>
                    </w:rPr>
                    <w:t>中除湿地保育区</w:t>
                  </w:r>
                </w:p>
                <w:p>
                  <w:pPr>
                    <w:spacing w:line="320" w:lineRule="exact"/>
                    <w:jc w:val="center"/>
                    <w:rPr>
                      <w:rFonts w:hint="eastAsia"/>
                      <w:color w:val="000000"/>
                      <w:szCs w:val="21"/>
                      <w:highlight w:val="none"/>
                    </w:rPr>
                  </w:pPr>
                  <w:r>
                    <w:rPr>
                      <w:rFonts w:hint="eastAsia"/>
                      <w:color w:val="000000"/>
                      <w:szCs w:val="21"/>
                      <w:highlight w:val="none"/>
                    </w:rPr>
                    <w:t>和恢复重建区外</w:t>
                  </w:r>
                </w:p>
                <w:p>
                  <w:pPr>
                    <w:spacing w:line="320" w:lineRule="exact"/>
                    <w:jc w:val="center"/>
                    <w:rPr>
                      <w:rFonts w:hint="eastAsia"/>
                      <w:color w:val="000000"/>
                      <w:szCs w:val="21"/>
                      <w:highlight w:val="none"/>
                    </w:rPr>
                  </w:pPr>
                  <w:r>
                    <w:rPr>
                      <w:rFonts w:hint="eastAsia"/>
                      <w:color w:val="000000"/>
                      <w:szCs w:val="21"/>
                      <w:highlight w:val="none"/>
                    </w:rPr>
                    <w:t>的范围</w:t>
                  </w:r>
                </w:p>
              </w:tc>
              <w:tc>
                <w:tcPr>
                  <w:tcW w:w="417" w:type="pct"/>
                  <w:vAlign w:val="center"/>
                </w:tcPr>
                <w:p>
                  <w:pPr>
                    <w:spacing w:line="320" w:lineRule="exact"/>
                    <w:jc w:val="center"/>
                    <w:rPr>
                      <w:color w:val="000000"/>
                      <w:szCs w:val="21"/>
                      <w:highlight w:val="none"/>
                    </w:rPr>
                  </w:pPr>
                  <w:r>
                    <w:rPr>
                      <w:rFonts w:hint="eastAsia"/>
                      <w:color w:val="000000"/>
                      <w:szCs w:val="21"/>
                      <w:highlight w:val="none"/>
                    </w:rPr>
                    <w:t>0.47</w:t>
                  </w:r>
                </w:p>
              </w:tc>
              <w:tc>
                <w:tcPr>
                  <w:tcW w:w="452" w:type="pct"/>
                  <w:vAlign w:val="center"/>
                </w:tcPr>
                <w:p>
                  <w:pPr>
                    <w:spacing w:line="320" w:lineRule="exact"/>
                    <w:jc w:val="center"/>
                    <w:rPr>
                      <w:rFonts w:hint="default" w:eastAsia="宋体"/>
                      <w:color w:val="000000"/>
                      <w:szCs w:val="21"/>
                      <w:highlight w:val="none"/>
                      <w:lang w:val="en-US" w:eastAsia="zh-CN"/>
                    </w:rPr>
                  </w:pPr>
                  <w:r>
                    <w:rPr>
                      <w:rFonts w:hint="eastAsia"/>
                      <w:color w:val="000000"/>
                      <w:szCs w:val="21"/>
                      <w:highlight w:val="none"/>
                      <w:lang w:val="en-US" w:eastAsia="zh-CN"/>
                    </w:rPr>
                    <w:t>1.83</w:t>
                  </w:r>
                </w:p>
              </w:tc>
              <w:tc>
                <w:tcPr>
                  <w:tcW w:w="484" w:type="pct"/>
                  <w:vAlign w:val="center"/>
                </w:tcPr>
                <w:p>
                  <w:pPr>
                    <w:spacing w:line="320" w:lineRule="exact"/>
                    <w:jc w:val="center"/>
                    <w:rPr>
                      <w:rFonts w:hint="eastAsia"/>
                      <w:color w:val="000000"/>
                      <w:szCs w:val="21"/>
                      <w:highlight w:val="none"/>
                    </w:rPr>
                  </w:pPr>
                  <w:r>
                    <w:rPr>
                      <w:rFonts w:hint="eastAsia"/>
                      <w:color w:val="000000"/>
                      <w:szCs w:val="21"/>
                      <w:highlight w:val="none"/>
                      <w:lang w:val="en-US" w:eastAsia="zh-CN"/>
                    </w:rPr>
                    <w:t>1.83</w:t>
                  </w:r>
                </w:p>
              </w:tc>
              <w:tc>
                <w:tcPr>
                  <w:tcW w:w="501" w:type="pct"/>
                  <w:vAlign w:val="center"/>
                </w:tcPr>
                <w:p>
                  <w:pPr>
                    <w:spacing w:line="320" w:lineRule="exact"/>
                    <w:jc w:val="center"/>
                    <w:rPr>
                      <w:color w:val="000000"/>
                      <w:szCs w:val="21"/>
                      <w:highlight w:val="none"/>
                    </w:rPr>
                  </w:pPr>
                  <w:r>
                    <w:rPr>
                      <w:color w:val="000000"/>
                      <w:szCs w:val="21"/>
                      <w:highlight w:val="none"/>
                    </w:rPr>
                    <w:t>项目</w:t>
                  </w:r>
                  <w:r>
                    <w:rPr>
                      <w:rFonts w:hint="eastAsia"/>
                      <w:color w:val="000000"/>
                      <w:szCs w:val="21"/>
                      <w:highlight w:val="none"/>
                      <w:lang w:eastAsia="zh-CN"/>
                    </w:rPr>
                    <w:t>西北</w:t>
                  </w:r>
                  <w:r>
                    <w:rPr>
                      <w:rFonts w:hint="eastAsia"/>
                      <w:color w:val="000000"/>
                      <w:szCs w:val="21"/>
                      <w:highlight w:val="none"/>
                      <w:lang w:val="en-US" w:eastAsia="zh-CN"/>
                    </w:rPr>
                    <w:t>5.9</w:t>
                  </w:r>
                  <w:r>
                    <w:rPr>
                      <w:color w:val="000000"/>
                      <w:szCs w:val="21"/>
                      <w:highlight w:val="none"/>
                    </w:rPr>
                    <w:t>km</w:t>
                  </w:r>
                </w:p>
              </w:tc>
            </w:tr>
          </w:tbl>
          <w:p>
            <w:pPr>
              <w:spacing w:line="360" w:lineRule="auto"/>
              <w:ind w:firstLine="480" w:firstLineChars="200"/>
              <w:rPr>
                <w:sz w:val="24"/>
                <w:szCs w:val="21"/>
                <w:highlight w:val="none"/>
              </w:rPr>
            </w:pPr>
            <w:r>
              <w:rPr>
                <w:rFonts w:hint="eastAsia" w:ascii="宋体" w:hAnsi="宋体" w:cs="宋体"/>
                <w:sz w:val="24"/>
                <w:szCs w:val="21"/>
                <w:highlight w:val="none"/>
              </w:rPr>
              <w:t>②</w:t>
            </w:r>
            <w:r>
              <w:rPr>
                <w:sz w:val="24"/>
                <w:szCs w:val="21"/>
                <w:highlight w:val="none"/>
              </w:rPr>
              <w:t>环境质量底线</w:t>
            </w:r>
          </w:p>
          <w:p>
            <w:pPr>
              <w:spacing w:line="360" w:lineRule="auto"/>
              <w:ind w:firstLine="480" w:firstLineChars="200"/>
              <w:rPr>
                <w:sz w:val="24"/>
                <w:highlight w:val="none"/>
              </w:rPr>
            </w:pPr>
            <w:r>
              <w:rPr>
                <w:rFonts w:hint="eastAsia"/>
                <w:sz w:val="24"/>
                <w:szCs w:val="21"/>
                <w:highlight w:val="none"/>
              </w:rPr>
              <w:t>项目所在地大气环境质量呈现改善趋势，根据《2020年度苏州高新区环境质量公报》，2020年，苏州高新区环境空气质量优良天数比率为83.3%，影响环境空气质量的主要污染物为O</w:t>
            </w:r>
            <w:r>
              <w:rPr>
                <w:rFonts w:hint="eastAsia"/>
                <w:sz w:val="24"/>
                <w:szCs w:val="21"/>
                <w:highlight w:val="none"/>
                <w:vertAlign w:val="subscript"/>
              </w:rPr>
              <w:t>3</w:t>
            </w:r>
            <w:r>
              <w:rPr>
                <w:rFonts w:hint="eastAsia"/>
                <w:sz w:val="24"/>
                <w:szCs w:val="21"/>
                <w:highlight w:val="none"/>
              </w:rPr>
              <w:t>。对照《环境空气质量标准》（GB3095-2012）及《环境空气质量评价技术规范（试行）》（HJ663-2013），SO</w:t>
            </w:r>
            <w:r>
              <w:rPr>
                <w:rFonts w:hint="eastAsia"/>
                <w:sz w:val="24"/>
                <w:szCs w:val="21"/>
                <w:highlight w:val="none"/>
                <w:vertAlign w:val="subscript"/>
              </w:rPr>
              <w:t>2</w:t>
            </w:r>
            <w:r>
              <w:rPr>
                <w:rFonts w:hint="eastAsia"/>
                <w:sz w:val="24"/>
                <w:szCs w:val="21"/>
                <w:highlight w:val="none"/>
              </w:rPr>
              <w:t>、NO</w:t>
            </w:r>
            <w:r>
              <w:rPr>
                <w:rFonts w:hint="eastAsia"/>
                <w:sz w:val="24"/>
                <w:szCs w:val="21"/>
                <w:highlight w:val="none"/>
                <w:vertAlign w:val="subscript"/>
              </w:rPr>
              <w:t>2</w:t>
            </w:r>
            <w:r>
              <w:rPr>
                <w:rFonts w:hint="eastAsia"/>
                <w:sz w:val="24"/>
                <w:szCs w:val="21"/>
                <w:highlight w:val="none"/>
              </w:rPr>
              <w:t>、PM</w:t>
            </w:r>
            <w:r>
              <w:rPr>
                <w:rFonts w:hint="eastAsia"/>
                <w:sz w:val="24"/>
                <w:szCs w:val="21"/>
                <w:highlight w:val="none"/>
                <w:vertAlign w:val="subscript"/>
              </w:rPr>
              <w:t>2.5</w:t>
            </w:r>
            <w:r>
              <w:rPr>
                <w:rFonts w:hint="eastAsia"/>
                <w:sz w:val="24"/>
                <w:szCs w:val="21"/>
                <w:highlight w:val="none"/>
              </w:rPr>
              <w:t>、PM</w:t>
            </w:r>
            <w:r>
              <w:rPr>
                <w:rFonts w:hint="eastAsia"/>
                <w:sz w:val="24"/>
                <w:szCs w:val="21"/>
                <w:highlight w:val="none"/>
                <w:vertAlign w:val="subscript"/>
              </w:rPr>
              <w:t>10</w:t>
            </w:r>
            <w:r>
              <w:rPr>
                <w:rFonts w:hint="eastAsia"/>
                <w:sz w:val="24"/>
                <w:szCs w:val="21"/>
                <w:highlight w:val="none"/>
              </w:rPr>
              <w:t>和CO年均浓度值优于一级标准，O</w:t>
            </w:r>
            <w:r>
              <w:rPr>
                <w:rFonts w:hint="eastAsia"/>
                <w:sz w:val="24"/>
                <w:szCs w:val="21"/>
                <w:highlight w:val="none"/>
                <w:vertAlign w:val="subscript"/>
              </w:rPr>
              <w:t>3</w:t>
            </w:r>
            <w:r>
              <w:rPr>
                <w:rFonts w:hint="eastAsia"/>
                <w:sz w:val="24"/>
                <w:szCs w:val="21"/>
                <w:highlight w:val="none"/>
              </w:rPr>
              <w:t>日最大8小时平均第90百分位数浓度值超过二级标准。项目所在区O</w:t>
            </w:r>
            <w:r>
              <w:rPr>
                <w:rFonts w:hint="eastAsia"/>
                <w:sz w:val="24"/>
                <w:szCs w:val="21"/>
                <w:highlight w:val="none"/>
                <w:vertAlign w:val="subscript"/>
              </w:rPr>
              <w:t>3</w:t>
            </w:r>
            <w:r>
              <w:rPr>
                <w:rFonts w:hint="eastAsia"/>
                <w:sz w:val="24"/>
                <w:szCs w:val="21"/>
                <w:highlight w:val="none"/>
              </w:rPr>
              <w:t>超标，因此，判定苏州高新区环境空气质量不达标区。</w:t>
            </w:r>
          </w:p>
          <w:p>
            <w:pPr>
              <w:spacing w:line="360" w:lineRule="auto"/>
              <w:ind w:firstLine="480" w:firstLineChars="200"/>
              <w:rPr>
                <w:sz w:val="24"/>
                <w:highlight w:val="none"/>
              </w:rPr>
            </w:pPr>
            <w:r>
              <w:rPr>
                <w:rFonts w:hint="eastAsia"/>
                <w:sz w:val="24"/>
                <w:highlight w:val="none"/>
              </w:rPr>
              <w:t>根据.《苏州市空气质量改善达标规划(2019-2024 年)》，苏州市环境空气质量在2024年实现全面达标：到2024年，全面优化产业布局，大幅提升清洁能源使用比例，构建清洁低碳高效能源体系，深挖电力、钢铁行业减排潜力，进一步推进热电整合，完成重点行业低VOCs含量原辅料替代目标。升级工艺技术，优化工艺流程，提高各行业清洁化生产水平。优化调整用地结构，全面推进面源污染治理；优化运输结构，完成高排放车辆与船舶淘汰，大幅提升新能源汽车比例，强化车船排放监管。建立健全监测监控体系。不断完善城市空气质量联合会商、联动执法和跨行政区域联防联控机制，推进PM</w:t>
            </w:r>
            <w:r>
              <w:rPr>
                <w:sz w:val="24"/>
                <w:highlight w:val="none"/>
                <w:vertAlign w:val="subscript"/>
              </w:rPr>
              <w:t>2.5</w:t>
            </w:r>
            <w:r>
              <w:rPr>
                <w:rFonts w:hint="eastAsia"/>
                <w:sz w:val="24"/>
                <w:highlight w:val="none"/>
              </w:rPr>
              <w:t>和臭氧协同控制,实现除臭氧以外的主要大气污染物全面达标，臭氧浓度不再上升的总体目标。力争到2024年，苏州市PM</w:t>
            </w:r>
            <w:r>
              <w:rPr>
                <w:sz w:val="24"/>
                <w:highlight w:val="none"/>
                <w:vertAlign w:val="subscript"/>
              </w:rPr>
              <w:t>2.5</w:t>
            </w:r>
            <w:r>
              <w:rPr>
                <w:rFonts w:hint="eastAsia"/>
                <w:sz w:val="24"/>
                <w:highlight w:val="none"/>
              </w:rPr>
              <w:t>浓度达到35微克/m</w:t>
            </w:r>
            <w:r>
              <w:rPr>
                <w:rFonts w:hint="eastAsia"/>
                <w:sz w:val="24"/>
                <w:highlight w:val="none"/>
                <w:vertAlign w:val="superscript"/>
              </w:rPr>
              <w:t>3</w:t>
            </w:r>
            <w:r>
              <w:rPr>
                <w:rFonts w:hint="eastAsia"/>
                <w:sz w:val="24"/>
                <w:highlight w:val="none"/>
              </w:rPr>
              <w:t>左右，O</w:t>
            </w:r>
            <w:r>
              <w:rPr>
                <w:rFonts w:hint="eastAsia"/>
                <w:sz w:val="24"/>
                <w:highlight w:val="none"/>
                <w:vertAlign w:val="subscript"/>
              </w:rPr>
              <w:t>3</w:t>
            </w:r>
            <w:r>
              <w:rPr>
                <w:rFonts w:hint="eastAsia"/>
                <w:sz w:val="24"/>
                <w:highlight w:val="none"/>
              </w:rPr>
              <w:t>浓度达到拐点，除O</w:t>
            </w:r>
            <w:r>
              <w:rPr>
                <w:sz w:val="24"/>
                <w:highlight w:val="none"/>
                <w:vertAlign w:val="subscript"/>
              </w:rPr>
              <w:t>3</w:t>
            </w:r>
            <w:r>
              <w:rPr>
                <w:rFonts w:hint="eastAsia"/>
                <w:sz w:val="24"/>
                <w:highlight w:val="none"/>
              </w:rPr>
              <w:t>以外的主要大气污染物浓度达到国家二级标准要求，空气质量优良天数比率达到80%。</w:t>
            </w:r>
          </w:p>
          <w:p>
            <w:pPr>
              <w:spacing w:line="360" w:lineRule="auto"/>
              <w:ind w:firstLine="480" w:firstLineChars="200"/>
              <w:rPr>
                <w:sz w:val="24"/>
                <w:szCs w:val="21"/>
                <w:highlight w:val="none"/>
              </w:rPr>
            </w:pPr>
            <w:r>
              <w:rPr>
                <w:rFonts w:hint="eastAsia"/>
                <w:sz w:val="24"/>
                <w:szCs w:val="21"/>
                <w:highlight w:val="none"/>
              </w:rPr>
              <w:t>地表水</w:t>
            </w:r>
            <w:r>
              <w:rPr>
                <w:rFonts w:hint="eastAsia" w:ascii="宋体" w:hAnsi="宋体"/>
                <w:sz w:val="24"/>
                <w:szCs w:val="21"/>
                <w:highlight w:val="none"/>
              </w:rPr>
              <w:t>:纳污河流京杭运河</w:t>
            </w:r>
            <w:r>
              <w:rPr>
                <w:rFonts w:hint="eastAsia"/>
                <w:sz w:val="24"/>
                <w:szCs w:val="21"/>
                <w:highlight w:val="none"/>
              </w:rPr>
              <w:t>各监测断面pH、COD、悬浮物、氨氮、总磷监测因子均达到《地表水环境质量标准》(GB3838-2002) 的IV类标准。本项目排放的宠物诊疗、美容清洗废水经院内污水处理站处理达标后与生活污水接管至狮山水质净化厂，不会对污水处理厂产生冲击影响，不会降低水体在评价区域的水环境功能。随着《关于高质量推荐城乡生活污水治理三年行动计划的实施意见的通知》(苏委办发[2018]77 号)，要求全市范围内城镇污水处理厂需在202</w:t>
            </w:r>
            <w:r>
              <w:rPr>
                <w:sz w:val="24"/>
                <w:szCs w:val="21"/>
                <w:highlight w:val="none"/>
              </w:rPr>
              <w:t>1</w:t>
            </w:r>
            <w:r>
              <w:rPr>
                <w:rFonts w:hint="eastAsia"/>
                <w:sz w:val="24"/>
                <w:szCs w:val="21"/>
                <w:highlight w:val="none"/>
              </w:rPr>
              <w:t>年起执行“苏州特别排放限值”。</w:t>
            </w:r>
          </w:p>
          <w:p>
            <w:pPr>
              <w:spacing w:line="360" w:lineRule="auto"/>
              <w:ind w:firstLine="480" w:firstLineChars="200"/>
              <w:rPr>
                <w:sz w:val="24"/>
                <w:szCs w:val="21"/>
                <w:highlight w:val="none"/>
              </w:rPr>
            </w:pPr>
            <w:r>
              <w:rPr>
                <w:rFonts w:hint="eastAsia"/>
                <w:sz w:val="24"/>
                <w:szCs w:val="21"/>
                <w:highlight w:val="none"/>
              </w:rPr>
              <w:t>项目周边声环境能达到相关标准，本项目噪声设备采取一定的措施，投产后边界噪声能达到《声环境质量标准》（G</w:t>
            </w:r>
            <w:r>
              <w:rPr>
                <w:sz w:val="24"/>
                <w:szCs w:val="21"/>
                <w:highlight w:val="none"/>
              </w:rPr>
              <w:t>B3096-2008</w:t>
            </w:r>
            <w:r>
              <w:rPr>
                <w:rFonts w:hint="eastAsia"/>
                <w:sz w:val="24"/>
                <w:szCs w:val="21"/>
                <w:highlight w:val="none"/>
              </w:rPr>
              <w:t>）中的二类标准限值要求，确保不会出现边界噪声扰民现象。</w:t>
            </w:r>
          </w:p>
          <w:p>
            <w:pPr>
              <w:spacing w:line="360" w:lineRule="auto"/>
              <w:ind w:firstLine="480" w:firstLineChars="200"/>
              <w:rPr>
                <w:sz w:val="24"/>
                <w:szCs w:val="21"/>
                <w:highlight w:val="none"/>
              </w:rPr>
            </w:pPr>
            <w:r>
              <w:rPr>
                <w:sz w:val="24"/>
                <w:szCs w:val="21"/>
                <w:highlight w:val="none"/>
              </w:rPr>
              <w:t>本项目建设后会产生一定的污染物，如废气、</w:t>
            </w:r>
            <w:r>
              <w:rPr>
                <w:rFonts w:hint="eastAsia"/>
                <w:sz w:val="24"/>
                <w:szCs w:val="21"/>
                <w:highlight w:val="none"/>
              </w:rPr>
              <w:t>废水、</w:t>
            </w:r>
            <w:r>
              <w:rPr>
                <w:sz w:val="24"/>
                <w:szCs w:val="21"/>
                <w:highlight w:val="none"/>
              </w:rPr>
              <w:t>固废以及生产设备运行产生的噪声等，在采取相应的污染防治措施后，各类污染物的排放一般不会对周边环境造成不良影响，即不会降低区域环境功能等级，能维持环境功能区质量现状。本项目建设不会突破环境质量底线。</w:t>
            </w:r>
          </w:p>
          <w:p>
            <w:pPr>
              <w:spacing w:line="360" w:lineRule="auto"/>
              <w:ind w:firstLine="480" w:firstLineChars="200"/>
              <w:rPr>
                <w:sz w:val="24"/>
                <w:szCs w:val="21"/>
                <w:highlight w:val="none"/>
              </w:rPr>
            </w:pPr>
            <w:r>
              <w:rPr>
                <w:rFonts w:hint="eastAsia" w:ascii="宋体" w:hAnsi="宋体" w:cs="宋体"/>
                <w:sz w:val="24"/>
                <w:szCs w:val="21"/>
                <w:highlight w:val="none"/>
              </w:rPr>
              <w:t>③</w:t>
            </w:r>
            <w:r>
              <w:rPr>
                <w:sz w:val="24"/>
                <w:szCs w:val="21"/>
                <w:highlight w:val="none"/>
              </w:rPr>
              <w:t>资源利用上线</w:t>
            </w:r>
          </w:p>
          <w:p>
            <w:pPr>
              <w:spacing w:line="360" w:lineRule="auto"/>
              <w:ind w:firstLine="480" w:firstLineChars="200"/>
              <w:rPr>
                <w:sz w:val="24"/>
                <w:szCs w:val="21"/>
                <w:highlight w:val="none"/>
              </w:rPr>
            </w:pPr>
            <w:r>
              <w:rPr>
                <w:sz w:val="24"/>
                <w:szCs w:val="21"/>
                <w:highlight w:val="none"/>
              </w:rPr>
              <w:t>本项目生产过程中所用的资源主要为电、水；苏州市高新区建立有完善的基础设施，可满足本项目运行的要求。因此，本项目建设符合资源利用上线标准。</w:t>
            </w:r>
          </w:p>
          <w:p>
            <w:pPr>
              <w:spacing w:line="360" w:lineRule="auto"/>
              <w:ind w:firstLine="480" w:firstLineChars="200"/>
              <w:rPr>
                <w:sz w:val="24"/>
                <w:szCs w:val="21"/>
                <w:highlight w:val="none"/>
              </w:rPr>
            </w:pPr>
            <w:r>
              <w:rPr>
                <w:rFonts w:hint="eastAsia" w:ascii="宋体" w:hAnsi="宋体" w:cs="宋体"/>
                <w:sz w:val="24"/>
                <w:szCs w:val="21"/>
                <w:highlight w:val="none"/>
              </w:rPr>
              <w:t>④</w:t>
            </w:r>
            <w:r>
              <w:rPr>
                <w:sz w:val="24"/>
                <w:szCs w:val="21"/>
                <w:highlight w:val="none"/>
              </w:rPr>
              <w:t>环境准入负面清单</w:t>
            </w:r>
          </w:p>
          <w:p>
            <w:pPr>
              <w:spacing w:line="360" w:lineRule="auto"/>
              <w:ind w:firstLine="480" w:firstLineChars="200"/>
              <w:rPr>
                <w:sz w:val="24"/>
                <w:szCs w:val="21"/>
                <w:highlight w:val="none"/>
              </w:rPr>
            </w:pPr>
            <w:r>
              <w:rPr>
                <w:sz w:val="24"/>
                <w:szCs w:val="21"/>
                <w:highlight w:val="none"/>
              </w:rPr>
              <w:t>本次环评对照国家及地方产业政策和《市场准入负面清单（2020年版）》进行说明，具体见下表。</w:t>
            </w:r>
          </w:p>
          <w:p>
            <w:pPr>
              <w:ind w:firstLine="482" w:firstLineChars="200"/>
              <w:jc w:val="center"/>
              <w:rPr>
                <w:sz w:val="24"/>
                <w:szCs w:val="21"/>
                <w:highlight w:val="none"/>
              </w:rPr>
            </w:pPr>
            <w:r>
              <w:rPr>
                <w:b/>
                <w:sz w:val="24"/>
                <w:szCs w:val="21"/>
                <w:highlight w:val="none"/>
              </w:rPr>
              <w:t xml:space="preserve">表1-5  </w:t>
            </w:r>
            <w:r>
              <w:rPr>
                <w:rFonts w:hint="eastAsia"/>
                <w:b/>
                <w:sz w:val="24"/>
                <w:szCs w:val="21"/>
                <w:highlight w:val="none"/>
              </w:rPr>
              <w:t>项目与国家及地方产业政策</w:t>
            </w:r>
            <w:r>
              <w:rPr>
                <w:b/>
                <w:sz w:val="24"/>
                <w:szCs w:val="21"/>
                <w:highlight w:val="none"/>
              </w:rPr>
              <w:t>准入</w:t>
            </w:r>
            <w:r>
              <w:rPr>
                <w:b/>
                <w:bCs/>
                <w:sz w:val="24"/>
                <w:szCs w:val="21"/>
                <w:highlight w:val="none"/>
              </w:rPr>
              <w:t>相符性分析</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3" w:type="dxa"/>
                <w:bottom w:w="0" w:type="dxa"/>
                <w:right w:w="23" w:type="dxa"/>
              </w:tblCellMar>
            </w:tblPr>
            <w:tblGrid>
              <w:gridCol w:w="541"/>
              <w:gridCol w:w="3228"/>
              <w:gridCol w:w="50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278" w:hRule="atLeast"/>
                <w:jc w:val="center"/>
              </w:trPr>
              <w:tc>
                <w:tcPr>
                  <w:tcW w:w="308" w:type="pct"/>
                  <w:tcBorders>
                    <w:tl2br w:val="nil"/>
                    <w:tr2bl w:val="nil"/>
                  </w:tcBorders>
                  <w:vAlign w:val="center"/>
                </w:tcPr>
                <w:p>
                  <w:pPr>
                    <w:jc w:val="center"/>
                    <w:rPr>
                      <w:b/>
                      <w:snapToGrid w:val="0"/>
                      <w:szCs w:val="18"/>
                      <w:highlight w:val="none"/>
                    </w:rPr>
                  </w:pPr>
                  <w:r>
                    <w:rPr>
                      <w:b/>
                      <w:snapToGrid w:val="0"/>
                      <w:szCs w:val="18"/>
                      <w:highlight w:val="none"/>
                    </w:rPr>
                    <w:t>序号</w:t>
                  </w:r>
                </w:p>
              </w:tc>
              <w:tc>
                <w:tcPr>
                  <w:tcW w:w="1836" w:type="pct"/>
                  <w:tcBorders>
                    <w:tl2br w:val="nil"/>
                    <w:tr2bl w:val="nil"/>
                  </w:tcBorders>
                  <w:vAlign w:val="center"/>
                </w:tcPr>
                <w:p>
                  <w:pPr>
                    <w:jc w:val="center"/>
                    <w:rPr>
                      <w:b/>
                      <w:snapToGrid w:val="0"/>
                      <w:szCs w:val="18"/>
                      <w:highlight w:val="none"/>
                    </w:rPr>
                  </w:pPr>
                  <w:r>
                    <w:rPr>
                      <w:b/>
                      <w:snapToGrid w:val="0"/>
                      <w:szCs w:val="18"/>
                      <w:highlight w:val="none"/>
                    </w:rPr>
                    <w:t>内容</w:t>
                  </w:r>
                </w:p>
              </w:tc>
              <w:tc>
                <w:tcPr>
                  <w:tcW w:w="2854" w:type="pct"/>
                  <w:tcBorders>
                    <w:tl2br w:val="nil"/>
                    <w:tr2bl w:val="nil"/>
                  </w:tcBorders>
                  <w:vAlign w:val="center"/>
                </w:tcPr>
                <w:p>
                  <w:pPr>
                    <w:jc w:val="center"/>
                    <w:rPr>
                      <w:b/>
                      <w:snapToGrid w:val="0"/>
                      <w:szCs w:val="18"/>
                      <w:highlight w:val="none"/>
                    </w:rPr>
                  </w:pPr>
                  <w:r>
                    <w:rPr>
                      <w:b/>
                      <w:snapToGrid w:val="0"/>
                      <w:szCs w:val="18"/>
                      <w:highlight w:val="none"/>
                    </w:rPr>
                    <w:t>相符性分析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595" w:hRule="atLeast"/>
                <w:jc w:val="center"/>
              </w:trPr>
              <w:tc>
                <w:tcPr>
                  <w:tcW w:w="308" w:type="pct"/>
                  <w:tcBorders>
                    <w:tl2br w:val="nil"/>
                    <w:tr2bl w:val="nil"/>
                  </w:tcBorders>
                  <w:vAlign w:val="center"/>
                </w:tcPr>
                <w:p>
                  <w:pPr>
                    <w:jc w:val="center"/>
                    <w:rPr>
                      <w:snapToGrid w:val="0"/>
                      <w:szCs w:val="18"/>
                      <w:highlight w:val="none"/>
                    </w:rPr>
                  </w:pPr>
                  <w:r>
                    <w:rPr>
                      <w:snapToGrid w:val="0"/>
                      <w:szCs w:val="18"/>
                      <w:highlight w:val="none"/>
                    </w:rPr>
                    <w:t>1</w:t>
                  </w:r>
                </w:p>
              </w:tc>
              <w:tc>
                <w:tcPr>
                  <w:tcW w:w="1836" w:type="pct"/>
                  <w:tcBorders>
                    <w:tl2br w:val="nil"/>
                    <w:tr2bl w:val="nil"/>
                  </w:tcBorders>
                  <w:vAlign w:val="center"/>
                </w:tcPr>
                <w:p>
                  <w:pPr>
                    <w:jc w:val="center"/>
                    <w:rPr>
                      <w:snapToGrid w:val="0"/>
                      <w:szCs w:val="18"/>
                      <w:highlight w:val="none"/>
                    </w:rPr>
                  </w:pPr>
                  <w:r>
                    <w:rPr>
                      <w:snapToGrid w:val="0"/>
                      <w:szCs w:val="18"/>
                      <w:highlight w:val="none"/>
                    </w:rPr>
                    <w:t>《产业结构调整指导目录（2019年本）》</w:t>
                  </w:r>
                </w:p>
              </w:tc>
              <w:tc>
                <w:tcPr>
                  <w:tcW w:w="2854" w:type="pct"/>
                  <w:tcBorders>
                    <w:tl2br w:val="nil"/>
                    <w:tr2bl w:val="nil"/>
                  </w:tcBorders>
                  <w:vAlign w:val="center"/>
                </w:tcPr>
                <w:p>
                  <w:pPr>
                    <w:jc w:val="center"/>
                    <w:rPr>
                      <w:snapToGrid w:val="0"/>
                      <w:szCs w:val="18"/>
                      <w:highlight w:val="none"/>
                    </w:rPr>
                  </w:pPr>
                  <w:r>
                    <w:rPr>
                      <w:snapToGrid w:val="0"/>
                      <w:szCs w:val="18"/>
                      <w:highlight w:val="none"/>
                    </w:rPr>
                    <w:t>经查《产业结构调整指导目录（2019年本）》，本项目属于</w:t>
                  </w:r>
                  <w:r>
                    <w:rPr>
                      <w:rFonts w:hint="eastAsia"/>
                      <w:snapToGrid w:val="0"/>
                      <w:szCs w:val="18"/>
                      <w:highlight w:val="none"/>
                    </w:rPr>
                    <w:t>鼓励</w:t>
                  </w:r>
                  <w:r>
                    <w:rPr>
                      <w:snapToGrid w:val="0"/>
                      <w:szCs w:val="18"/>
                      <w:highlight w:val="none"/>
                    </w:rPr>
                    <w:t>类，符合该文件的要求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90" w:hRule="atLeast"/>
                <w:jc w:val="center"/>
              </w:trPr>
              <w:tc>
                <w:tcPr>
                  <w:tcW w:w="308" w:type="pct"/>
                  <w:tcBorders>
                    <w:tl2br w:val="nil"/>
                    <w:tr2bl w:val="nil"/>
                  </w:tcBorders>
                  <w:vAlign w:val="center"/>
                </w:tcPr>
                <w:p>
                  <w:pPr>
                    <w:jc w:val="center"/>
                    <w:rPr>
                      <w:snapToGrid w:val="0"/>
                      <w:szCs w:val="18"/>
                      <w:highlight w:val="none"/>
                    </w:rPr>
                  </w:pPr>
                  <w:r>
                    <w:rPr>
                      <w:snapToGrid w:val="0"/>
                      <w:szCs w:val="18"/>
                      <w:highlight w:val="none"/>
                    </w:rPr>
                    <w:t>2</w:t>
                  </w:r>
                </w:p>
              </w:tc>
              <w:tc>
                <w:tcPr>
                  <w:tcW w:w="1836" w:type="pct"/>
                  <w:tcBorders>
                    <w:tl2br w:val="nil"/>
                    <w:tr2bl w:val="nil"/>
                  </w:tcBorders>
                  <w:vAlign w:val="center"/>
                </w:tcPr>
                <w:p>
                  <w:pPr>
                    <w:jc w:val="center"/>
                    <w:rPr>
                      <w:snapToGrid w:val="0"/>
                      <w:szCs w:val="18"/>
                      <w:highlight w:val="none"/>
                    </w:rPr>
                  </w:pPr>
                  <w:r>
                    <w:rPr>
                      <w:snapToGrid w:val="0"/>
                      <w:szCs w:val="18"/>
                      <w:highlight w:val="none"/>
                    </w:rPr>
                    <w:t>《江苏省工业和信息产业结构调整指导目录》（2012年本）及修改通知</w:t>
                  </w:r>
                </w:p>
              </w:tc>
              <w:tc>
                <w:tcPr>
                  <w:tcW w:w="2854" w:type="pct"/>
                  <w:tcBorders>
                    <w:tl2br w:val="nil"/>
                    <w:tr2bl w:val="nil"/>
                  </w:tcBorders>
                  <w:vAlign w:val="center"/>
                </w:tcPr>
                <w:p>
                  <w:pPr>
                    <w:jc w:val="center"/>
                    <w:rPr>
                      <w:snapToGrid w:val="0"/>
                      <w:szCs w:val="18"/>
                      <w:highlight w:val="none"/>
                    </w:rPr>
                  </w:pPr>
                  <w:r>
                    <w:rPr>
                      <w:snapToGrid w:val="0"/>
                      <w:szCs w:val="18"/>
                      <w:highlight w:val="none"/>
                    </w:rPr>
                    <w:t>经查《江苏省工业和信息产业结构调整指导目录》（2012年本），本项目属于</w:t>
                  </w:r>
                  <w:r>
                    <w:rPr>
                      <w:rFonts w:hint="eastAsia"/>
                      <w:snapToGrid w:val="0"/>
                      <w:szCs w:val="18"/>
                      <w:highlight w:val="none"/>
                    </w:rPr>
                    <w:t>鼓励</w:t>
                  </w:r>
                  <w:r>
                    <w:rPr>
                      <w:snapToGrid w:val="0"/>
                      <w:szCs w:val="18"/>
                      <w:highlight w:val="none"/>
                    </w:rPr>
                    <w:t>类，符合该文件的要求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860" w:hRule="atLeast"/>
                <w:jc w:val="center"/>
              </w:trPr>
              <w:tc>
                <w:tcPr>
                  <w:tcW w:w="308" w:type="pct"/>
                  <w:tcBorders>
                    <w:tl2br w:val="nil"/>
                    <w:tr2bl w:val="nil"/>
                  </w:tcBorders>
                  <w:vAlign w:val="center"/>
                </w:tcPr>
                <w:p>
                  <w:pPr>
                    <w:jc w:val="center"/>
                    <w:rPr>
                      <w:snapToGrid w:val="0"/>
                      <w:szCs w:val="18"/>
                      <w:highlight w:val="none"/>
                    </w:rPr>
                  </w:pPr>
                  <w:r>
                    <w:rPr>
                      <w:snapToGrid w:val="0"/>
                      <w:szCs w:val="18"/>
                      <w:highlight w:val="none"/>
                    </w:rPr>
                    <w:t>3</w:t>
                  </w:r>
                </w:p>
              </w:tc>
              <w:tc>
                <w:tcPr>
                  <w:tcW w:w="1836" w:type="pct"/>
                  <w:tcBorders>
                    <w:tl2br w:val="nil"/>
                    <w:tr2bl w:val="nil"/>
                  </w:tcBorders>
                  <w:vAlign w:val="center"/>
                </w:tcPr>
                <w:p>
                  <w:pPr>
                    <w:jc w:val="center"/>
                    <w:rPr>
                      <w:snapToGrid w:val="0"/>
                      <w:szCs w:val="18"/>
                      <w:highlight w:val="none"/>
                    </w:rPr>
                  </w:pPr>
                  <w:r>
                    <w:rPr>
                      <w:snapToGrid w:val="0"/>
                      <w:szCs w:val="18"/>
                      <w:highlight w:val="none"/>
                    </w:rPr>
                    <w:t>《江苏省工业和信息产业结构调整限制淘汰目录和能耗限额的通知》（苏政办发[2015]118号）</w:t>
                  </w:r>
                </w:p>
              </w:tc>
              <w:tc>
                <w:tcPr>
                  <w:tcW w:w="2854" w:type="pct"/>
                  <w:tcBorders>
                    <w:tl2br w:val="nil"/>
                    <w:tr2bl w:val="nil"/>
                  </w:tcBorders>
                  <w:vAlign w:val="center"/>
                </w:tcPr>
                <w:p>
                  <w:pPr>
                    <w:jc w:val="center"/>
                    <w:rPr>
                      <w:snapToGrid w:val="0"/>
                      <w:szCs w:val="18"/>
                      <w:highlight w:val="none"/>
                    </w:rPr>
                  </w:pPr>
                  <w:r>
                    <w:rPr>
                      <w:snapToGrid w:val="0"/>
                      <w:szCs w:val="18"/>
                      <w:highlight w:val="none"/>
                    </w:rPr>
                    <w:t>经查《江苏省工业和信息产业结构调整限制淘汰目录和能耗限额的通知》（苏政办发[2015]118号），项目不属于其淘汰类和限制类，符合该文件的要求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748" w:hRule="atLeast"/>
                <w:jc w:val="center"/>
              </w:trPr>
              <w:tc>
                <w:tcPr>
                  <w:tcW w:w="308" w:type="pct"/>
                  <w:tcBorders>
                    <w:tl2br w:val="nil"/>
                    <w:tr2bl w:val="nil"/>
                  </w:tcBorders>
                  <w:vAlign w:val="center"/>
                </w:tcPr>
                <w:p>
                  <w:pPr>
                    <w:jc w:val="center"/>
                    <w:rPr>
                      <w:snapToGrid w:val="0"/>
                      <w:szCs w:val="18"/>
                      <w:highlight w:val="none"/>
                    </w:rPr>
                  </w:pPr>
                  <w:r>
                    <w:rPr>
                      <w:snapToGrid w:val="0"/>
                      <w:szCs w:val="18"/>
                      <w:highlight w:val="none"/>
                    </w:rPr>
                    <w:t>4</w:t>
                  </w:r>
                </w:p>
              </w:tc>
              <w:tc>
                <w:tcPr>
                  <w:tcW w:w="1836" w:type="pct"/>
                  <w:tcBorders>
                    <w:tl2br w:val="nil"/>
                    <w:tr2bl w:val="nil"/>
                  </w:tcBorders>
                  <w:vAlign w:val="center"/>
                </w:tcPr>
                <w:p>
                  <w:pPr>
                    <w:jc w:val="center"/>
                    <w:rPr>
                      <w:snapToGrid w:val="0"/>
                      <w:szCs w:val="18"/>
                      <w:highlight w:val="none"/>
                    </w:rPr>
                  </w:pPr>
                  <w:r>
                    <w:rPr>
                      <w:snapToGrid w:val="0"/>
                      <w:szCs w:val="18"/>
                      <w:highlight w:val="none"/>
                    </w:rPr>
                    <w:t>《限制用地项目目录（2012年本）》、《禁止用地项目目录（2012年本）》</w:t>
                  </w:r>
                </w:p>
              </w:tc>
              <w:tc>
                <w:tcPr>
                  <w:tcW w:w="2854" w:type="pct"/>
                  <w:tcBorders>
                    <w:tl2br w:val="nil"/>
                    <w:tr2bl w:val="nil"/>
                  </w:tcBorders>
                  <w:vAlign w:val="center"/>
                </w:tcPr>
                <w:p>
                  <w:pPr>
                    <w:jc w:val="center"/>
                    <w:rPr>
                      <w:snapToGrid w:val="0"/>
                      <w:szCs w:val="18"/>
                      <w:highlight w:val="none"/>
                    </w:rPr>
                  </w:pPr>
                  <w:r>
                    <w:rPr>
                      <w:snapToGrid w:val="0"/>
                      <w:szCs w:val="18"/>
                      <w:highlight w:val="none"/>
                    </w:rPr>
                    <w:t>本项目不在《限制用地项目目录（2012年本）》、《禁止用地项目目录（2012年本）》中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1083" w:hRule="atLeast"/>
                <w:jc w:val="center"/>
              </w:trPr>
              <w:tc>
                <w:tcPr>
                  <w:tcW w:w="308" w:type="pct"/>
                  <w:tcBorders>
                    <w:tl2br w:val="nil"/>
                    <w:tr2bl w:val="nil"/>
                  </w:tcBorders>
                  <w:vAlign w:val="center"/>
                </w:tcPr>
                <w:p>
                  <w:pPr>
                    <w:jc w:val="center"/>
                    <w:rPr>
                      <w:snapToGrid w:val="0"/>
                      <w:szCs w:val="18"/>
                      <w:highlight w:val="none"/>
                    </w:rPr>
                  </w:pPr>
                  <w:r>
                    <w:rPr>
                      <w:snapToGrid w:val="0"/>
                      <w:szCs w:val="18"/>
                      <w:highlight w:val="none"/>
                    </w:rPr>
                    <w:t>5</w:t>
                  </w:r>
                </w:p>
              </w:tc>
              <w:tc>
                <w:tcPr>
                  <w:tcW w:w="1836" w:type="pct"/>
                  <w:tcBorders>
                    <w:tl2br w:val="nil"/>
                    <w:tr2bl w:val="nil"/>
                  </w:tcBorders>
                  <w:vAlign w:val="center"/>
                </w:tcPr>
                <w:p>
                  <w:pPr>
                    <w:jc w:val="center"/>
                    <w:rPr>
                      <w:snapToGrid w:val="0"/>
                      <w:szCs w:val="18"/>
                      <w:highlight w:val="none"/>
                    </w:rPr>
                  </w:pPr>
                  <w:r>
                    <w:rPr>
                      <w:snapToGrid w:val="0"/>
                      <w:szCs w:val="18"/>
                      <w:highlight w:val="none"/>
                    </w:rPr>
                    <w:t>《江苏省限制用地项目目录（2013年本）》、《江苏省禁止用地项目目录（2013年本）》</w:t>
                  </w:r>
                </w:p>
              </w:tc>
              <w:tc>
                <w:tcPr>
                  <w:tcW w:w="2854" w:type="pct"/>
                  <w:tcBorders>
                    <w:tl2br w:val="nil"/>
                    <w:tr2bl w:val="nil"/>
                  </w:tcBorders>
                  <w:vAlign w:val="center"/>
                </w:tcPr>
                <w:p>
                  <w:pPr>
                    <w:jc w:val="center"/>
                    <w:rPr>
                      <w:snapToGrid w:val="0"/>
                      <w:szCs w:val="18"/>
                      <w:highlight w:val="none"/>
                    </w:rPr>
                  </w:pPr>
                  <w:r>
                    <w:rPr>
                      <w:snapToGrid w:val="0"/>
                      <w:szCs w:val="18"/>
                      <w:highlight w:val="none"/>
                    </w:rPr>
                    <w:t>本项目不在《江苏省限制用地项目目录（2013年本）》、《江苏省禁止用地项目目录（2013年本）》中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547" w:hRule="atLeast"/>
                <w:jc w:val="center"/>
              </w:trPr>
              <w:tc>
                <w:tcPr>
                  <w:tcW w:w="308" w:type="pct"/>
                  <w:tcBorders>
                    <w:tl2br w:val="nil"/>
                    <w:tr2bl w:val="nil"/>
                  </w:tcBorders>
                  <w:vAlign w:val="center"/>
                </w:tcPr>
                <w:p>
                  <w:pPr>
                    <w:jc w:val="center"/>
                    <w:rPr>
                      <w:snapToGrid w:val="0"/>
                      <w:szCs w:val="18"/>
                      <w:highlight w:val="none"/>
                    </w:rPr>
                  </w:pPr>
                  <w:r>
                    <w:rPr>
                      <w:snapToGrid w:val="0"/>
                      <w:szCs w:val="18"/>
                      <w:highlight w:val="none"/>
                    </w:rPr>
                    <w:t>6</w:t>
                  </w:r>
                </w:p>
              </w:tc>
              <w:tc>
                <w:tcPr>
                  <w:tcW w:w="1836" w:type="pct"/>
                  <w:tcBorders>
                    <w:tl2br w:val="nil"/>
                    <w:tr2bl w:val="nil"/>
                  </w:tcBorders>
                  <w:vAlign w:val="center"/>
                </w:tcPr>
                <w:p>
                  <w:pPr>
                    <w:jc w:val="center"/>
                    <w:rPr>
                      <w:snapToGrid w:val="0"/>
                      <w:szCs w:val="18"/>
                      <w:highlight w:val="none"/>
                    </w:rPr>
                  </w:pPr>
                  <w:r>
                    <w:rPr>
                      <w:snapToGrid w:val="0"/>
                      <w:szCs w:val="18"/>
                      <w:highlight w:val="none"/>
                    </w:rPr>
                    <w:t>《市场准入负面清单（2020年版）》</w:t>
                  </w:r>
                </w:p>
              </w:tc>
              <w:tc>
                <w:tcPr>
                  <w:tcW w:w="2854" w:type="pct"/>
                  <w:tcBorders>
                    <w:tl2br w:val="nil"/>
                    <w:tr2bl w:val="nil"/>
                  </w:tcBorders>
                  <w:vAlign w:val="center"/>
                </w:tcPr>
                <w:p>
                  <w:pPr>
                    <w:jc w:val="center"/>
                    <w:rPr>
                      <w:snapToGrid w:val="0"/>
                      <w:szCs w:val="18"/>
                      <w:highlight w:val="none"/>
                    </w:rPr>
                  </w:pPr>
                  <w:r>
                    <w:rPr>
                      <w:snapToGrid w:val="0"/>
                      <w:szCs w:val="18"/>
                      <w:highlight w:val="none"/>
                    </w:rPr>
                    <w:t>经查《市场准入负面清单（2020年版）》，本项目不属于其禁止准入类，应属于允许类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996" w:hRule="atLeast"/>
                <w:jc w:val="center"/>
              </w:trPr>
              <w:tc>
                <w:tcPr>
                  <w:tcW w:w="308" w:type="pct"/>
                  <w:tcBorders>
                    <w:tl2br w:val="nil"/>
                    <w:tr2bl w:val="nil"/>
                  </w:tcBorders>
                  <w:vAlign w:val="center"/>
                </w:tcPr>
                <w:p>
                  <w:pPr>
                    <w:jc w:val="center"/>
                    <w:rPr>
                      <w:snapToGrid w:val="0"/>
                      <w:szCs w:val="18"/>
                      <w:highlight w:val="none"/>
                    </w:rPr>
                  </w:pPr>
                  <w:r>
                    <w:rPr>
                      <w:snapToGrid w:val="0"/>
                      <w:szCs w:val="18"/>
                      <w:highlight w:val="none"/>
                    </w:rPr>
                    <w:t>7</w:t>
                  </w:r>
                </w:p>
              </w:tc>
              <w:tc>
                <w:tcPr>
                  <w:tcW w:w="1836" w:type="pct"/>
                  <w:tcBorders>
                    <w:tl2br w:val="nil"/>
                    <w:tr2bl w:val="nil"/>
                  </w:tcBorders>
                  <w:vAlign w:val="center"/>
                </w:tcPr>
                <w:p>
                  <w:pPr>
                    <w:jc w:val="center"/>
                    <w:rPr>
                      <w:snapToGrid w:val="0"/>
                      <w:szCs w:val="18"/>
                      <w:highlight w:val="none"/>
                    </w:rPr>
                  </w:pPr>
                  <w:r>
                    <w:rPr>
                      <w:snapToGrid w:val="0"/>
                      <w:szCs w:val="18"/>
                      <w:highlight w:val="none"/>
                    </w:rPr>
                    <w:t>《江苏省太湖水污染防治条例》（2018年修订）</w:t>
                  </w:r>
                </w:p>
              </w:tc>
              <w:tc>
                <w:tcPr>
                  <w:tcW w:w="2854" w:type="pct"/>
                  <w:tcBorders>
                    <w:tl2br w:val="nil"/>
                    <w:tr2bl w:val="nil"/>
                  </w:tcBorders>
                  <w:vAlign w:val="center"/>
                </w:tcPr>
                <w:p>
                  <w:pPr>
                    <w:jc w:val="center"/>
                    <w:rPr>
                      <w:snapToGrid w:val="0"/>
                      <w:szCs w:val="18"/>
                      <w:highlight w:val="none"/>
                    </w:rPr>
                  </w:pPr>
                  <w:r>
                    <w:rPr>
                      <w:snapToGrid w:val="0"/>
                      <w:szCs w:val="18"/>
                      <w:highlight w:val="none"/>
                    </w:rPr>
                    <w:t>本项目位于太湖流域三级保护区，项目属</w:t>
                  </w:r>
                  <w:r>
                    <w:rPr>
                      <w:rFonts w:hint="eastAsia"/>
                      <w:snapToGrid w:val="0"/>
                      <w:szCs w:val="18"/>
                      <w:highlight w:val="none"/>
                    </w:rPr>
                    <w:t>其他医疗设备及器械制造行业</w:t>
                  </w:r>
                  <w:r>
                    <w:rPr>
                      <w:snapToGrid w:val="0"/>
                      <w:szCs w:val="18"/>
                      <w:highlight w:val="none"/>
                    </w:rPr>
                    <w:t>，不在保护区禁止和限制行业范围内，本项目无含氮磷生产废水排放，</w:t>
                  </w:r>
                  <w:r>
                    <w:rPr>
                      <w:rFonts w:hint="eastAsia"/>
                      <w:kern w:val="0"/>
                      <w:szCs w:val="21"/>
                      <w:highlight w:val="none"/>
                      <w:lang w:eastAsia="zh-CN"/>
                    </w:rPr>
                    <w:t>生活污水</w:t>
                  </w:r>
                  <w:r>
                    <w:rPr>
                      <w:rFonts w:hint="eastAsia"/>
                      <w:kern w:val="0"/>
                      <w:szCs w:val="21"/>
                      <w:highlight w:val="none"/>
                    </w:rPr>
                    <w:t>、</w:t>
                  </w:r>
                  <w:r>
                    <w:rPr>
                      <w:rFonts w:hint="eastAsia"/>
                      <w:kern w:val="0"/>
                      <w:szCs w:val="21"/>
                      <w:highlight w:val="none"/>
                      <w:lang w:eastAsia="zh-CN"/>
                    </w:rPr>
                    <w:t>冷却</w:t>
                  </w:r>
                  <w:r>
                    <w:rPr>
                      <w:rFonts w:hint="eastAsia"/>
                      <w:kern w:val="0"/>
                      <w:szCs w:val="21"/>
                      <w:highlight w:val="none"/>
                    </w:rPr>
                    <w:t>废水</w:t>
                  </w:r>
                  <w:r>
                    <w:rPr>
                      <w:rFonts w:hint="eastAsia"/>
                      <w:snapToGrid w:val="0"/>
                      <w:szCs w:val="18"/>
                      <w:highlight w:val="none"/>
                    </w:rPr>
                    <w:t>经</w:t>
                  </w:r>
                  <w:r>
                    <w:rPr>
                      <w:rFonts w:hint="eastAsia"/>
                      <w:snapToGrid w:val="0"/>
                      <w:szCs w:val="18"/>
                      <w:highlight w:val="none"/>
                      <w:lang w:eastAsia="zh-CN"/>
                    </w:rPr>
                    <w:t>厂区</w:t>
                  </w:r>
                  <w:r>
                    <w:rPr>
                      <w:rFonts w:hint="eastAsia"/>
                      <w:snapToGrid w:val="0"/>
                      <w:szCs w:val="18"/>
                      <w:highlight w:val="none"/>
                    </w:rPr>
                    <w:t>内污水处理站处理后与</w:t>
                  </w:r>
                  <w:r>
                    <w:rPr>
                      <w:snapToGrid w:val="0"/>
                      <w:szCs w:val="18"/>
                      <w:highlight w:val="none"/>
                    </w:rPr>
                    <w:t>生活污水经市政污水管网接管至</w:t>
                  </w:r>
                  <w:r>
                    <w:rPr>
                      <w:rFonts w:hint="eastAsia"/>
                      <w:snapToGrid w:val="0"/>
                      <w:szCs w:val="18"/>
                      <w:highlight w:val="none"/>
                      <w:lang w:eastAsia="zh-CN"/>
                    </w:rPr>
                    <w:t>科技城</w:t>
                  </w:r>
                  <w:r>
                    <w:rPr>
                      <w:rFonts w:hint="eastAsia"/>
                      <w:snapToGrid w:val="0"/>
                      <w:szCs w:val="18"/>
                      <w:highlight w:val="none"/>
                    </w:rPr>
                    <w:t>水质净化厂</w:t>
                  </w:r>
                  <w:r>
                    <w:rPr>
                      <w:snapToGrid w:val="0"/>
                      <w:szCs w:val="18"/>
                      <w:highlight w:val="none"/>
                    </w:rPr>
                    <w:t>处理，因此符合该条例规定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561" w:hRule="atLeast"/>
                <w:jc w:val="center"/>
              </w:trPr>
              <w:tc>
                <w:tcPr>
                  <w:tcW w:w="308" w:type="pct"/>
                  <w:tcBorders>
                    <w:tl2br w:val="nil"/>
                    <w:tr2bl w:val="nil"/>
                  </w:tcBorders>
                  <w:vAlign w:val="center"/>
                </w:tcPr>
                <w:p>
                  <w:pPr>
                    <w:jc w:val="center"/>
                    <w:rPr>
                      <w:snapToGrid w:val="0"/>
                      <w:szCs w:val="18"/>
                      <w:highlight w:val="none"/>
                    </w:rPr>
                  </w:pPr>
                  <w:r>
                    <w:rPr>
                      <w:snapToGrid w:val="0"/>
                      <w:szCs w:val="18"/>
                      <w:highlight w:val="none"/>
                    </w:rPr>
                    <w:t>8</w:t>
                  </w:r>
                </w:p>
              </w:tc>
              <w:tc>
                <w:tcPr>
                  <w:tcW w:w="1836" w:type="pct"/>
                  <w:tcBorders>
                    <w:tl2br w:val="nil"/>
                    <w:tr2bl w:val="nil"/>
                  </w:tcBorders>
                  <w:vAlign w:val="center"/>
                </w:tcPr>
                <w:p>
                  <w:pPr>
                    <w:jc w:val="center"/>
                    <w:rPr>
                      <w:snapToGrid w:val="0"/>
                      <w:szCs w:val="18"/>
                      <w:highlight w:val="none"/>
                    </w:rPr>
                  </w:pPr>
                  <w:r>
                    <w:rPr>
                      <w:snapToGrid w:val="0"/>
                      <w:szCs w:val="18"/>
                      <w:highlight w:val="none"/>
                    </w:rPr>
                    <w:t>《苏州市主体功能区实施意见》</w:t>
                  </w:r>
                </w:p>
              </w:tc>
              <w:tc>
                <w:tcPr>
                  <w:tcW w:w="2854" w:type="pct"/>
                  <w:tcBorders>
                    <w:tl2br w:val="nil"/>
                    <w:tr2bl w:val="nil"/>
                  </w:tcBorders>
                  <w:vAlign w:val="center"/>
                </w:tcPr>
                <w:p>
                  <w:pPr>
                    <w:jc w:val="center"/>
                    <w:rPr>
                      <w:snapToGrid w:val="0"/>
                      <w:szCs w:val="18"/>
                      <w:highlight w:val="none"/>
                    </w:rPr>
                  </w:pPr>
                  <w:r>
                    <w:rPr>
                      <w:snapToGrid w:val="0"/>
                      <w:szCs w:val="18"/>
                      <w:highlight w:val="none"/>
                    </w:rPr>
                    <w:t>经查《苏州市主体功能区实施意见》，本项目不在其限制开发区域和禁止开发区域内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571" w:hRule="atLeast"/>
                <w:jc w:val="center"/>
              </w:trPr>
              <w:tc>
                <w:tcPr>
                  <w:tcW w:w="308" w:type="pct"/>
                  <w:tcBorders>
                    <w:tl2br w:val="nil"/>
                    <w:tr2bl w:val="nil"/>
                  </w:tcBorders>
                  <w:vAlign w:val="center"/>
                </w:tcPr>
                <w:p>
                  <w:pPr>
                    <w:jc w:val="center"/>
                    <w:rPr>
                      <w:snapToGrid w:val="0"/>
                      <w:szCs w:val="18"/>
                      <w:highlight w:val="none"/>
                    </w:rPr>
                  </w:pPr>
                  <w:r>
                    <w:rPr>
                      <w:snapToGrid w:val="0"/>
                      <w:szCs w:val="18"/>
                      <w:highlight w:val="none"/>
                    </w:rPr>
                    <w:t>9</w:t>
                  </w:r>
                </w:p>
              </w:tc>
              <w:tc>
                <w:tcPr>
                  <w:tcW w:w="1836" w:type="pct"/>
                  <w:tcBorders>
                    <w:tl2br w:val="nil"/>
                    <w:tr2bl w:val="nil"/>
                  </w:tcBorders>
                  <w:vAlign w:val="center"/>
                </w:tcPr>
                <w:p>
                  <w:pPr>
                    <w:wordWrap w:val="0"/>
                    <w:jc w:val="center"/>
                    <w:rPr>
                      <w:snapToGrid w:val="0"/>
                      <w:szCs w:val="18"/>
                      <w:highlight w:val="none"/>
                    </w:rPr>
                  </w:pPr>
                  <w:r>
                    <w:rPr>
                      <w:snapToGrid w:val="0"/>
                      <w:szCs w:val="18"/>
                      <w:highlight w:val="none"/>
                    </w:rPr>
                    <w:t>《苏州市产业发展导向目录（2007年本）》</w:t>
                  </w:r>
                </w:p>
              </w:tc>
              <w:tc>
                <w:tcPr>
                  <w:tcW w:w="2854" w:type="pct"/>
                  <w:tcBorders>
                    <w:tl2br w:val="nil"/>
                    <w:tr2bl w:val="nil"/>
                  </w:tcBorders>
                  <w:vAlign w:val="center"/>
                </w:tcPr>
                <w:p>
                  <w:pPr>
                    <w:jc w:val="center"/>
                    <w:rPr>
                      <w:snapToGrid w:val="0"/>
                      <w:szCs w:val="18"/>
                      <w:highlight w:val="none"/>
                    </w:rPr>
                  </w:pPr>
                  <w:r>
                    <w:rPr>
                      <w:snapToGrid w:val="0"/>
                      <w:szCs w:val="18"/>
                      <w:highlight w:val="none"/>
                    </w:rPr>
                    <w:t>本项目属于《苏州市产业发展导向目录（2007年本）》鼓励类，符合该文件要求。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571" w:hRule="atLeast"/>
                <w:jc w:val="center"/>
              </w:trPr>
              <w:tc>
                <w:tcPr>
                  <w:tcW w:w="308" w:type="pct"/>
                  <w:tcBorders>
                    <w:tl2br w:val="nil"/>
                    <w:tr2bl w:val="nil"/>
                  </w:tcBorders>
                  <w:vAlign w:val="center"/>
                </w:tcPr>
                <w:p>
                  <w:pPr>
                    <w:jc w:val="center"/>
                    <w:rPr>
                      <w:snapToGrid w:val="0"/>
                      <w:szCs w:val="18"/>
                      <w:highlight w:val="none"/>
                    </w:rPr>
                  </w:pPr>
                  <w:r>
                    <w:rPr>
                      <w:rFonts w:hint="eastAsia"/>
                      <w:snapToGrid w:val="0"/>
                      <w:szCs w:val="18"/>
                      <w:highlight w:val="none"/>
                    </w:rPr>
                    <w:t>1</w:t>
                  </w:r>
                  <w:r>
                    <w:rPr>
                      <w:snapToGrid w:val="0"/>
                      <w:szCs w:val="18"/>
                      <w:highlight w:val="none"/>
                    </w:rPr>
                    <w:t>0</w:t>
                  </w:r>
                </w:p>
              </w:tc>
              <w:tc>
                <w:tcPr>
                  <w:tcW w:w="1836" w:type="pct"/>
                  <w:tcBorders>
                    <w:tl2br w:val="nil"/>
                    <w:tr2bl w:val="nil"/>
                  </w:tcBorders>
                  <w:vAlign w:val="center"/>
                </w:tcPr>
                <w:p>
                  <w:pPr>
                    <w:wordWrap w:val="0"/>
                    <w:jc w:val="center"/>
                    <w:rPr>
                      <w:snapToGrid w:val="0"/>
                      <w:szCs w:val="18"/>
                      <w:highlight w:val="none"/>
                    </w:rPr>
                  </w:pPr>
                  <w:r>
                    <w:rPr>
                      <w:rFonts w:hint="eastAsia"/>
                      <w:snapToGrid w:val="0"/>
                      <w:szCs w:val="18"/>
                      <w:highlight w:val="none"/>
                    </w:rPr>
                    <w:t>《苏州国家高新技术产业开发区开发建设规划（2015-2030年）》及</w:t>
                  </w:r>
                </w:p>
                <w:p>
                  <w:pPr>
                    <w:wordWrap w:val="0"/>
                    <w:jc w:val="center"/>
                    <w:rPr>
                      <w:snapToGrid w:val="0"/>
                      <w:szCs w:val="18"/>
                      <w:highlight w:val="none"/>
                    </w:rPr>
                  </w:pPr>
                  <w:r>
                    <w:rPr>
                      <w:rFonts w:hint="eastAsia"/>
                      <w:snapToGrid w:val="0"/>
                      <w:szCs w:val="18"/>
                      <w:highlight w:val="none"/>
                    </w:rPr>
                    <w:t>其审查意见</w:t>
                  </w:r>
                </w:p>
              </w:tc>
              <w:tc>
                <w:tcPr>
                  <w:tcW w:w="2854" w:type="pct"/>
                  <w:tcBorders>
                    <w:tl2br w:val="nil"/>
                    <w:tr2bl w:val="nil"/>
                  </w:tcBorders>
                  <w:vAlign w:val="center"/>
                </w:tcPr>
                <w:p>
                  <w:pPr>
                    <w:jc w:val="center"/>
                    <w:rPr>
                      <w:snapToGrid w:val="0"/>
                      <w:szCs w:val="18"/>
                      <w:highlight w:val="none"/>
                    </w:rPr>
                  </w:pPr>
                  <w:r>
                    <w:rPr>
                      <w:rFonts w:hint="eastAsia"/>
                      <w:snapToGrid w:val="0"/>
                      <w:szCs w:val="18"/>
                      <w:highlight w:val="none"/>
                    </w:rPr>
                    <w:t>本项目不属于化学制浆造纸、制革、酿造等禁止和限制发展的产业，符合规划及其审查意见要求。</w:t>
                  </w:r>
                </w:p>
              </w:tc>
            </w:tr>
          </w:tbl>
          <w:p>
            <w:pPr>
              <w:pStyle w:val="19"/>
              <w:snapToGrid w:val="0"/>
              <w:spacing w:before="0" w:beforeAutospacing="0" w:after="0" w:afterAutospacing="0" w:line="460" w:lineRule="exact"/>
              <w:ind w:firstLine="480" w:firstLineChars="200"/>
              <w:rPr>
                <w:rFonts w:ascii="Times New Roman" w:hAnsi="Times New Roman"/>
                <w:szCs w:val="21"/>
                <w:highlight w:val="none"/>
              </w:rPr>
            </w:pPr>
            <w:r>
              <w:rPr>
                <w:rFonts w:ascii="Times New Roman" w:hAnsi="Times New Roman"/>
                <w:szCs w:val="21"/>
                <w:highlight w:val="none"/>
              </w:rPr>
              <w:t>2</w:t>
            </w:r>
            <w:r>
              <w:rPr>
                <w:rFonts w:hint="eastAsia" w:ascii="Times New Roman" w:hAnsi="Times New Roman"/>
                <w:szCs w:val="21"/>
                <w:highlight w:val="none"/>
              </w:rPr>
              <w:t>)与《长江经济带发展负面清单指南(试行)》相符性分析</w:t>
            </w:r>
          </w:p>
          <w:p>
            <w:pPr>
              <w:ind w:firstLine="482" w:firstLineChars="200"/>
              <w:jc w:val="center"/>
              <w:rPr>
                <w:sz w:val="24"/>
                <w:szCs w:val="21"/>
                <w:highlight w:val="none"/>
              </w:rPr>
            </w:pPr>
            <w:r>
              <w:rPr>
                <w:b/>
                <w:sz w:val="24"/>
                <w:szCs w:val="21"/>
                <w:highlight w:val="none"/>
              </w:rPr>
              <w:t xml:space="preserve">表1-6  </w:t>
            </w:r>
            <w:r>
              <w:rPr>
                <w:rFonts w:hint="eastAsia"/>
                <w:b/>
                <w:sz w:val="24"/>
                <w:szCs w:val="21"/>
                <w:highlight w:val="none"/>
              </w:rPr>
              <w:t>项目与《长江经济带发展负面清单指南(试行)》</w:t>
            </w:r>
            <w:r>
              <w:rPr>
                <w:b/>
                <w:bCs/>
                <w:sz w:val="24"/>
                <w:szCs w:val="21"/>
                <w:highlight w:val="none"/>
              </w:rPr>
              <w:t>符性分析</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3" w:type="dxa"/>
                <w:bottom w:w="0" w:type="dxa"/>
                <w:right w:w="23" w:type="dxa"/>
              </w:tblCellMar>
            </w:tblPr>
            <w:tblGrid>
              <w:gridCol w:w="543"/>
              <w:gridCol w:w="4789"/>
              <w:gridCol w:w="345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278" w:hRule="atLeast"/>
                <w:jc w:val="center"/>
              </w:trPr>
              <w:tc>
                <w:tcPr>
                  <w:tcW w:w="309" w:type="pct"/>
                  <w:tcBorders>
                    <w:tl2br w:val="nil"/>
                    <w:tr2bl w:val="nil"/>
                  </w:tcBorders>
                  <w:vAlign w:val="center"/>
                </w:tcPr>
                <w:p>
                  <w:pPr>
                    <w:jc w:val="center"/>
                    <w:rPr>
                      <w:b/>
                      <w:snapToGrid w:val="0"/>
                      <w:szCs w:val="18"/>
                      <w:highlight w:val="none"/>
                    </w:rPr>
                  </w:pPr>
                  <w:r>
                    <w:rPr>
                      <w:b/>
                      <w:snapToGrid w:val="0"/>
                      <w:szCs w:val="18"/>
                      <w:highlight w:val="none"/>
                    </w:rPr>
                    <w:t>序号</w:t>
                  </w:r>
                </w:p>
              </w:tc>
              <w:tc>
                <w:tcPr>
                  <w:tcW w:w="2725" w:type="pct"/>
                  <w:tcBorders>
                    <w:tl2br w:val="nil"/>
                    <w:tr2bl w:val="nil"/>
                  </w:tcBorders>
                  <w:vAlign w:val="center"/>
                </w:tcPr>
                <w:p>
                  <w:pPr>
                    <w:jc w:val="center"/>
                    <w:rPr>
                      <w:b/>
                      <w:snapToGrid w:val="0"/>
                      <w:szCs w:val="18"/>
                      <w:highlight w:val="none"/>
                    </w:rPr>
                  </w:pPr>
                  <w:r>
                    <w:rPr>
                      <w:rFonts w:hint="eastAsia"/>
                      <w:b/>
                      <w:snapToGrid w:val="0"/>
                      <w:szCs w:val="18"/>
                      <w:highlight w:val="none"/>
                    </w:rPr>
                    <w:t>《长江经济带发展负面清单指南(试行)》</w:t>
                  </w:r>
                  <w:r>
                    <w:rPr>
                      <w:b/>
                      <w:snapToGrid w:val="0"/>
                      <w:szCs w:val="18"/>
                      <w:highlight w:val="none"/>
                    </w:rPr>
                    <w:t>内容</w:t>
                  </w:r>
                </w:p>
              </w:tc>
              <w:tc>
                <w:tcPr>
                  <w:tcW w:w="1966" w:type="pct"/>
                  <w:tcBorders>
                    <w:tl2br w:val="nil"/>
                    <w:tr2bl w:val="nil"/>
                  </w:tcBorders>
                  <w:vAlign w:val="center"/>
                </w:tcPr>
                <w:p>
                  <w:pPr>
                    <w:jc w:val="center"/>
                    <w:rPr>
                      <w:b/>
                      <w:snapToGrid w:val="0"/>
                      <w:szCs w:val="18"/>
                      <w:highlight w:val="none"/>
                    </w:rPr>
                  </w:pPr>
                  <w:r>
                    <w:rPr>
                      <w:b/>
                      <w:snapToGrid w:val="0"/>
                      <w:szCs w:val="18"/>
                      <w:highlight w:val="none"/>
                    </w:rPr>
                    <w:t>相符性分析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595" w:hRule="atLeast"/>
                <w:jc w:val="center"/>
              </w:trPr>
              <w:tc>
                <w:tcPr>
                  <w:tcW w:w="309" w:type="pct"/>
                  <w:tcBorders>
                    <w:tl2br w:val="nil"/>
                    <w:tr2bl w:val="nil"/>
                  </w:tcBorders>
                  <w:vAlign w:val="center"/>
                </w:tcPr>
                <w:p>
                  <w:pPr>
                    <w:jc w:val="center"/>
                    <w:rPr>
                      <w:snapToGrid w:val="0"/>
                      <w:szCs w:val="18"/>
                      <w:highlight w:val="none"/>
                    </w:rPr>
                  </w:pPr>
                  <w:r>
                    <w:rPr>
                      <w:snapToGrid w:val="0"/>
                      <w:szCs w:val="18"/>
                      <w:highlight w:val="none"/>
                    </w:rPr>
                    <w:t>1</w:t>
                  </w:r>
                </w:p>
              </w:tc>
              <w:tc>
                <w:tcPr>
                  <w:tcW w:w="2725" w:type="pct"/>
                  <w:tcBorders>
                    <w:tl2br w:val="nil"/>
                    <w:tr2bl w:val="nil"/>
                  </w:tcBorders>
                  <w:vAlign w:val="center"/>
                </w:tcPr>
                <w:p>
                  <w:pPr>
                    <w:rPr>
                      <w:snapToGrid w:val="0"/>
                      <w:szCs w:val="18"/>
                      <w:highlight w:val="none"/>
                    </w:rPr>
                  </w:pPr>
                  <w:r>
                    <w:rPr>
                      <w:rFonts w:hint="eastAsia"/>
                      <w:snapToGrid w:val="0"/>
                      <w:szCs w:val="18"/>
                      <w:highlight w:val="none"/>
                    </w:rPr>
                    <w:t>禁止建设不符合全国和省级港口布局规划以及港口总体规划的码头项目，禁止建设不符合《长江干线过江通道布局规划》的过长江通道项目</w:t>
                  </w:r>
                </w:p>
              </w:tc>
              <w:tc>
                <w:tcPr>
                  <w:tcW w:w="1966" w:type="pct"/>
                  <w:tcBorders>
                    <w:tl2br w:val="nil"/>
                    <w:tr2bl w:val="nil"/>
                  </w:tcBorders>
                  <w:vAlign w:val="center"/>
                </w:tcPr>
                <w:p>
                  <w:pPr>
                    <w:jc w:val="center"/>
                    <w:rPr>
                      <w:snapToGrid w:val="0"/>
                      <w:szCs w:val="18"/>
                      <w:highlight w:val="none"/>
                    </w:rPr>
                  </w:pPr>
                  <w:r>
                    <w:rPr>
                      <w:rFonts w:hint="eastAsia"/>
                      <w:snapToGrid w:val="0"/>
                      <w:szCs w:val="18"/>
                      <w:highlight w:val="none"/>
                    </w:rPr>
                    <w:t>项目不属于码头项目以及过长江通道项目，符合。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90" w:hRule="atLeast"/>
                <w:jc w:val="center"/>
              </w:trPr>
              <w:tc>
                <w:tcPr>
                  <w:tcW w:w="309" w:type="pct"/>
                  <w:tcBorders>
                    <w:tl2br w:val="nil"/>
                    <w:tr2bl w:val="nil"/>
                  </w:tcBorders>
                  <w:vAlign w:val="center"/>
                </w:tcPr>
                <w:p>
                  <w:pPr>
                    <w:jc w:val="center"/>
                    <w:rPr>
                      <w:snapToGrid w:val="0"/>
                      <w:szCs w:val="18"/>
                      <w:highlight w:val="none"/>
                    </w:rPr>
                  </w:pPr>
                  <w:r>
                    <w:rPr>
                      <w:snapToGrid w:val="0"/>
                      <w:szCs w:val="18"/>
                      <w:highlight w:val="none"/>
                    </w:rPr>
                    <w:t>2</w:t>
                  </w:r>
                </w:p>
              </w:tc>
              <w:tc>
                <w:tcPr>
                  <w:tcW w:w="2725" w:type="pct"/>
                  <w:tcBorders>
                    <w:tl2br w:val="nil"/>
                    <w:tr2bl w:val="nil"/>
                  </w:tcBorders>
                  <w:vAlign w:val="center"/>
                </w:tcPr>
                <w:p>
                  <w:pPr>
                    <w:rPr>
                      <w:snapToGrid w:val="0"/>
                      <w:szCs w:val="18"/>
                      <w:highlight w:val="none"/>
                    </w:rPr>
                  </w:pPr>
                  <w:r>
                    <w:rPr>
                      <w:rFonts w:hint="eastAsia"/>
                      <w:snapToGrid w:val="0"/>
                      <w:szCs w:val="18"/>
                      <w:highlight w:val="none"/>
                    </w:rPr>
                    <w:t>禁止在自然保护区核心区、缓冲区的岸线和河段范围内投资建设旅游和生产经营项目。禁止在风景名胜区核心景区的岸线和河段范围内投资建设与风景名胜资源保护无关的项目。</w:t>
                  </w:r>
                </w:p>
              </w:tc>
              <w:tc>
                <w:tcPr>
                  <w:tcW w:w="1966" w:type="pct"/>
                  <w:tcBorders>
                    <w:tl2br w:val="nil"/>
                    <w:tr2bl w:val="nil"/>
                  </w:tcBorders>
                  <w:vAlign w:val="center"/>
                </w:tcPr>
                <w:p>
                  <w:pPr>
                    <w:jc w:val="center"/>
                    <w:rPr>
                      <w:snapToGrid w:val="0"/>
                      <w:szCs w:val="18"/>
                      <w:highlight w:val="none"/>
                    </w:rPr>
                  </w:pPr>
                  <w:r>
                    <w:rPr>
                      <w:rFonts w:hint="eastAsia"/>
                      <w:snapToGrid w:val="0"/>
                      <w:szCs w:val="18"/>
                      <w:highlight w:val="none"/>
                    </w:rPr>
                    <w:t>项目所在地不在自然保护区和风景名胜区范围内，符合。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860" w:hRule="atLeast"/>
                <w:jc w:val="center"/>
              </w:trPr>
              <w:tc>
                <w:tcPr>
                  <w:tcW w:w="309" w:type="pct"/>
                  <w:tcBorders>
                    <w:tl2br w:val="nil"/>
                    <w:tr2bl w:val="nil"/>
                  </w:tcBorders>
                  <w:vAlign w:val="center"/>
                </w:tcPr>
                <w:p>
                  <w:pPr>
                    <w:jc w:val="center"/>
                    <w:rPr>
                      <w:snapToGrid w:val="0"/>
                      <w:szCs w:val="18"/>
                      <w:highlight w:val="none"/>
                    </w:rPr>
                  </w:pPr>
                  <w:r>
                    <w:rPr>
                      <w:snapToGrid w:val="0"/>
                      <w:szCs w:val="18"/>
                      <w:highlight w:val="none"/>
                    </w:rPr>
                    <w:t>3</w:t>
                  </w:r>
                </w:p>
              </w:tc>
              <w:tc>
                <w:tcPr>
                  <w:tcW w:w="2725" w:type="pct"/>
                  <w:tcBorders>
                    <w:tl2br w:val="nil"/>
                    <w:tr2bl w:val="nil"/>
                  </w:tcBorders>
                  <w:vAlign w:val="center"/>
                </w:tcPr>
                <w:p>
                  <w:pPr>
                    <w:rPr>
                      <w:snapToGrid w:val="0"/>
                      <w:szCs w:val="18"/>
                      <w:highlight w:val="none"/>
                    </w:rPr>
                  </w:pPr>
                  <w:r>
                    <w:rPr>
                      <w:rFonts w:hint="eastAsia"/>
                      <w:snapToGrid w:val="0"/>
                      <w:szCs w:val="18"/>
                      <w:highlight w:val="none"/>
                    </w:rPr>
                    <w:t>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tc>
              <w:tc>
                <w:tcPr>
                  <w:tcW w:w="1966" w:type="pct"/>
                  <w:tcBorders>
                    <w:tl2br w:val="nil"/>
                    <w:tr2bl w:val="nil"/>
                  </w:tcBorders>
                  <w:vAlign w:val="center"/>
                </w:tcPr>
                <w:p>
                  <w:pPr>
                    <w:jc w:val="center"/>
                    <w:rPr>
                      <w:snapToGrid w:val="0"/>
                      <w:szCs w:val="18"/>
                      <w:highlight w:val="none"/>
                    </w:rPr>
                  </w:pPr>
                  <w:r>
                    <w:rPr>
                      <w:rFonts w:hint="eastAsia"/>
                      <w:snapToGrid w:val="0"/>
                      <w:szCs w:val="18"/>
                      <w:highlight w:val="none"/>
                    </w:rPr>
                    <w:t>项目所在地不属于饮用水水源一级和二级保护区，符合。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748" w:hRule="atLeast"/>
                <w:jc w:val="center"/>
              </w:trPr>
              <w:tc>
                <w:tcPr>
                  <w:tcW w:w="309" w:type="pct"/>
                  <w:tcBorders>
                    <w:tl2br w:val="nil"/>
                    <w:tr2bl w:val="nil"/>
                  </w:tcBorders>
                  <w:vAlign w:val="center"/>
                </w:tcPr>
                <w:p>
                  <w:pPr>
                    <w:jc w:val="center"/>
                    <w:rPr>
                      <w:snapToGrid w:val="0"/>
                      <w:szCs w:val="18"/>
                      <w:highlight w:val="none"/>
                    </w:rPr>
                  </w:pPr>
                  <w:r>
                    <w:rPr>
                      <w:snapToGrid w:val="0"/>
                      <w:szCs w:val="18"/>
                      <w:highlight w:val="none"/>
                    </w:rPr>
                    <w:t>4</w:t>
                  </w:r>
                </w:p>
              </w:tc>
              <w:tc>
                <w:tcPr>
                  <w:tcW w:w="2725" w:type="pct"/>
                  <w:tcBorders>
                    <w:tl2br w:val="nil"/>
                    <w:tr2bl w:val="nil"/>
                  </w:tcBorders>
                  <w:vAlign w:val="center"/>
                </w:tcPr>
                <w:p>
                  <w:pPr>
                    <w:rPr>
                      <w:snapToGrid w:val="0"/>
                      <w:szCs w:val="18"/>
                      <w:highlight w:val="none"/>
                    </w:rPr>
                  </w:pPr>
                  <w:r>
                    <w:rPr>
                      <w:rFonts w:hint="eastAsia"/>
                      <w:snapToGrid w:val="0"/>
                      <w:szCs w:val="18"/>
                      <w:highlight w:val="none"/>
                    </w:rPr>
                    <w:t>禁止在水产种质资源保护区的岸线和河段范围内新建排污口，以及围湖造田、围海造地或围填海等投资建设项目。禁止在国家湿地公园的岸线和河段范围内挖沙、采矿，以及任何不符合主体功能定位的投资建设项目。</w:t>
                  </w:r>
                </w:p>
              </w:tc>
              <w:tc>
                <w:tcPr>
                  <w:tcW w:w="1966" w:type="pct"/>
                  <w:tcBorders>
                    <w:tl2br w:val="nil"/>
                    <w:tr2bl w:val="nil"/>
                  </w:tcBorders>
                  <w:vAlign w:val="center"/>
                </w:tcPr>
                <w:p>
                  <w:pPr>
                    <w:jc w:val="center"/>
                    <w:rPr>
                      <w:snapToGrid w:val="0"/>
                      <w:szCs w:val="18"/>
                      <w:highlight w:val="none"/>
                    </w:rPr>
                  </w:pPr>
                  <w:r>
                    <w:rPr>
                      <w:rFonts w:hint="eastAsia"/>
                      <w:snapToGrid w:val="0"/>
                      <w:szCs w:val="18"/>
                      <w:highlight w:val="none"/>
                    </w:rPr>
                    <w:t>本项目所在地不在水产种质资源呆护区的岸线和河段范围内，不在国家湿地公园的岸线和河段范围内。且不属于围湖造田、围海造地等投资建设项目，不属于禁止行业类别，符合。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1083" w:hRule="atLeast"/>
                <w:jc w:val="center"/>
              </w:trPr>
              <w:tc>
                <w:tcPr>
                  <w:tcW w:w="309" w:type="pct"/>
                  <w:tcBorders>
                    <w:tl2br w:val="nil"/>
                    <w:tr2bl w:val="nil"/>
                  </w:tcBorders>
                  <w:vAlign w:val="center"/>
                </w:tcPr>
                <w:p>
                  <w:pPr>
                    <w:jc w:val="center"/>
                    <w:rPr>
                      <w:snapToGrid w:val="0"/>
                      <w:szCs w:val="18"/>
                      <w:highlight w:val="none"/>
                    </w:rPr>
                  </w:pPr>
                  <w:r>
                    <w:rPr>
                      <w:snapToGrid w:val="0"/>
                      <w:szCs w:val="18"/>
                      <w:highlight w:val="none"/>
                    </w:rPr>
                    <w:t>5</w:t>
                  </w:r>
                </w:p>
              </w:tc>
              <w:tc>
                <w:tcPr>
                  <w:tcW w:w="2725" w:type="pct"/>
                  <w:tcBorders>
                    <w:tl2br w:val="nil"/>
                    <w:tr2bl w:val="nil"/>
                  </w:tcBorders>
                  <w:vAlign w:val="center"/>
                </w:tcPr>
                <w:p>
                  <w:pPr>
                    <w:rPr>
                      <w:snapToGrid w:val="0"/>
                      <w:szCs w:val="18"/>
                      <w:highlight w:val="none"/>
                    </w:rPr>
                  </w:pPr>
                  <w:r>
                    <w:rPr>
                      <w:rFonts w:hint="eastAsia"/>
                      <w:snapToGrid w:val="0"/>
                      <w:szCs w:val="18"/>
                      <w:highlight w:val="none"/>
                    </w:rPr>
                    <w:t>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航道稳定以及保护生态环境以外的项目。禁止在《全国重要江河湖泊水功能区划》划定的河段保护区、保留区内投资建设不利于水资源及自然生态保护的项目。</w:t>
                  </w:r>
                </w:p>
              </w:tc>
              <w:tc>
                <w:tcPr>
                  <w:tcW w:w="1966" w:type="pct"/>
                  <w:tcBorders>
                    <w:tl2br w:val="nil"/>
                    <w:tr2bl w:val="nil"/>
                  </w:tcBorders>
                  <w:vAlign w:val="center"/>
                </w:tcPr>
                <w:p>
                  <w:pPr>
                    <w:jc w:val="center"/>
                    <w:rPr>
                      <w:snapToGrid w:val="0"/>
                      <w:szCs w:val="18"/>
                      <w:highlight w:val="none"/>
                    </w:rPr>
                  </w:pPr>
                  <w:r>
                    <w:rPr>
                      <w:rFonts w:hint="eastAsia"/>
                      <w:snapToGrid w:val="0"/>
                      <w:szCs w:val="18"/>
                      <w:highlight w:val="none"/>
                    </w:rPr>
                    <w:t>项目不属于划定的岸线保护区和保留区范围内，不属于划定的河段保护区、保留区，且不属于禁止的投资项目，符合。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547" w:hRule="atLeast"/>
                <w:jc w:val="center"/>
              </w:trPr>
              <w:tc>
                <w:tcPr>
                  <w:tcW w:w="309" w:type="pct"/>
                  <w:tcBorders>
                    <w:tl2br w:val="nil"/>
                    <w:tr2bl w:val="nil"/>
                  </w:tcBorders>
                  <w:vAlign w:val="center"/>
                </w:tcPr>
                <w:p>
                  <w:pPr>
                    <w:jc w:val="center"/>
                    <w:rPr>
                      <w:snapToGrid w:val="0"/>
                      <w:szCs w:val="18"/>
                      <w:highlight w:val="none"/>
                    </w:rPr>
                  </w:pPr>
                  <w:r>
                    <w:rPr>
                      <w:snapToGrid w:val="0"/>
                      <w:szCs w:val="18"/>
                      <w:highlight w:val="none"/>
                    </w:rPr>
                    <w:t>6</w:t>
                  </w:r>
                </w:p>
              </w:tc>
              <w:tc>
                <w:tcPr>
                  <w:tcW w:w="2725" w:type="pct"/>
                  <w:tcBorders>
                    <w:tl2br w:val="nil"/>
                    <w:tr2bl w:val="nil"/>
                  </w:tcBorders>
                  <w:vAlign w:val="center"/>
                </w:tcPr>
                <w:p>
                  <w:pPr>
                    <w:rPr>
                      <w:snapToGrid w:val="0"/>
                      <w:szCs w:val="18"/>
                      <w:highlight w:val="none"/>
                    </w:rPr>
                  </w:pPr>
                  <w:r>
                    <w:rPr>
                      <w:rFonts w:hint="eastAsia"/>
                      <w:snapToGrid w:val="0"/>
                      <w:szCs w:val="18"/>
                      <w:highlight w:val="none"/>
                    </w:rPr>
                    <w:t>禁止在生态保护红线和永久基本农田范围内投资建设除国家重点战略资源勘查项目、生态保护修复和环境治理项目、重大基础设施项目、军事国防项目以及农牧民基本生产生活等必要的民生项目以外的项目。</w:t>
                  </w:r>
                </w:p>
              </w:tc>
              <w:tc>
                <w:tcPr>
                  <w:tcW w:w="1966" w:type="pct"/>
                  <w:tcBorders>
                    <w:tl2br w:val="nil"/>
                    <w:tr2bl w:val="nil"/>
                  </w:tcBorders>
                  <w:vAlign w:val="center"/>
                </w:tcPr>
                <w:p>
                  <w:pPr>
                    <w:jc w:val="center"/>
                    <w:rPr>
                      <w:snapToGrid w:val="0"/>
                      <w:szCs w:val="18"/>
                      <w:highlight w:val="none"/>
                    </w:rPr>
                  </w:pPr>
                  <w:r>
                    <w:rPr>
                      <w:rFonts w:hint="eastAsia"/>
                      <w:snapToGrid w:val="0"/>
                      <w:szCs w:val="18"/>
                      <w:highlight w:val="none"/>
                    </w:rPr>
                    <w:t>项目不在生态保护红线和永久基本农田范围内，符合。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996" w:hRule="atLeast"/>
                <w:jc w:val="center"/>
              </w:trPr>
              <w:tc>
                <w:tcPr>
                  <w:tcW w:w="309" w:type="pct"/>
                  <w:tcBorders>
                    <w:tl2br w:val="nil"/>
                    <w:tr2bl w:val="nil"/>
                  </w:tcBorders>
                  <w:vAlign w:val="center"/>
                </w:tcPr>
                <w:p>
                  <w:pPr>
                    <w:jc w:val="center"/>
                    <w:rPr>
                      <w:snapToGrid w:val="0"/>
                      <w:szCs w:val="18"/>
                      <w:highlight w:val="none"/>
                    </w:rPr>
                  </w:pPr>
                  <w:r>
                    <w:rPr>
                      <w:snapToGrid w:val="0"/>
                      <w:szCs w:val="18"/>
                      <w:highlight w:val="none"/>
                    </w:rPr>
                    <w:t>7</w:t>
                  </w:r>
                </w:p>
              </w:tc>
              <w:tc>
                <w:tcPr>
                  <w:tcW w:w="2725" w:type="pct"/>
                  <w:tcBorders>
                    <w:tl2br w:val="nil"/>
                    <w:tr2bl w:val="nil"/>
                  </w:tcBorders>
                  <w:vAlign w:val="center"/>
                </w:tcPr>
                <w:p>
                  <w:pPr>
                    <w:rPr>
                      <w:snapToGrid w:val="0"/>
                      <w:szCs w:val="18"/>
                      <w:highlight w:val="none"/>
                    </w:rPr>
                  </w:pPr>
                  <w:r>
                    <w:rPr>
                      <w:rFonts w:hint="eastAsia"/>
                      <w:snapToGrid w:val="0"/>
                      <w:szCs w:val="18"/>
                      <w:highlight w:val="none"/>
                    </w:rPr>
                    <w:t>禁止在长江干支流1公里范围内新建、扩建化工园区和化工项目。禁止在合规园区外新建、扩建钢铁、石化、化工、焦化、建材、有色等高污染项目。</w:t>
                  </w:r>
                </w:p>
              </w:tc>
              <w:tc>
                <w:tcPr>
                  <w:tcW w:w="1966" w:type="pct"/>
                  <w:tcBorders>
                    <w:tl2br w:val="nil"/>
                    <w:tr2bl w:val="nil"/>
                  </w:tcBorders>
                  <w:vAlign w:val="center"/>
                </w:tcPr>
                <w:p>
                  <w:pPr>
                    <w:jc w:val="center"/>
                    <w:rPr>
                      <w:snapToGrid w:val="0"/>
                      <w:szCs w:val="18"/>
                      <w:highlight w:val="none"/>
                    </w:rPr>
                  </w:pPr>
                  <w:r>
                    <w:rPr>
                      <w:rFonts w:hint="eastAsia"/>
                      <w:snapToGrid w:val="0"/>
                      <w:szCs w:val="18"/>
                      <w:highlight w:val="none"/>
                    </w:rPr>
                    <w:t>项目不再长江干支流1公里范围内，且不属于钢铁、石化、化工、焦化、建材、有色等高污染项目，符合。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561" w:hRule="atLeast"/>
                <w:jc w:val="center"/>
              </w:trPr>
              <w:tc>
                <w:tcPr>
                  <w:tcW w:w="309" w:type="pct"/>
                  <w:tcBorders>
                    <w:tl2br w:val="nil"/>
                    <w:tr2bl w:val="nil"/>
                  </w:tcBorders>
                  <w:vAlign w:val="center"/>
                </w:tcPr>
                <w:p>
                  <w:pPr>
                    <w:jc w:val="center"/>
                    <w:rPr>
                      <w:snapToGrid w:val="0"/>
                      <w:szCs w:val="18"/>
                      <w:highlight w:val="none"/>
                    </w:rPr>
                  </w:pPr>
                  <w:r>
                    <w:rPr>
                      <w:snapToGrid w:val="0"/>
                      <w:szCs w:val="18"/>
                      <w:highlight w:val="none"/>
                    </w:rPr>
                    <w:t>8</w:t>
                  </w:r>
                </w:p>
              </w:tc>
              <w:tc>
                <w:tcPr>
                  <w:tcW w:w="2725" w:type="pct"/>
                  <w:tcBorders>
                    <w:tl2br w:val="nil"/>
                    <w:tr2bl w:val="nil"/>
                  </w:tcBorders>
                  <w:vAlign w:val="center"/>
                </w:tcPr>
                <w:p>
                  <w:pPr>
                    <w:rPr>
                      <w:snapToGrid w:val="0"/>
                      <w:szCs w:val="18"/>
                      <w:highlight w:val="none"/>
                    </w:rPr>
                  </w:pPr>
                  <w:r>
                    <w:rPr>
                      <w:rFonts w:hint="eastAsia"/>
                      <w:snapToGrid w:val="0"/>
                      <w:szCs w:val="18"/>
                      <w:highlight w:val="none"/>
                    </w:rPr>
                    <w:t>禁止新建、扩建不符合国家石化、现代煤化工等产业布局规划的项目。</w:t>
                  </w:r>
                </w:p>
              </w:tc>
              <w:tc>
                <w:tcPr>
                  <w:tcW w:w="1966" w:type="pct"/>
                  <w:tcBorders>
                    <w:tl2br w:val="nil"/>
                    <w:tr2bl w:val="nil"/>
                  </w:tcBorders>
                  <w:vAlign w:val="center"/>
                </w:tcPr>
                <w:p>
                  <w:pPr>
                    <w:jc w:val="center"/>
                    <w:rPr>
                      <w:snapToGrid w:val="0"/>
                      <w:szCs w:val="18"/>
                      <w:highlight w:val="none"/>
                    </w:rPr>
                  </w:pPr>
                  <w:r>
                    <w:rPr>
                      <w:rFonts w:hint="eastAsia"/>
                      <w:snapToGrid w:val="0"/>
                      <w:szCs w:val="18"/>
                      <w:highlight w:val="none"/>
                    </w:rPr>
                    <w:t>项目不属于石化、现代煤化工，符合。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571" w:hRule="atLeast"/>
                <w:jc w:val="center"/>
              </w:trPr>
              <w:tc>
                <w:tcPr>
                  <w:tcW w:w="309" w:type="pct"/>
                  <w:tcBorders>
                    <w:tl2br w:val="nil"/>
                    <w:tr2bl w:val="nil"/>
                  </w:tcBorders>
                  <w:vAlign w:val="center"/>
                </w:tcPr>
                <w:p>
                  <w:pPr>
                    <w:jc w:val="center"/>
                    <w:rPr>
                      <w:snapToGrid w:val="0"/>
                      <w:szCs w:val="18"/>
                      <w:highlight w:val="none"/>
                    </w:rPr>
                  </w:pPr>
                  <w:r>
                    <w:rPr>
                      <w:snapToGrid w:val="0"/>
                      <w:szCs w:val="18"/>
                      <w:highlight w:val="none"/>
                    </w:rPr>
                    <w:t>9</w:t>
                  </w:r>
                </w:p>
              </w:tc>
              <w:tc>
                <w:tcPr>
                  <w:tcW w:w="2725" w:type="pct"/>
                  <w:tcBorders>
                    <w:tl2br w:val="nil"/>
                    <w:tr2bl w:val="nil"/>
                  </w:tcBorders>
                  <w:vAlign w:val="center"/>
                </w:tcPr>
                <w:p>
                  <w:pPr>
                    <w:wordWrap w:val="0"/>
                    <w:rPr>
                      <w:snapToGrid w:val="0"/>
                      <w:szCs w:val="18"/>
                      <w:highlight w:val="none"/>
                    </w:rPr>
                  </w:pPr>
                  <w:r>
                    <w:rPr>
                      <w:rFonts w:hint="eastAsia"/>
                      <w:snapToGrid w:val="0"/>
                      <w:szCs w:val="18"/>
                      <w:highlight w:val="none"/>
                    </w:rPr>
                    <w:t>禁止新建、扩建法律法规和相关政策命令禁止的落后产能项目。</w:t>
                  </w:r>
                </w:p>
              </w:tc>
              <w:tc>
                <w:tcPr>
                  <w:tcW w:w="1966" w:type="pct"/>
                  <w:tcBorders>
                    <w:tl2br w:val="nil"/>
                    <w:tr2bl w:val="nil"/>
                  </w:tcBorders>
                  <w:vAlign w:val="center"/>
                </w:tcPr>
                <w:p>
                  <w:pPr>
                    <w:jc w:val="center"/>
                    <w:rPr>
                      <w:snapToGrid w:val="0"/>
                      <w:szCs w:val="18"/>
                      <w:highlight w:val="none"/>
                    </w:rPr>
                  </w:pPr>
                  <w:r>
                    <w:rPr>
                      <w:rFonts w:hint="eastAsia"/>
                      <w:snapToGrid w:val="0"/>
                      <w:szCs w:val="18"/>
                      <w:highlight w:val="none"/>
                    </w:rPr>
                    <w:t>对照国家和地方产业政策，项目属于鼓励类 ，不属于法律法规和相关政策命令禁止的落后产能项目，符合。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571" w:hRule="atLeast"/>
                <w:jc w:val="center"/>
              </w:trPr>
              <w:tc>
                <w:tcPr>
                  <w:tcW w:w="309" w:type="pct"/>
                  <w:tcBorders>
                    <w:tl2br w:val="nil"/>
                    <w:tr2bl w:val="nil"/>
                  </w:tcBorders>
                  <w:vAlign w:val="center"/>
                </w:tcPr>
                <w:p>
                  <w:pPr>
                    <w:jc w:val="center"/>
                    <w:rPr>
                      <w:snapToGrid w:val="0"/>
                      <w:szCs w:val="18"/>
                      <w:highlight w:val="none"/>
                    </w:rPr>
                  </w:pPr>
                  <w:r>
                    <w:rPr>
                      <w:snapToGrid w:val="0"/>
                      <w:szCs w:val="18"/>
                      <w:highlight w:val="none"/>
                    </w:rPr>
                    <w:t>10</w:t>
                  </w:r>
                </w:p>
              </w:tc>
              <w:tc>
                <w:tcPr>
                  <w:tcW w:w="2725" w:type="pct"/>
                  <w:tcBorders>
                    <w:tl2br w:val="nil"/>
                    <w:tr2bl w:val="nil"/>
                  </w:tcBorders>
                  <w:vAlign w:val="center"/>
                </w:tcPr>
                <w:p>
                  <w:pPr>
                    <w:rPr>
                      <w:snapToGrid w:val="0"/>
                      <w:szCs w:val="18"/>
                      <w:highlight w:val="none"/>
                    </w:rPr>
                  </w:pPr>
                  <w:r>
                    <w:rPr>
                      <w:rFonts w:hint="eastAsia"/>
                      <w:snapToGrid w:val="0"/>
                      <w:szCs w:val="18"/>
                      <w:highlight w:val="none"/>
                    </w:rPr>
                    <w:t>禁止新建、扩建不符合国家产能置换要求的严重过剩产能行业的项目。</w:t>
                  </w:r>
                </w:p>
              </w:tc>
              <w:tc>
                <w:tcPr>
                  <w:tcW w:w="1966" w:type="pct"/>
                  <w:tcBorders>
                    <w:tl2br w:val="nil"/>
                    <w:tr2bl w:val="nil"/>
                  </w:tcBorders>
                  <w:vAlign w:val="center"/>
                </w:tcPr>
                <w:p>
                  <w:pPr>
                    <w:jc w:val="center"/>
                    <w:rPr>
                      <w:snapToGrid w:val="0"/>
                      <w:szCs w:val="18"/>
                      <w:highlight w:val="none"/>
                    </w:rPr>
                  </w:pPr>
                  <w:r>
                    <w:rPr>
                      <w:rFonts w:hint="eastAsia"/>
                      <w:snapToGrid w:val="0"/>
                      <w:szCs w:val="18"/>
                      <w:highlight w:val="none"/>
                    </w:rPr>
                    <w:t>项目不属于严重过剩产能行业的项目，符合。</w:t>
                  </w:r>
                </w:p>
              </w:tc>
            </w:tr>
          </w:tbl>
          <w:p>
            <w:pPr>
              <w:pStyle w:val="19"/>
              <w:snapToGrid w:val="0"/>
              <w:spacing w:before="0" w:beforeAutospacing="0" w:after="0" w:afterAutospacing="0" w:line="460" w:lineRule="exact"/>
              <w:ind w:firstLine="480" w:firstLineChars="200"/>
              <w:rPr>
                <w:rFonts w:ascii="Times New Roman" w:hAnsi="Times New Roman"/>
                <w:szCs w:val="21"/>
                <w:highlight w:val="none"/>
              </w:rPr>
            </w:pPr>
            <w:r>
              <w:rPr>
                <w:rFonts w:ascii="Times New Roman" w:hAnsi="Times New Roman"/>
                <w:szCs w:val="21"/>
                <w:highlight w:val="none"/>
              </w:rPr>
              <w:t>综上，本项目符合“三线一单”要求。</w:t>
            </w:r>
          </w:p>
          <w:p>
            <w:pPr>
              <w:snapToGrid w:val="0"/>
              <w:spacing w:line="360" w:lineRule="auto"/>
              <w:ind w:firstLine="482" w:firstLineChars="200"/>
              <w:rPr>
                <w:b/>
                <w:bCs/>
                <w:sz w:val="24"/>
                <w:szCs w:val="21"/>
                <w:highlight w:val="none"/>
              </w:rPr>
            </w:pPr>
            <w:r>
              <w:rPr>
                <w:b/>
                <w:bCs/>
                <w:sz w:val="24"/>
                <w:szCs w:val="21"/>
                <w:highlight w:val="none"/>
              </w:rPr>
              <w:t>（3）与太湖、阳澄湖相关条例相符性分析</w:t>
            </w:r>
          </w:p>
          <w:p>
            <w:pPr>
              <w:spacing w:line="360" w:lineRule="auto"/>
              <w:ind w:firstLine="480" w:firstLineChars="200"/>
              <w:rPr>
                <w:sz w:val="24"/>
                <w:szCs w:val="21"/>
                <w:highlight w:val="none"/>
              </w:rPr>
            </w:pPr>
            <w:r>
              <w:rPr>
                <w:sz w:val="24"/>
                <w:szCs w:val="21"/>
                <w:highlight w:val="none"/>
              </w:rPr>
              <w:t>具体见下表。</w:t>
            </w:r>
          </w:p>
          <w:p>
            <w:pPr>
              <w:spacing w:line="360" w:lineRule="auto"/>
              <w:ind w:firstLine="482" w:firstLineChars="200"/>
              <w:jc w:val="center"/>
              <w:rPr>
                <w:b/>
                <w:sz w:val="24"/>
                <w:szCs w:val="21"/>
                <w:highlight w:val="none"/>
              </w:rPr>
            </w:pPr>
            <w:r>
              <w:rPr>
                <w:b/>
                <w:sz w:val="24"/>
                <w:szCs w:val="21"/>
                <w:highlight w:val="none"/>
              </w:rPr>
              <w:t>表1-7  与相关条例（太湖、阳澄湖）相符性分析</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3" w:type="dxa"/>
                <w:bottom w:w="0" w:type="dxa"/>
                <w:right w:w="23" w:type="dxa"/>
              </w:tblCellMar>
            </w:tblPr>
            <w:tblGrid>
              <w:gridCol w:w="942"/>
              <w:gridCol w:w="6105"/>
              <w:gridCol w:w="17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62" w:hRule="atLeast"/>
                <w:jc w:val="center"/>
              </w:trPr>
              <w:tc>
                <w:tcPr>
                  <w:tcW w:w="536" w:type="pct"/>
                  <w:vAlign w:val="center"/>
                </w:tcPr>
                <w:p>
                  <w:pPr>
                    <w:pStyle w:val="61"/>
                    <w:shd w:val="clear" w:color="auto" w:fill="auto"/>
                    <w:spacing w:after="0"/>
                    <w:jc w:val="center"/>
                    <w:rPr>
                      <w:rFonts w:ascii="Times New Roman" w:hAnsi="Times New Roman" w:eastAsia="宋体" w:cs="Times New Roman"/>
                      <w:b/>
                      <w:bCs/>
                      <w:color w:val="000000"/>
                      <w:sz w:val="21"/>
                      <w:szCs w:val="18"/>
                      <w:highlight w:val="none"/>
                      <w:lang w:bidi="zh-CN"/>
                    </w:rPr>
                  </w:pPr>
                  <w:r>
                    <w:rPr>
                      <w:rFonts w:ascii="Times New Roman" w:hAnsi="Times New Roman" w:eastAsia="宋体" w:cs="Times New Roman"/>
                      <w:b/>
                      <w:bCs/>
                      <w:color w:val="000000"/>
                      <w:sz w:val="21"/>
                      <w:szCs w:val="18"/>
                      <w:highlight w:val="none"/>
                      <w:lang w:bidi="zh-CN"/>
                    </w:rPr>
                    <w:t>条例名称</w:t>
                  </w:r>
                </w:p>
              </w:tc>
              <w:tc>
                <w:tcPr>
                  <w:tcW w:w="3474" w:type="pct"/>
                  <w:vAlign w:val="center"/>
                </w:tcPr>
                <w:p>
                  <w:pPr>
                    <w:pStyle w:val="61"/>
                    <w:shd w:val="clear" w:color="auto" w:fill="auto"/>
                    <w:spacing w:after="0"/>
                    <w:jc w:val="center"/>
                    <w:rPr>
                      <w:rFonts w:ascii="Times New Roman" w:hAnsi="Times New Roman" w:eastAsia="宋体" w:cs="Times New Roman"/>
                      <w:b/>
                      <w:bCs/>
                      <w:color w:val="000000"/>
                      <w:sz w:val="21"/>
                      <w:szCs w:val="18"/>
                      <w:highlight w:val="none"/>
                      <w:lang w:bidi="zh-CN"/>
                    </w:rPr>
                  </w:pPr>
                  <w:r>
                    <w:rPr>
                      <w:rFonts w:ascii="Times New Roman" w:hAnsi="Times New Roman" w:eastAsia="宋体" w:cs="Times New Roman"/>
                      <w:b/>
                      <w:bCs/>
                      <w:color w:val="000000"/>
                      <w:sz w:val="21"/>
                      <w:szCs w:val="18"/>
                      <w:highlight w:val="none"/>
                      <w:lang w:bidi="zh-CN"/>
                    </w:rPr>
                    <w:t>条例内容</w:t>
                  </w:r>
                </w:p>
              </w:tc>
              <w:tc>
                <w:tcPr>
                  <w:tcW w:w="990" w:type="pct"/>
                  <w:vAlign w:val="center"/>
                </w:tcPr>
                <w:p>
                  <w:pPr>
                    <w:pStyle w:val="61"/>
                    <w:shd w:val="clear" w:color="auto" w:fill="auto"/>
                    <w:spacing w:after="0"/>
                    <w:jc w:val="center"/>
                    <w:rPr>
                      <w:rFonts w:ascii="Times New Roman" w:hAnsi="Times New Roman" w:eastAsia="宋体" w:cs="Times New Roman"/>
                      <w:b/>
                      <w:bCs/>
                      <w:color w:val="000000"/>
                      <w:sz w:val="21"/>
                      <w:szCs w:val="18"/>
                      <w:highlight w:val="none"/>
                      <w:lang w:bidi="zh-CN"/>
                    </w:rPr>
                  </w:pPr>
                  <w:r>
                    <w:rPr>
                      <w:rFonts w:ascii="Times New Roman" w:hAnsi="Times New Roman" w:eastAsia="宋体" w:cs="Times New Roman"/>
                      <w:b/>
                      <w:bCs/>
                      <w:color w:val="000000"/>
                      <w:sz w:val="21"/>
                      <w:szCs w:val="18"/>
                      <w:highlight w:val="none"/>
                      <w:lang w:bidi="zh-CN"/>
                    </w:rPr>
                    <w:t>相符性分析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2069" w:hRule="atLeast"/>
                <w:jc w:val="center"/>
              </w:trPr>
              <w:tc>
                <w:tcPr>
                  <w:tcW w:w="536" w:type="pct"/>
                  <w:vAlign w:val="center"/>
                </w:tcPr>
                <w:p>
                  <w:pPr>
                    <w:pStyle w:val="61"/>
                    <w:shd w:val="clear" w:color="auto" w:fill="auto"/>
                    <w:spacing w:after="0"/>
                    <w:jc w:val="center"/>
                    <w:rPr>
                      <w:rFonts w:ascii="Times New Roman" w:hAnsi="Times New Roman" w:eastAsia="宋体" w:cs="Times New Roman"/>
                      <w:bCs/>
                      <w:color w:val="000000"/>
                      <w:sz w:val="21"/>
                      <w:szCs w:val="18"/>
                      <w:highlight w:val="none"/>
                    </w:rPr>
                  </w:pPr>
                  <w:r>
                    <w:rPr>
                      <w:rFonts w:ascii="Times New Roman" w:hAnsi="Times New Roman" w:eastAsia="宋体" w:cs="Times New Roman"/>
                      <w:bCs/>
                      <w:color w:val="000000"/>
                      <w:sz w:val="21"/>
                      <w:szCs w:val="18"/>
                      <w:highlight w:val="none"/>
                    </w:rPr>
                    <w:t>《太湖流域管理条例》（2011年）</w:t>
                  </w:r>
                </w:p>
              </w:tc>
              <w:tc>
                <w:tcPr>
                  <w:tcW w:w="3474" w:type="pct"/>
                  <w:vAlign w:val="center"/>
                </w:tcPr>
                <w:p>
                  <w:pPr>
                    <w:jc w:val="left"/>
                    <w:rPr>
                      <w:bCs/>
                      <w:color w:val="000000"/>
                      <w:szCs w:val="18"/>
                      <w:highlight w:val="none"/>
                    </w:rPr>
                  </w:pPr>
                  <w:r>
                    <w:rPr>
                      <w:bCs/>
                      <w:color w:val="000000"/>
                      <w:szCs w:val="18"/>
                      <w:highlight w:val="none"/>
                    </w:rPr>
                    <w:t>第二十八条，排污单位排放水污染物，不得超过经核定的水污染物排放总量，并应当按照规定设置便于检查、采样的规范化排污口，悬挂标志牌；不得私设暗管或者采取其他规避监管的方式排放水污染物。</w:t>
                  </w:r>
                </w:p>
                <w:p>
                  <w:pPr>
                    <w:jc w:val="left"/>
                    <w:rPr>
                      <w:bCs/>
                      <w:color w:val="000000"/>
                      <w:szCs w:val="18"/>
                      <w:highlight w:val="none"/>
                    </w:rPr>
                  </w:pPr>
                  <w:r>
                    <w:rPr>
                      <w:bCs/>
                      <w:color w:val="000000"/>
                      <w:szCs w:val="18"/>
                      <w:highlight w:val="none"/>
                    </w:rPr>
                    <w:t>禁止在太湖流域设置不符合国家产业政策和水环境综合治理要求的造纸、制革、酒精、淀粉、冶金、酿造、印染、电镀等排放水污染物的生产项目，现有的生产项目不能实现达标排放的，应当依法关闭。</w:t>
                  </w:r>
                </w:p>
              </w:tc>
              <w:tc>
                <w:tcPr>
                  <w:tcW w:w="990" w:type="pct"/>
                  <w:vAlign w:val="center"/>
                </w:tcPr>
                <w:p>
                  <w:pPr>
                    <w:jc w:val="center"/>
                    <w:rPr>
                      <w:bCs/>
                      <w:color w:val="000000"/>
                      <w:szCs w:val="18"/>
                      <w:highlight w:val="none"/>
                    </w:rPr>
                  </w:pPr>
                  <w:r>
                    <w:rPr>
                      <w:bCs/>
                      <w:color w:val="000000"/>
                      <w:szCs w:val="18"/>
                      <w:highlight w:val="none"/>
                    </w:rPr>
                    <w:t>本项目不属于造纸、制革、酒精、淀粉、冶金、酿造、印染、电镀等行业，且项目按照要求设立排污口，与《太湖流域管理条例》相符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283" w:hRule="atLeast"/>
                <w:jc w:val="center"/>
              </w:trPr>
              <w:tc>
                <w:tcPr>
                  <w:tcW w:w="536" w:type="pct"/>
                  <w:vAlign w:val="center"/>
                </w:tcPr>
                <w:p>
                  <w:pPr>
                    <w:pStyle w:val="61"/>
                    <w:shd w:val="clear" w:color="auto" w:fill="auto"/>
                    <w:spacing w:after="0"/>
                    <w:jc w:val="center"/>
                    <w:rPr>
                      <w:rFonts w:ascii="Times New Roman" w:hAnsi="Times New Roman" w:eastAsia="宋体" w:cs="Times New Roman"/>
                      <w:bCs/>
                      <w:color w:val="000000"/>
                      <w:sz w:val="21"/>
                      <w:szCs w:val="18"/>
                      <w:highlight w:val="none"/>
                    </w:rPr>
                  </w:pPr>
                  <w:r>
                    <w:rPr>
                      <w:rFonts w:ascii="Times New Roman" w:hAnsi="Times New Roman" w:eastAsia="宋体" w:cs="Times New Roman"/>
                      <w:bCs/>
                      <w:color w:val="000000"/>
                      <w:sz w:val="21"/>
                      <w:szCs w:val="18"/>
                      <w:highlight w:val="none"/>
                    </w:rPr>
                    <w:t>《江苏省太湖水污染防治条例》（2018年）</w:t>
                  </w:r>
                </w:p>
              </w:tc>
              <w:tc>
                <w:tcPr>
                  <w:tcW w:w="3474" w:type="pct"/>
                  <w:vAlign w:val="center"/>
                </w:tcPr>
                <w:p>
                  <w:pPr>
                    <w:jc w:val="left"/>
                    <w:rPr>
                      <w:bCs/>
                      <w:color w:val="000000"/>
                      <w:szCs w:val="18"/>
                      <w:highlight w:val="none"/>
                    </w:rPr>
                  </w:pPr>
                  <w:r>
                    <w:rPr>
                      <w:bCs/>
                      <w:color w:val="000000"/>
                      <w:szCs w:val="18"/>
                      <w:highlight w:val="none"/>
                    </w:rPr>
                    <w:t>“第四十三条 太湖流域一、二、三级保护区禁止下列行为：</w:t>
                  </w:r>
                </w:p>
                <w:p>
                  <w:pPr>
                    <w:jc w:val="left"/>
                    <w:rPr>
                      <w:bCs/>
                      <w:color w:val="000000"/>
                      <w:szCs w:val="18"/>
                      <w:highlight w:val="none"/>
                    </w:rPr>
                  </w:pPr>
                  <w:r>
                    <w:rPr>
                      <w:bCs/>
                      <w:color w:val="000000"/>
                      <w:szCs w:val="18"/>
                      <w:highlight w:val="none"/>
                    </w:rPr>
                    <w:t>（一）新建、改建、扩建化学制浆造纸、制革、酿造、染料、印染、电镀以及其他排放含磷、氮等污染物的企业和项目，城镇污水集中处理等环境基础设施项目和第四十六条规定的情形除外；</w:t>
                  </w:r>
                </w:p>
                <w:p>
                  <w:pPr>
                    <w:jc w:val="left"/>
                    <w:rPr>
                      <w:bCs/>
                      <w:color w:val="000000"/>
                      <w:szCs w:val="18"/>
                      <w:highlight w:val="none"/>
                    </w:rPr>
                  </w:pPr>
                  <w:r>
                    <w:rPr>
                      <w:bCs/>
                      <w:color w:val="000000"/>
                      <w:szCs w:val="18"/>
                      <w:highlight w:val="none"/>
                    </w:rPr>
                    <w:t>（二）销售、使用含磷洗涤用品；</w:t>
                  </w:r>
                </w:p>
                <w:p>
                  <w:pPr>
                    <w:jc w:val="left"/>
                    <w:rPr>
                      <w:bCs/>
                      <w:color w:val="000000"/>
                      <w:szCs w:val="18"/>
                      <w:highlight w:val="none"/>
                    </w:rPr>
                  </w:pPr>
                  <w:r>
                    <w:rPr>
                      <w:bCs/>
                      <w:color w:val="000000"/>
                      <w:szCs w:val="18"/>
                      <w:highlight w:val="none"/>
                    </w:rPr>
                    <w:t>（三）向水体排放或者倾倒油类、酸液、碱液、剧毒废渣废液、含放射性废渣废液、含病原体污水、工业废渣以及其他废弃物；</w:t>
                  </w:r>
                </w:p>
                <w:p>
                  <w:pPr>
                    <w:jc w:val="left"/>
                    <w:rPr>
                      <w:bCs/>
                      <w:color w:val="000000"/>
                      <w:szCs w:val="18"/>
                      <w:highlight w:val="none"/>
                    </w:rPr>
                  </w:pPr>
                  <w:r>
                    <w:rPr>
                      <w:bCs/>
                      <w:color w:val="000000"/>
                      <w:szCs w:val="18"/>
                      <w:highlight w:val="none"/>
                    </w:rPr>
                    <w:t>（四）在水体清洗装贮过油类或者有毒有害污染物的车辆、船舶和容器等；</w:t>
                  </w:r>
                </w:p>
                <w:p>
                  <w:pPr>
                    <w:jc w:val="left"/>
                    <w:rPr>
                      <w:bCs/>
                      <w:color w:val="000000"/>
                      <w:szCs w:val="18"/>
                      <w:highlight w:val="none"/>
                    </w:rPr>
                  </w:pPr>
                  <w:r>
                    <w:rPr>
                      <w:bCs/>
                      <w:color w:val="000000"/>
                      <w:szCs w:val="18"/>
                      <w:highlight w:val="none"/>
                    </w:rPr>
                    <w:t>（五）使用农药等有毒物毒杀水生生物；</w:t>
                  </w:r>
                </w:p>
                <w:p>
                  <w:pPr>
                    <w:jc w:val="left"/>
                    <w:rPr>
                      <w:bCs/>
                      <w:color w:val="000000"/>
                      <w:szCs w:val="18"/>
                      <w:highlight w:val="none"/>
                    </w:rPr>
                  </w:pPr>
                  <w:r>
                    <w:rPr>
                      <w:bCs/>
                      <w:color w:val="000000"/>
                      <w:szCs w:val="18"/>
                      <w:highlight w:val="none"/>
                    </w:rPr>
                    <w:t>（六）向水体直接排放人畜粪便、倾倒垃圾；</w:t>
                  </w:r>
                </w:p>
                <w:p>
                  <w:pPr>
                    <w:jc w:val="left"/>
                    <w:rPr>
                      <w:bCs/>
                      <w:color w:val="000000"/>
                      <w:szCs w:val="18"/>
                      <w:highlight w:val="none"/>
                    </w:rPr>
                  </w:pPr>
                  <w:r>
                    <w:rPr>
                      <w:bCs/>
                      <w:color w:val="000000"/>
                      <w:szCs w:val="18"/>
                      <w:highlight w:val="none"/>
                    </w:rPr>
                    <w:t>（七）围湖造地；</w:t>
                  </w:r>
                </w:p>
                <w:p>
                  <w:pPr>
                    <w:jc w:val="left"/>
                    <w:rPr>
                      <w:bCs/>
                      <w:color w:val="000000"/>
                      <w:szCs w:val="18"/>
                      <w:highlight w:val="none"/>
                    </w:rPr>
                  </w:pPr>
                  <w:r>
                    <w:rPr>
                      <w:bCs/>
                      <w:color w:val="000000"/>
                      <w:szCs w:val="18"/>
                      <w:highlight w:val="none"/>
                    </w:rPr>
                    <w:t>（八）违法开山采石，或者进行破坏林木、植被、水生生物的活动；</w:t>
                  </w:r>
                </w:p>
                <w:p>
                  <w:pPr>
                    <w:jc w:val="left"/>
                    <w:rPr>
                      <w:bCs/>
                      <w:color w:val="000000"/>
                      <w:szCs w:val="18"/>
                      <w:highlight w:val="none"/>
                    </w:rPr>
                  </w:pPr>
                  <w:r>
                    <w:rPr>
                      <w:bCs/>
                      <w:color w:val="000000"/>
                      <w:szCs w:val="18"/>
                      <w:highlight w:val="none"/>
                    </w:rPr>
                    <w:t>（九）法律、法规禁止的其他行为。”</w:t>
                  </w:r>
                </w:p>
              </w:tc>
              <w:tc>
                <w:tcPr>
                  <w:tcW w:w="990" w:type="pct"/>
                  <w:vAlign w:val="center"/>
                </w:tcPr>
                <w:p>
                  <w:pPr>
                    <w:jc w:val="center"/>
                    <w:rPr>
                      <w:bCs/>
                      <w:color w:val="000000"/>
                      <w:szCs w:val="18"/>
                      <w:highlight w:val="none"/>
                    </w:rPr>
                  </w:pPr>
                  <w:r>
                    <w:rPr>
                      <w:bCs/>
                      <w:color w:val="000000"/>
                      <w:szCs w:val="18"/>
                      <w:highlight w:val="none"/>
                    </w:rPr>
                    <w:t>本项目属于太湖三级保护区，本项目不涉及电镀、印染、冶炼（含焦化）等项目，本项目不外排含氮磷生产废水，符合《江苏省太湖水污染防治条例》（2018修正）相关要求。</w:t>
                  </w:r>
                </w:p>
              </w:tc>
            </w:tr>
          </w:tbl>
          <w:p>
            <w:pPr>
              <w:spacing w:line="360" w:lineRule="auto"/>
              <w:ind w:firstLine="482" w:firstLineChars="200"/>
              <w:rPr>
                <w:b/>
                <w:bCs/>
                <w:sz w:val="24"/>
                <w:szCs w:val="21"/>
                <w:highlight w:val="none"/>
              </w:rPr>
            </w:pPr>
            <w:bookmarkStart w:id="3" w:name="_Hlk3538689"/>
            <w:r>
              <w:rPr>
                <w:b/>
                <w:bCs/>
                <w:sz w:val="24"/>
                <w:szCs w:val="21"/>
                <w:highlight w:val="none"/>
              </w:rPr>
              <w:t>（4）与省政府关于印发江苏省“三线一单”生态环境分区管控方案的通知（苏政发〔2020〕49号）相符性分析</w:t>
            </w:r>
          </w:p>
          <w:p>
            <w:pPr>
              <w:spacing w:line="460" w:lineRule="exact"/>
              <w:ind w:firstLine="480"/>
              <w:rPr>
                <w:color w:val="000000"/>
                <w:sz w:val="24"/>
                <w:szCs w:val="21"/>
                <w:highlight w:val="none"/>
              </w:rPr>
            </w:pPr>
            <w:r>
              <w:rPr>
                <w:color w:val="000000"/>
                <w:sz w:val="24"/>
                <w:szCs w:val="21"/>
                <w:highlight w:val="none"/>
              </w:rPr>
              <w:t>对照《江苏省“三线一单”生态环境分区管控方案》（苏政发〔2020〕49号）文件，本项目属于太湖流域，为重点管控区域，对照江苏省重点区域（流域）生态环境分区管控要求，具体分析如下表。</w:t>
            </w:r>
          </w:p>
          <w:p>
            <w:pPr>
              <w:pStyle w:val="57"/>
              <w:jc w:val="center"/>
              <w:rPr>
                <w:b/>
                <w:color w:val="auto"/>
                <w:szCs w:val="21"/>
                <w:highlight w:val="none"/>
              </w:rPr>
            </w:pPr>
            <w:r>
              <w:rPr>
                <w:b/>
                <w:color w:val="auto"/>
                <w:szCs w:val="21"/>
                <w:highlight w:val="none"/>
              </w:rPr>
              <w:t>表1-8  与江苏省重点区域（流域）生态环境分区管控要求相符性</w:t>
            </w:r>
          </w:p>
          <w:tbl>
            <w:tblPr>
              <w:tblStyle w:val="22"/>
              <w:tblW w:w="4998" w:type="pct"/>
              <w:jc w:val="center"/>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Layout w:type="autofit"/>
              <w:tblCellMar>
                <w:top w:w="0" w:type="dxa"/>
                <w:left w:w="23" w:type="dxa"/>
                <w:bottom w:w="0" w:type="dxa"/>
                <w:right w:w="23" w:type="dxa"/>
              </w:tblCellMar>
            </w:tblPr>
            <w:tblGrid>
              <w:gridCol w:w="1003"/>
              <w:gridCol w:w="5433"/>
              <w:gridCol w:w="2347"/>
            </w:tblGrid>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23" w:type="dxa"/>
                  <w:bottom w:w="0" w:type="dxa"/>
                  <w:right w:w="23" w:type="dxa"/>
                </w:tblCellMar>
              </w:tblPrEx>
              <w:trPr>
                <w:jc w:val="center"/>
              </w:trPr>
              <w:tc>
                <w:tcPr>
                  <w:tcW w:w="571" w:type="pct"/>
                  <w:vAlign w:val="center"/>
                </w:tcPr>
                <w:p>
                  <w:pPr>
                    <w:adjustRightInd w:val="0"/>
                    <w:snapToGrid w:val="0"/>
                    <w:jc w:val="center"/>
                    <w:rPr>
                      <w:b/>
                      <w:bCs/>
                      <w:color w:val="000000"/>
                      <w:kern w:val="0"/>
                      <w:szCs w:val="18"/>
                      <w:highlight w:val="none"/>
                    </w:rPr>
                  </w:pPr>
                  <w:r>
                    <w:rPr>
                      <w:b/>
                      <w:bCs/>
                      <w:color w:val="000000"/>
                      <w:kern w:val="0"/>
                      <w:szCs w:val="18"/>
                      <w:highlight w:val="none"/>
                    </w:rPr>
                    <w:t>管控类别</w:t>
                  </w:r>
                </w:p>
              </w:tc>
              <w:tc>
                <w:tcPr>
                  <w:tcW w:w="3093" w:type="pct"/>
                  <w:vAlign w:val="center"/>
                </w:tcPr>
                <w:p>
                  <w:pPr>
                    <w:adjustRightInd w:val="0"/>
                    <w:snapToGrid w:val="0"/>
                    <w:jc w:val="center"/>
                    <w:rPr>
                      <w:b/>
                      <w:bCs/>
                      <w:color w:val="000000"/>
                      <w:kern w:val="0"/>
                      <w:szCs w:val="18"/>
                      <w:highlight w:val="none"/>
                    </w:rPr>
                  </w:pPr>
                  <w:r>
                    <w:rPr>
                      <w:b/>
                      <w:bCs/>
                      <w:color w:val="000000"/>
                      <w:kern w:val="0"/>
                      <w:szCs w:val="18"/>
                      <w:highlight w:val="none"/>
                    </w:rPr>
                    <w:t>重点管控要求</w:t>
                  </w:r>
                </w:p>
              </w:tc>
              <w:tc>
                <w:tcPr>
                  <w:tcW w:w="1335" w:type="pct"/>
                  <w:vAlign w:val="center"/>
                </w:tcPr>
                <w:p>
                  <w:pPr>
                    <w:adjustRightInd w:val="0"/>
                    <w:snapToGrid w:val="0"/>
                    <w:jc w:val="center"/>
                    <w:rPr>
                      <w:b/>
                      <w:bCs/>
                      <w:color w:val="000000"/>
                      <w:kern w:val="0"/>
                      <w:szCs w:val="18"/>
                      <w:highlight w:val="none"/>
                    </w:rPr>
                  </w:pPr>
                  <w:r>
                    <w:rPr>
                      <w:b/>
                      <w:bCs/>
                      <w:color w:val="000000"/>
                      <w:kern w:val="0"/>
                      <w:szCs w:val="18"/>
                      <w:highlight w:val="none"/>
                    </w:rPr>
                    <w:t>相符性分析</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23" w:type="dxa"/>
                  <w:bottom w:w="0" w:type="dxa"/>
                  <w:right w:w="23" w:type="dxa"/>
                </w:tblCellMar>
              </w:tblPrEx>
              <w:trPr>
                <w:jc w:val="center"/>
              </w:trPr>
              <w:tc>
                <w:tcPr>
                  <w:tcW w:w="5000" w:type="pct"/>
                  <w:gridSpan w:val="3"/>
                  <w:vAlign w:val="center"/>
                </w:tcPr>
                <w:p>
                  <w:pPr>
                    <w:adjustRightInd w:val="0"/>
                    <w:snapToGrid w:val="0"/>
                    <w:jc w:val="center"/>
                    <w:rPr>
                      <w:b/>
                      <w:bCs/>
                      <w:color w:val="000000"/>
                      <w:kern w:val="0"/>
                      <w:szCs w:val="18"/>
                      <w:highlight w:val="none"/>
                    </w:rPr>
                  </w:pPr>
                  <w:r>
                    <w:rPr>
                      <w:b/>
                      <w:bCs/>
                      <w:color w:val="000000"/>
                      <w:kern w:val="0"/>
                      <w:szCs w:val="18"/>
                      <w:highlight w:val="none"/>
                    </w:rPr>
                    <w:t xml:space="preserve">太湖流域 </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23" w:type="dxa"/>
                  <w:bottom w:w="0" w:type="dxa"/>
                  <w:right w:w="23" w:type="dxa"/>
                </w:tblCellMar>
              </w:tblPrEx>
              <w:trPr>
                <w:jc w:val="center"/>
              </w:trPr>
              <w:tc>
                <w:tcPr>
                  <w:tcW w:w="571" w:type="pct"/>
                  <w:vAlign w:val="center"/>
                </w:tcPr>
                <w:p>
                  <w:pPr>
                    <w:pStyle w:val="57"/>
                    <w:jc w:val="center"/>
                    <w:rPr>
                      <w:sz w:val="21"/>
                      <w:szCs w:val="18"/>
                      <w:highlight w:val="none"/>
                    </w:rPr>
                  </w:pPr>
                  <w:r>
                    <w:rPr>
                      <w:sz w:val="21"/>
                      <w:szCs w:val="18"/>
                      <w:highlight w:val="none"/>
                    </w:rPr>
                    <w:t>空间布局约束</w:t>
                  </w:r>
                </w:p>
              </w:tc>
              <w:tc>
                <w:tcPr>
                  <w:tcW w:w="3093" w:type="pct"/>
                  <w:vAlign w:val="center"/>
                </w:tcPr>
                <w:p>
                  <w:pPr>
                    <w:pStyle w:val="57"/>
                    <w:jc w:val="both"/>
                    <w:rPr>
                      <w:sz w:val="21"/>
                      <w:szCs w:val="18"/>
                      <w:highlight w:val="none"/>
                    </w:rPr>
                  </w:pPr>
                  <w:r>
                    <w:rPr>
                      <w:sz w:val="21"/>
                      <w:szCs w:val="18"/>
                      <w:highlight w:val="none"/>
                    </w:rPr>
                    <w:t>1．在太湖流域一、二、三级保护区，禁止新建、改建、扩建化学制浆造纸、制革、酿造、染料、印染、电镀以及其他排放含磷、氮等污染物的企业和项目，城镇污水集中处理等环境基础设施项目和《江苏省太湖水污染防治条例》第四十六条规定的情形除外。 2．在太湖流域一级保护区，禁止新建、扩建向水体排放污染物的建设项目，禁止新建、扩建畜禽养殖场，禁止新建、扩建高尔夫球场、水上游乐等开发项目以及设置水上餐饮经营设施。 3．在太湖流域二级保护区，禁止新建、扩建化工、医药生产项目，禁止新建、扩建污水集中处理设施排污口以外的排污口。</w:t>
                  </w:r>
                </w:p>
              </w:tc>
              <w:tc>
                <w:tcPr>
                  <w:tcW w:w="1335" w:type="pct"/>
                  <w:vAlign w:val="center"/>
                </w:tcPr>
                <w:p>
                  <w:pPr>
                    <w:adjustRightInd w:val="0"/>
                    <w:snapToGrid w:val="0"/>
                    <w:jc w:val="center"/>
                    <w:rPr>
                      <w:color w:val="000000"/>
                      <w:kern w:val="0"/>
                      <w:szCs w:val="18"/>
                      <w:highlight w:val="none"/>
                    </w:rPr>
                  </w:pPr>
                  <w:r>
                    <w:rPr>
                      <w:szCs w:val="18"/>
                      <w:highlight w:val="none"/>
                    </w:rPr>
                    <w:t>本项目位于太湖重要保护区三级保护区范围内，不属于化学制浆造纸、制革、酿造、染料、印染、电镀以及其他排放含磷、氮等污染物的企业和项目。</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23" w:type="dxa"/>
                  <w:bottom w:w="0" w:type="dxa"/>
                  <w:right w:w="23" w:type="dxa"/>
                </w:tblCellMar>
              </w:tblPrEx>
              <w:trPr>
                <w:jc w:val="center"/>
              </w:trPr>
              <w:tc>
                <w:tcPr>
                  <w:tcW w:w="571" w:type="pct"/>
                  <w:vAlign w:val="center"/>
                </w:tcPr>
                <w:p>
                  <w:pPr>
                    <w:pStyle w:val="57"/>
                    <w:jc w:val="center"/>
                    <w:rPr>
                      <w:sz w:val="21"/>
                      <w:szCs w:val="18"/>
                      <w:highlight w:val="none"/>
                    </w:rPr>
                  </w:pPr>
                  <w:r>
                    <w:rPr>
                      <w:sz w:val="21"/>
                      <w:szCs w:val="18"/>
                      <w:highlight w:val="none"/>
                    </w:rPr>
                    <w:t>污染物排放管控</w:t>
                  </w:r>
                </w:p>
              </w:tc>
              <w:tc>
                <w:tcPr>
                  <w:tcW w:w="3093" w:type="pct"/>
                  <w:vAlign w:val="center"/>
                </w:tcPr>
                <w:p>
                  <w:pPr>
                    <w:pStyle w:val="57"/>
                    <w:jc w:val="both"/>
                    <w:rPr>
                      <w:sz w:val="21"/>
                      <w:szCs w:val="18"/>
                      <w:highlight w:val="none"/>
                    </w:rPr>
                  </w:pPr>
                  <w:r>
                    <w:rPr>
                      <w:sz w:val="21"/>
                      <w:szCs w:val="18"/>
                      <w:highlight w:val="none"/>
                    </w:rPr>
                    <w:t>城镇污水处理厂、纺织工业、化学工业、造纸工业、钢铁工业、电镀工业和食品工业的污水处理设施执行《太湖地区城镇污水处理厂及重点工业行业主要水污染物排放限值》。</w:t>
                  </w:r>
                </w:p>
              </w:tc>
              <w:tc>
                <w:tcPr>
                  <w:tcW w:w="1335" w:type="pct"/>
                  <w:vAlign w:val="center"/>
                </w:tcPr>
                <w:p>
                  <w:pPr>
                    <w:adjustRightInd w:val="0"/>
                    <w:snapToGrid w:val="0"/>
                    <w:jc w:val="center"/>
                    <w:rPr>
                      <w:color w:val="000000"/>
                      <w:kern w:val="0"/>
                      <w:szCs w:val="18"/>
                      <w:highlight w:val="none"/>
                    </w:rPr>
                  </w:pPr>
                  <w:r>
                    <w:rPr>
                      <w:szCs w:val="18"/>
                      <w:highlight w:val="none"/>
                      <w:lang w:bidi="zh-CN"/>
                    </w:rPr>
                    <w:t>本项目属于</w:t>
                  </w:r>
                  <w:r>
                    <w:rPr>
                      <w:rFonts w:hint="eastAsia"/>
                      <w:szCs w:val="18"/>
                      <w:highlight w:val="none"/>
                      <w:lang w:bidi="zh-CN"/>
                    </w:rPr>
                    <w:t>医疗仪器设备及器械制造</w:t>
                  </w:r>
                  <w:r>
                    <w:rPr>
                      <w:szCs w:val="18"/>
                      <w:highlight w:val="none"/>
                      <w:lang w:bidi="zh-CN"/>
                    </w:rPr>
                    <w:t>，</w:t>
                  </w:r>
                  <w:r>
                    <w:rPr>
                      <w:rFonts w:hint="eastAsia"/>
                      <w:szCs w:val="18"/>
                      <w:highlight w:val="none"/>
                      <w:lang w:bidi="zh-CN"/>
                    </w:rPr>
                    <w:t>废水为生活污水和冷却废水。生活污水和冷却废水经市政污水管网排入科技城水质净化厂处理，处理达标后尾水排入京杭大运河</w:t>
                  </w:r>
                  <w:r>
                    <w:rPr>
                      <w:szCs w:val="18"/>
                      <w:highlight w:val="none"/>
                      <w:lang w:bidi="zh-CN"/>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23" w:type="dxa"/>
                  <w:bottom w:w="0" w:type="dxa"/>
                  <w:right w:w="23" w:type="dxa"/>
                </w:tblCellMar>
              </w:tblPrEx>
              <w:trPr>
                <w:jc w:val="center"/>
              </w:trPr>
              <w:tc>
                <w:tcPr>
                  <w:tcW w:w="571" w:type="pct"/>
                  <w:vAlign w:val="center"/>
                </w:tcPr>
                <w:p>
                  <w:pPr>
                    <w:pStyle w:val="57"/>
                    <w:jc w:val="center"/>
                    <w:rPr>
                      <w:sz w:val="21"/>
                      <w:szCs w:val="18"/>
                      <w:highlight w:val="none"/>
                    </w:rPr>
                  </w:pPr>
                  <w:r>
                    <w:rPr>
                      <w:sz w:val="21"/>
                      <w:szCs w:val="18"/>
                      <w:highlight w:val="none"/>
                    </w:rPr>
                    <w:t>环境风险防控</w:t>
                  </w:r>
                </w:p>
              </w:tc>
              <w:tc>
                <w:tcPr>
                  <w:tcW w:w="3093" w:type="pct"/>
                  <w:vAlign w:val="center"/>
                </w:tcPr>
                <w:p>
                  <w:pPr>
                    <w:pStyle w:val="57"/>
                    <w:numPr>
                      <w:ilvl w:val="0"/>
                      <w:numId w:val="1"/>
                    </w:numPr>
                    <w:jc w:val="both"/>
                    <w:rPr>
                      <w:sz w:val="21"/>
                      <w:szCs w:val="18"/>
                      <w:highlight w:val="none"/>
                    </w:rPr>
                  </w:pPr>
                  <w:r>
                    <w:rPr>
                      <w:sz w:val="21"/>
                      <w:szCs w:val="18"/>
                      <w:highlight w:val="none"/>
                    </w:rPr>
                    <w:t>运输剧毒物质、危险化学品的船舶不得进入太湖。</w:t>
                  </w:r>
                </w:p>
                <w:p>
                  <w:pPr>
                    <w:pStyle w:val="57"/>
                    <w:numPr>
                      <w:ilvl w:val="0"/>
                      <w:numId w:val="1"/>
                    </w:numPr>
                    <w:jc w:val="both"/>
                    <w:rPr>
                      <w:sz w:val="21"/>
                      <w:szCs w:val="18"/>
                      <w:highlight w:val="none"/>
                    </w:rPr>
                  </w:pPr>
                  <w:r>
                    <w:rPr>
                      <w:sz w:val="21"/>
                      <w:szCs w:val="18"/>
                      <w:highlight w:val="none"/>
                    </w:rPr>
                    <w:t>禁止向太湖流域水体排放或者倾倒油类、酸液、碱液、剧毒废渣废液、含放射性废渣废液、含病原体污水、工业废渣以及其他废弃物。</w:t>
                  </w:r>
                </w:p>
                <w:p>
                  <w:pPr>
                    <w:pStyle w:val="57"/>
                    <w:jc w:val="both"/>
                    <w:rPr>
                      <w:sz w:val="21"/>
                      <w:szCs w:val="18"/>
                      <w:highlight w:val="none"/>
                    </w:rPr>
                  </w:pPr>
                  <w:r>
                    <w:rPr>
                      <w:sz w:val="21"/>
                      <w:szCs w:val="18"/>
                      <w:highlight w:val="none"/>
                    </w:rPr>
                    <w:t>3．加强太湖流域生态环境风险应急管控，着力提高防控太湖蓝藻水华风险预警和应急处置能力。</w:t>
                  </w:r>
                </w:p>
              </w:tc>
              <w:tc>
                <w:tcPr>
                  <w:tcW w:w="1335" w:type="pct"/>
                  <w:vAlign w:val="center"/>
                </w:tcPr>
                <w:p>
                  <w:pPr>
                    <w:adjustRightInd w:val="0"/>
                    <w:snapToGrid w:val="0"/>
                    <w:jc w:val="center"/>
                    <w:rPr>
                      <w:color w:val="000000"/>
                      <w:kern w:val="0"/>
                      <w:szCs w:val="18"/>
                      <w:highlight w:val="none"/>
                    </w:rPr>
                  </w:pPr>
                  <w:r>
                    <w:rPr>
                      <w:color w:val="000000"/>
                      <w:kern w:val="0"/>
                      <w:szCs w:val="18"/>
                      <w:highlight w:val="none"/>
                    </w:rPr>
                    <w:t>本项目不涉及上述违法行为。</w:t>
                  </w:r>
                </w:p>
              </w:tc>
            </w:tr>
          </w:tbl>
          <w:p>
            <w:pPr>
              <w:spacing w:line="360" w:lineRule="auto"/>
              <w:ind w:firstLine="480" w:firstLineChars="200"/>
              <w:rPr>
                <w:color w:val="000000"/>
                <w:sz w:val="24"/>
                <w:szCs w:val="21"/>
                <w:highlight w:val="none"/>
              </w:rPr>
            </w:pPr>
            <w:r>
              <w:rPr>
                <w:color w:val="000000"/>
                <w:sz w:val="24"/>
                <w:szCs w:val="21"/>
                <w:highlight w:val="none"/>
              </w:rPr>
              <w:t>综上所述，本项目的建设符合《省政府关于印发江苏省“三线一单”生态环境分区管控方案的通知》（苏政发[2020]49号）的相关要求。</w:t>
            </w:r>
          </w:p>
          <w:p>
            <w:pPr>
              <w:spacing w:line="360" w:lineRule="auto"/>
              <w:ind w:firstLine="482" w:firstLineChars="200"/>
              <w:rPr>
                <w:b/>
                <w:bCs/>
                <w:color w:val="000000"/>
                <w:sz w:val="24"/>
                <w:szCs w:val="21"/>
                <w:highlight w:val="none"/>
              </w:rPr>
            </w:pPr>
            <w:r>
              <w:rPr>
                <w:b/>
                <w:bCs/>
                <w:color w:val="000000"/>
                <w:sz w:val="24"/>
                <w:szCs w:val="21"/>
                <w:highlight w:val="none"/>
              </w:rPr>
              <w:t>（5）与关于印发《苏州市“三线一单”生态环境分区管控实施方案》苏环办字[2020]313号的通知相符性分析</w:t>
            </w:r>
          </w:p>
          <w:p>
            <w:pPr>
              <w:spacing w:line="360" w:lineRule="auto"/>
              <w:ind w:firstLine="480" w:firstLineChars="200"/>
              <w:rPr>
                <w:color w:val="000000"/>
                <w:sz w:val="24"/>
                <w:szCs w:val="21"/>
                <w:highlight w:val="none"/>
              </w:rPr>
            </w:pPr>
            <w:r>
              <w:rPr>
                <w:color w:val="000000"/>
                <w:sz w:val="24"/>
                <w:szCs w:val="21"/>
                <w:highlight w:val="none"/>
              </w:rPr>
              <w:t>对照《苏州市“三线一单”生态环境分区管控实施方案》苏环办字[2020]313号文件，本项目地分属管控单元见下表。</w:t>
            </w:r>
          </w:p>
          <w:p>
            <w:pPr>
              <w:ind w:firstLine="482" w:firstLineChars="200"/>
              <w:jc w:val="center"/>
              <w:rPr>
                <w:b/>
                <w:bCs/>
                <w:color w:val="000000"/>
                <w:sz w:val="24"/>
                <w:szCs w:val="21"/>
                <w:highlight w:val="none"/>
              </w:rPr>
            </w:pPr>
            <w:r>
              <w:rPr>
                <w:b/>
                <w:bCs/>
                <w:color w:val="000000"/>
                <w:sz w:val="24"/>
                <w:szCs w:val="21"/>
                <w:highlight w:val="none"/>
              </w:rPr>
              <w:t>表1-9   苏州</w:t>
            </w:r>
            <w:r>
              <w:rPr>
                <w:rFonts w:hint="eastAsia"/>
                <w:b/>
                <w:bCs/>
                <w:color w:val="000000"/>
                <w:sz w:val="24"/>
                <w:szCs w:val="21"/>
                <w:highlight w:val="none"/>
              </w:rPr>
              <w:t>高新</w:t>
            </w:r>
            <w:r>
              <w:rPr>
                <w:b/>
                <w:bCs/>
                <w:color w:val="000000"/>
                <w:sz w:val="24"/>
                <w:szCs w:val="21"/>
                <w:highlight w:val="none"/>
              </w:rPr>
              <w:t>区环境管控单元名录</w:t>
            </w:r>
          </w:p>
          <w:tbl>
            <w:tblPr>
              <w:tblStyle w:val="22"/>
              <w:tblW w:w="4997" w:type="pct"/>
              <w:jc w:val="center"/>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Layout w:type="autofit"/>
              <w:tblCellMar>
                <w:top w:w="0" w:type="dxa"/>
                <w:left w:w="0" w:type="dxa"/>
                <w:bottom w:w="0" w:type="dxa"/>
                <w:right w:w="0" w:type="dxa"/>
              </w:tblCellMar>
            </w:tblPr>
            <w:tblGrid>
              <w:gridCol w:w="550"/>
              <w:gridCol w:w="615"/>
              <w:gridCol w:w="3594"/>
              <w:gridCol w:w="3270"/>
              <w:gridCol w:w="753"/>
            </w:tblGrid>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0" w:type="dxa"/>
                  <w:bottom w:w="0" w:type="dxa"/>
                  <w:right w:w="0" w:type="dxa"/>
                </w:tblCellMar>
              </w:tblPrEx>
              <w:trPr>
                <w:jc w:val="center"/>
              </w:trPr>
              <w:tc>
                <w:tcPr>
                  <w:tcW w:w="313" w:type="pct"/>
                  <w:shd w:val="clear" w:color="auto" w:fill="auto"/>
                  <w:vAlign w:val="center"/>
                </w:tcPr>
                <w:p>
                  <w:pPr>
                    <w:adjustRightInd w:val="0"/>
                    <w:snapToGrid w:val="0"/>
                    <w:jc w:val="center"/>
                    <w:rPr>
                      <w:b/>
                      <w:bCs/>
                      <w:color w:val="000000"/>
                      <w:kern w:val="0"/>
                      <w:szCs w:val="18"/>
                      <w:highlight w:val="none"/>
                    </w:rPr>
                  </w:pPr>
                  <w:r>
                    <w:rPr>
                      <w:b/>
                      <w:bCs/>
                      <w:color w:val="000000"/>
                      <w:kern w:val="0"/>
                      <w:szCs w:val="18"/>
                      <w:highlight w:val="none"/>
                    </w:rPr>
                    <w:t>区域</w:t>
                  </w:r>
                </w:p>
              </w:tc>
              <w:tc>
                <w:tcPr>
                  <w:tcW w:w="350" w:type="pct"/>
                  <w:shd w:val="clear" w:color="auto" w:fill="auto"/>
                  <w:vAlign w:val="center"/>
                </w:tcPr>
                <w:p>
                  <w:pPr>
                    <w:adjustRightInd w:val="0"/>
                    <w:snapToGrid w:val="0"/>
                    <w:jc w:val="center"/>
                    <w:rPr>
                      <w:b/>
                      <w:bCs/>
                      <w:color w:val="000000"/>
                      <w:kern w:val="0"/>
                      <w:szCs w:val="18"/>
                      <w:highlight w:val="none"/>
                    </w:rPr>
                  </w:pPr>
                  <w:r>
                    <w:rPr>
                      <w:b/>
                      <w:bCs/>
                      <w:color w:val="000000"/>
                      <w:kern w:val="0"/>
                      <w:szCs w:val="18"/>
                      <w:highlight w:val="none"/>
                    </w:rPr>
                    <w:t>单元总数</w:t>
                  </w:r>
                </w:p>
              </w:tc>
              <w:tc>
                <w:tcPr>
                  <w:tcW w:w="2046" w:type="pct"/>
                  <w:shd w:val="clear" w:color="auto" w:fill="auto"/>
                  <w:vAlign w:val="center"/>
                </w:tcPr>
                <w:p>
                  <w:pPr>
                    <w:adjustRightInd w:val="0"/>
                    <w:snapToGrid w:val="0"/>
                    <w:jc w:val="center"/>
                    <w:rPr>
                      <w:b/>
                      <w:bCs/>
                      <w:color w:val="000000"/>
                      <w:kern w:val="0"/>
                      <w:szCs w:val="18"/>
                      <w:highlight w:val="none"/>
                    </w:rPr>
                  </w:pPr>
                  <w:r>
                    <w:rPr>
                      <w:b/>
                      <w:bCs/>
                      <w:color w:val="000000"/>
                      <w:kern w:val="0"/>
                      <w:szCs w:val="18"/>
                      <w:highlight w:val="none"/>
                    </w:rPr>
                    <w:t>优先保护单元</w:t>
                  </w:r>
                </w:p>
              </w:tc>
              <w:tc>
                <w:tcPr>
                  <w:tcW w:w="1862" w:type="pct"/>
                  <w:shd w:val="clear" w:color="auto" w:fill="F1F1F1"/>
                  <w:vAlign w:val="center"/>
                </w:tcPr>
                <w:p>
                  <w:pPr>
                    <w:adjustRightInd w:val="0"/>
                    <w:snapToGrid w:val="0"/>
                    <w:jc w:val="center"/>
                    <w:rPr>
                      <w:b/>
                      <w:bCs/>
                      <w:color w:val="000000"/>
                      <w:kern w:val="0"/>
                      <w:szCs w:val="18"/>
                      <w:highlight w:val="none"/>
                    </w:rPr>
                  </w:pPr>
                  <w:r>
                    <w:rPr>
                      <w:b/>
                      <w:bCs/>
                      <w:color w:val="000000"/>
                      <w:kern w:val="0"/>
                      <w:szCs w:val="18"/>
                      <w:highlight w:val="none"/>
                    </w:rPr>
                    <w:t>重点管控单元</w:t>
                  </w:r>
                </w:p>
              </w:tc>
              <w:tc>
                <w:tcPr>
                  <w:tcW w:w="429" w:type="pct"/>
                  <w:vAlign w:val="center"/>
                </w:tcPr>
                <w:p>
                  <w:pPr>
                    <w:adjustRightInd w:val="0"/>
                    <w:snapToGrid w:val="0"/>
                    <w:jc w:val="center"/>
                    <w:rPr>
                      <w:b/>
                      <w:bCs/>
                      <w:color w:val="000000"/>
                      <w:kern w:val="0"/>
                      <w:szCs w:val="18"/>
                      <w:highlight w:val="none"/>
                    </w:rPr>
                  </w:pPr>
                  <w:r>
                    <w:rPr>
                      <w:b/>
                      <w:bCs/>
                      <w:color w:val="000000"/>
                      <w:kern w:val="0"/>
                      <w:szCs w:val="18"/>
                      <w:highlight w:val="none"/>
                    </w:rPr>
                    <w:t>一般管控单元</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0" w:type="dxa"/>
                  <w:bottom w:w="0" w:type="dxa"/>
                  <w:right w:w="0" w:type="dxa"/>
                </w:tblCellMar>
              </w:tblPrEx>
              <w:trPr>
                <w:jc w:val="center"/>
              </w:trPr>
              <w:tc>
                <w:tcPr>
                  <w:tcW w:w="313" w:type="pct"/>
                  <w:shd w:val="clear" w:color="auto" w:fill="auto"/>
                  <w:vAlign w:val="center"/>
                </w:tcPr>
                <w:p>
                  <w:pPr>
                    <w:adjustRightInd w:val="0"/>
                    <w:snapToGrid w:val="0"/>
                    <w:jc w:val="center"/>
                    <w:rPr>
                      <w:color w:val="000000"/>
                      <w:kern w:val="0"/>
                      <w:szCs w:val="18"/>
                      <w:highlight w:val="none"/>
                    </w:rPr>
                  </w:pPr>
                  <w:r>
                    <w:rPr>
                      <w:rFonts w:hint="eastAsia"/>
                      <w:color w:val="000000"/>
                      <w:kern w:val="0"/>
                      <w:szCs w:val="18"/>
                      <w:highlight w:val="none"/>
                    </w:rPr>
                    <w:t>高新区</w:t>
                  </w:r>
                </w:p>
              </w:tc>
              <w:tc>
                <w:tcPr>
                  <w:tcW w:w="350" w:type="pct"/>
                  <w:shd w:val="clear" w:color="auto" w:fill="auto"/>
                  <w:vAlign w:val="center"/>
                </w:tcPr>
                <w:p>
                  <w:pPr>
                    <w:adjustRightInd w:val="0"/>
                    <w:snapToGrid w:val="0"/>
                    <w:jc w:val="center"/>
                    <w:rPr>
                      <w:color w:val="000000"/>
                      <w:kern w:val="0"/>
                      <w:szCs w:val="18"/>
                      <w:highlight w:val="none"/>
                    </w:rPr>
                  </w:pPr>
                  <w:r>
                    <w:rPr>
                      <w:color w:val="000000"/>
                      <w:kern w:val="0"/>
                      <w:szCs w:val="18"/>
                      <w:highlight w:val="none"/>
                    </w:rPr>
                    <w:t>15个</w:t>
                  </w:r>
                </w:p>
              </w:tc>
              <w:tc>
                <w:tcPr>
                  <w:tcW w:w="2046" w:type="pct"/>
                  <w:shd w:val="clear" w:color="auto" w:fill="auto"/>
                  <w:vAlign w:val="center"/>
                </w:tcPr>
                <w:p>
                  <w:pPr>
                    <w:adjustRightInd w:val="0"/>
                    <w:snapToGrid w:val="0"/>
                    <w:rPr>
                      <w:color w:val="000000"/>
                      <w:kern w:val="0"/>
                      <w:szCs w:val="18"/>
                      <w:highlight w:val="none"/>
                    </w:rPr>
                  </w:pPr>
                  <w:r>
                    <w:rPr>
                      <w:rFonts w:hint="eastAsia"/>
                      <w:color w:val="000000"/>
                      <w:kern w:val="0"/>
                      <w:szCs w:val="18"/>
                      <w:highlight w:val="none"/>
                    </w:rPr>
                    <w:t>共计</w:t>
                  </w:r>
                  <w:r>
                    <w:rPr>
                      <w:color w:val="000000"/>
                      <w:kern w:val="0"/>
                      <w:szCs w:val="18"/>
                      <w:highlight w:val="none"/>
                    </w:rPr>
                    <w:t>14</w:t>
                  </w:r>
                  <w:r>
                    <w:rPr>
                      <w:rFonts w:hint="eastAsia"/>
                      <w:color w:val="000000"/>
                      <w:kern w:val="0"/>
                      <w:szCs w:val="18"/>
                      <w:highlight w:val="none"/>
                    </w:rPr>
                    <w:t>个</w:t>
                  </w:r>
                </w:p>
                <w:p>
                  <w:pPr>
                    <w:adjustRightInd w:val="0"/>
                    <w:snapToGrid w:val="0"/>
                    <w:rPr>
                      <w:color w:val="000000"/>
                      <w:kern w:val="0"/>
                      <w:szCs w:val="18"/>
                      <w:highlight w:val="none"/>
                    </w:rPr>
                  </w:pPr>
                  <w:r>
                    <w:rPr>
                      <w:rFonts w:hint="eastAsia"/>
                      <w:color w:val="000000"/>
                      <w:kern w:val="0"/>
                      <w:szCs w:val="18"/>
                      <w:highlight w:val="none"/>
                    </w:rPr>
                    <w:t>太湖金墅港饮用水水源保护区、太湖镇湖饮用水水源保护区、太湖梅鲚河蚬国家级水产种质资源保护区{生态保护红线)、太湖梅鲚河蚬国家级水产种质资源保护区(生态空间管控区)、苏州太湖国家湿地公园(生态保护红线)、苏州太湖国家湿地公园(生态空间管控区)、太湖重要湿地(高新区)、江苏大阳山国家级森林公园、玉屏山(高新区)生态公益林、西塘河清水通道维护区(高新区)、太湖(高新区)重要保护区、上方山国家级森林公园*、太湖国家级风景名胜区木渎景区*、太湖国家级风景名胜区石湖景区(姑苏区、高新区)</w:t>
                  </w:r>
                  <w:r>
                    <w:rPr>
                      <w:color w:val="000000"/>
                      <w:kern w:val="0"/>
                      <w:szCs w:val="18"/>
                      <w:highlight w:val="none"/>
                    </w:rPr>
                    <w:t>*</w:t>
                  </w:r>
                </w:p>
              </w:tc>
              <w:tc>
                <w:tcPr>
                  <w:tcW w:w="1862" w:type="pct"/>
                  <w:shd w:val="clear" w:color="auto" w:fill="F1F1F1"/>
                  <w:vAlign w:val="center"/>
                </w:tcPr>
                <w:p>
                  <w:pPr>
                    <w:adjustRightInd w:val="0"/>
                    <w:snapToGrid w:val="0"/>
                    <w:rPr>
                      <w:color w:val="000000"/>
                      <w:kern w:val="0"/>
                      <w:szCs w:val="18"/>
                      <w:highlight w:val="none"/>
                    </w:rPr>
                  </w:pPr>
                  <w:r>
                    <w:rPr>
                      <w:rFonts w:hint="eastAsia"/>
                      <w:color w:val="000000"/>
                      <w:kern w:val="0"/>
                      <w:szCs w:val="18"/>
                      <w:highlight w:val="none"/>
                    </w:rPr>
                    <w:t>共计</w:t>
                  </w:r>
                  <w:r>
                    <w:rPr>
                      <w:color w:val="000000"/>
                      <w:kern w:val="0"/>
                      <w:szCs w:val="18"/>
                      <w:highlight w:val="none"/>
                    </w:rPr>
                    <w:t>1</w:t>
                  </w:r>
                  <w:r>
                    <w:rPr>
                      <w:rFonts w:hint="eastAsia"/>
                      <w:color w:val="000000"/>
                      <w:kern w:val="0"/>
                      <w:szCs w:val="18"/>
                      <w:highlight w:val="none"/>
                    </w:rPr>
                    <w:t>个</w:t>
                  </w:r>
                </w:p>
                <w:p>
                  <w:pPr>
                    <w:adjustRightInd w:val="0"/>
                    <w:snapToGrid w:val="0"/>
                    <w:rPr>
                      <w:color w:val="000000"/>
                      <w:kern w:val="0"/>
                      <w:szCs w:val="18"/>
                      <w:highlight w:val="none"/>
                    </w:rPr>
                  </w:pPr>
                  <w:r>
                    <w:rPr>
                      <w:rFonts w:hint="eastAsia"/>
                      <w:color w:val="000000"/>
                      <w:kern w:val="0"/>
                      <w:szCs w:val="18"/>
                      <w:highlight w:val="none"/>
                    </w:rPr>
                    <w:t>苏州国家高新技术产业开发区(含苏州浒墅关经济开发区、苏州高新技术产业开发区综合保税区)</w:t>
                  </w:r>
                </w:p>
              </w:tc>
              <w:tc>
                <w:tcPr>
                  <w:tcW w:w="429" w:type="pct"/>
                  <w:vAlign w:val="center"/>
                </w:tcPr>
                <w:p>
                  <w:pPr>
                    <w:adjustRightInd w:val="0"/>
                    <w:snapToGrid w:val="0"/>
                    <w:jc w:val="center"/>
                    <w:rPr>
                      <w:color w:val="000000"/>
                      <w:kern w:val="0"/>
                      <w:szCs w:val="18"/>
                      <w:highlight w:val="none"/>
                    </w:rPr>
                  </w:pPr>
                  <w:r>
                    <w:rPr>
                      <w:rFonts w:hint="eastAsia"/>
                      <w:color w:val="000000"/>
                      <w:kern w:val="0"/>
                      <w:szCs w:val="18"/>
                      <w:highlight w:val="none"/>
                    </w:rPr>
                    <w:t>/</w:t>
                  </w:r>
                </w:p>
              </w:tc>
            </w:tr>
          </w:tbl>
          <w:p>
            <w:pPr>
              <w:spacing w:line="360" w:lineRule="auto"/>
              <w:ind w:firstLine="480" w:firstLineChars="200"/>
              <w:rPr>
                <w:color w:val="000000"/>
                <w:sz w:val="24"/>
                <w:szCs w:val="21"/>
                <w:highlight w:val="none"/>
              </w:rPr>
            </w:pPr>
            <w:r>
              <w:rPr>
                <w:color w:val="000000"/>
                <w:sz w:val="24"/>
                <w:szCs w:val="21"/>
                <w:highlight w:val="none"/>
              </w:rPr>
              <w:t>本项目位于</w:t>
            </w:r>
            <w:r>
              <w:rPr>
                <w:sz w:val="24"/>
                <w:szCs w:val="21"/>
                <w:highlight w:val="none"/>
              </w:rPr>
              <w:t>苏州市</w:t>
            </w:r>
            <w:r>
              <w:rPr>
                <w:rFonts w:hint="eastAsia"/>
                <w:sz w:val="24"/>
                <w:szCs w:val="21"/>
                <w:highlight w:val="none"/>
              </w:rPr>
              <w:t>苏州高新区科技城华佗路12号2号楼</w:t>
            </w:r>
            <w:r>
              <w:rPr>
                <w:color w:val="000000"/>
                <w:sz w:val="24"/>
                <w:szCs w:val="21"/>
                <w:highlight w:val="none"/>
              </w:rPr>
              <w:t>，</w:t>
            </w:r>
            <w:r>
              <w:rPr>
                <w:rFonts w:hint="eastAsia"/>
                <w:color w:val="000000"/>
                <w:sz w:val="24"/>
                <w:szCs w:val="21"/>
                <w:highlight w:val="none"/>
              </w:rPr>
              <w:t>位于苏州国家高新技术产业开发区(含苏州浒墅关经济开发区、苏州高新技术产业开发区综合保税区)</w:t>
            </w:r>
            <w:r>
              <w:rPr>
                <w:color w:val="000000"/>
                <w:sz w:val="24"/>
                <w:szCs w:val="21"/>
                <w:highlight w:val="none"/>
              </w:rPr>
              <w:t>根据文件，属于苏州市重点</w:t>
            </w:r>
            <w:r>
              <w:rPr>
                <w:rFonts w:hint="eastAsia"/>
                <w:color w:val="000000"/>
                <w:sz w:val="24"/>
                <w:szCs w:val="21"/>
                <w:highlight w:val="none"/>
              </w:rPr>
              <w:t>管控</w:t>
            </w:r>
            <w:r>
              <w:rPr>
                <w:color w:val="000000"/>
                <w:sz w:val="24"/>
                <w:szCs w:val="21"/>
                <w:highlight w:val="none"/>
              </w:rPr>
              <w:t>单元。</w:t>
            </w:r>
          </w:p>
          <w:p>
            <w:pPr>
              <w:spacing w:line="360" w:lineRule="auto"/>
              <w:ind w:firstLine="480" w:firstLineChars="200"/>
              <w:rPr>
                <w:color w:val="000000"/>
                <w:sz w:val="24"/>
                <w:szCs w:val="21"/>
                <w:highlight w:val="none"/>
              </w:rPr>
            </w:pPr>
            <w:r>
              <w:rPr>
                <w:color w:val="000000"/>
                <w:sz w:val="24"/>
                <w:szCs w:val="21"/>
                <w:highlight w:val="none"/>
              </w:rPr>
              <w:t>对照苏州市重点保护单元</w:t>
            </w:r>
            <w:r>
              <w:rPr>
                <w:rFonts w:hint="eastAsia"/>
                <w:color w:val="000000"/>
                <w:sz w:val="24"/>
                <w:szCs w:val="21"/>
                <w:highlight w:val="none"/>
              </w:rPr>
              <w:t>（省级以上产业园区（4</w:t>
            </w:r>
            <w:r>
              <w:rPr>
                <w:color w:val="000000"/>
                <w:sz w:val="24"/>
                <w:szCs w:val="21"/>
                <w:highlight w:val="none"/>
              </w:rPr>
              <w:t>1</w:t>
            </w:r>
            <w:r>
              <w:rPr>
                <w:rFonts w:hint="eastAsia"/>
                <w:color w:val="000000"/>
                <w:sz w:val="24"/>
                <w:szCs w:val="21"/>
                <w:highlight w:val="none"/>
              </w:rPr>
              <w:t>个））的</w:t>
            </w:r>
            <w:r>
              <w:rPr>
                <w:color w:val="000000"/>
                <w:sz w:val="24"/>
                <w:szCs w:val="21"/>
                <w:highlight w:val="none"/>
              </w:rPr>
              <w:t>生态环境准入清单，具体分析如下表。</w:t>
            </w:r>
          </w:p>
          <w:p>
            <w:pPr>
              <w:pStyle w:val="57"/>
              <w:jc w:val="center"/>
              <w:rPr>
                <w:b/>
                <w:color w:val="auto"/>
                <w:szCs w:val="21"/>
                <w:highlight w:val="none"/>
              </w:rPr>
            </w:pPr>
            <w:r>
              <w:rPr>
                <w:b/>
                <w:color w:val="auto"/>
                <w:szCs w:val="21"/>
                <w:highlight w:val="none"/>
              </w:rPr>
              <w:t>表1-10  与苏州市重点管控单元生态环境准入清单相符性分析</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Layout w:type="autofit"/>
              <w:tblCellMar>
                <w:top w:w="0" w:type="dxa"/>
                <w:left w:w="23" w:type="dxa"/>
                <w:bottom w:w="0" w:type="dxa"/>
                <w:right w:w="23" w:type="dxa"/>
              </w:tblCellMar>
            </w:tblPr>
            <w:tblGrid>
              <w:gridCol w:w="1005"/>
              <w:gridCol w:w="5045"/>
              <w:gridCol w:w="2737"/>
            </w:tblGrid>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23" w:type="dxa"/>
                  <w:bottom w:w="0" w:type="dxa"/>
                  <w:right w:w="23" w:type="dxa"/>
                </w:tblCellMar>
              </w:tblPrEx>
              <w:trPr>
                <w:jc w:val="center"/>
              </w:trPr>
              <w:tc>
                <w:tcPr>
                  <w:tcW w:w="572" w:type="pct"/>
                  <w:vAlign w:val="center"/>
                </w:tcPr>
                <w:p>
                  <w:pPr>
                    <w:adjustRightInd w:val="0"/>
                    <w:snapToGrid w:val="0"/>
                    <w:jc w:val="center"/>
                    <w:rPr>
                      <w:b/>
                      <w:bCs/>
                      <w:color w:val="000000"/>
                      <w:kern w:val="0"/>
                      <w:szCs w:val="18"/>
                      <w:highlight w:val="none"/>
                    </w:rPr>
                  </w:pPr>
                  <w:r>
                    <w:rPr>
                      <w:b/>
                      <w:bCs/>
                      <w:color w:val="000000"/>
                      <w:kern w:val="0"/>
                      <w:szCs w:val="18"/>
                      <w:highlight w:val="none"/>
                    </w:rPr>
                    <w:t>管控类别</w:t>
                  </w:r>
                </w:p>
              </w:tc>
              <w:tc>
                <w:tcPr>
                  <w:tcW w:w="2871" w:type="pct"/>
                  <w:vAlign w:val="center"/>
                </w:tcPr>
                <w:p>
                  <w:pPr>
                    <w:adjustRightInd w:val="0"/>
                    <w:snapToGrid w:val="0"/>
                    <w:jc w:val="center"/>
                    <w:rPr>
                      <w:b/>
                      <w:bCs/>
                      <w:color w:val="000000"/>
                      <w:kern w:val="0"/>
                      <w:szCs w:val="18"/>
                      <w:highlight w:val="none"/>
                    </w:rPr>
                  </w:pPr>
                  <w:r>
                    <w:rPr>
                      <w:b/>
                      <w:bCs/>
                      <w:color w:val="000000"/>
                      <w:kern w:val="0"/>
                      <w:szCs w:val="18"/>
                      <w:highlight w:val="none"/>
                    </w:rPr>
                    <w:t>重点管控要求</w:t>
                  </w:r>
                </w:p>
              </w:tc>
              <w:tc>
                <w:tcPr>
                  <w:tcW w:w="1557" w:type="pct"/>
                  <w:vAlign w:val="center"/>
                </w:tcPr>
                <w:p>
                  <w:pPr>
                    <w:adjustRightInd w:val="0"/>
                    <w:snapToGrid w:val="0"/>
                    <w:jc w:val="center"/>
                    <w:rPr>
                      <w:b/>
                      <w:bCs/>
                      <w:color w:val="000000"/>
                      <w:kern w:val="0"/>
                      <w:szCs w:val="18"/>
                      <w:highlight w:val="none"/>
                    </w:rPr>
                  </w:pPr>
                  <w:r>
                    <w:rPr>
                      <w:b/>
                      <w:bCs/>
                      <w:color w:val="000000"/>
                      <w:kern w:val="0"/>
                      <w:szCs w:val="18"/>
                      <w:highlight w:val="none"/>
                    </w:rPr>
                    <w:t>相符性分析</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23" w:type="dxa"/>
                  <w:bottom w:w="0" w:type="dxa"/>
                  <w:right w:w="23" w:type="dxa"/>
                </w:tblCellMar>
              </w:tblPrEx>
              <w:trPr>
                <w:jc w:val="center"/>
              </w:trPr>
              <w:tc>
                <w:tcPr>
                  <w:tcW w:w="572" w:type="pct"/>
                  <w:vAlign w:val="center"/>
                </w:tcPr>
                <w:p>
                  <w:pPr>
                    <w:adjustRightInd w:val="0"/>
                    <w:snapToGrid w:val="0"/>
                    <w:jc w:val="center"/>
                    <w:rPr>
                      <w:color w:val="000000"/>
                      <w:kern w:val="0"/>
                      <w:szCs w:val="18"/>
                      <w:highlight w:val="none"/>
                    </w:rPr>
                  </w:pPr>
                  <w:r>
                    <w:rPr>
                      <w:color w:val="000000"/>
                      <w:kern w:val="0"/>
                      <w:szCs w:val="18"/>
                      <w:highlight w:val="none"/>
                    </w:rPr>
                    <w:t>空间布局约束</w:t>
                  </w:r>
                </w:p>
              </w:tc>
              <w:tc>
                <w:tcPr>
                  <w:tcW w:w="2871" w:type="pct"/>
                  <w:vAlign w:val="center"/>
                </w:tcPr>
                <w:p>
                  <w:pPr>
                    <w:adjustRightInd w:val="0"/>
                    <w:snapToGrid w:val="0"/>
                    <w:jc w:val="left"/>
                    <w:rPr>
                      <w:color w:val="000000"/>
                      <w:kern w:val="0"/>
                      <w:szCs w:val="18"/>
                      <w:highlight w:val="none"/>
                    </w:rPr>
                  </w:pPr>
                  <w:r>
                    <w:rPr>
                      <w:color w:val="000000"/>
                      <w:kern w:val="0"/>
                      <w:szCs w:val="18"/>
                      <w:highlight w:val="none"/>
                    </w:rPr>
                    <w:t>（1）禁止引进列入《产业结构调整指导目录》《江苏省工业和信息产业结构调整指导目录》《江苏省工业和信息产业结构调整、限制、淘汰目录及能耗限额》淘汰类的产业；禁止引进列入《外商投资产业指导目录》禁止类的产业。</w:t>
                  </w:r>
                </w:p>
                <w:p>
                  <w:pPr>
                    <w:adjustRightInd w:val="0"/>
                    <w:snapToGrid w:val="0"/>
                    <w:jc w:val="left"/>
                    <w:rPr>
                      <w:color w:val="000000"/>
                      <w:kern w:val="0"/>
                      <w:szCs w:val="18"/>
                      <w:highlight w:val="none"/>
                    </w:rPr>
                  </w:pPr>
                  <w:r>
                    <w:rPr>
                      <w:rFonts w:hint="eastAsia"/>
                      <w:color w:val="000000"/>
                      <w:kern w:val="0"/>
                      <w:szCs w:val="18"/>
                      <w:highlight w:val="none"/>
                    </w:rPr>
                    <w:t>（2）严格执行园区总体规划及规划环评中的提出的空间布局和产业准入要求，禁止引进不符合园区产业定位的项目。</w:t>
                  </w:r>
                </w:p>
                <w:p>
                  <w:pPr>
                    <w:adjustRightInd w:val="0"/>
                    <w:snapToGrid w:val="0"/>
                    <w:jc w:val="left"/>
                    <w:rPr>
                      <w:color w:val="000000"/>
                      <w:kern w:val="0"/>
                      <w:szCs w:val="18"/>
                      <w:highlight w:val="none"/>
                    </w:rPr>
                  </w:pPr>
                  <w:r>
                    <w:rPr>
                      <w:color w:val="000000"/>
                      <w:kern w:val="0"/>
                      <w:szCs w:val="18"/>
                      <w:highlight w:val="none"/>
                    </w:rPr>
                    <w:t>（3）严格执行《江苏省太湖水污染防治条例》的分级保护要求，禁止引进不符合《条例》要求的项目。</w:t>
                  </w:r>
                </w:p>
                <w:p>
                  <w:pPr>
                    <w:adjustRightInd w:val="0"/>
                    <w:snapToGrid w:val="0"/>
                    <w:jc w:val="left"/>
                    <w:rPr>
                      <w:color w:val="000000"/>
                      <w:kern w:val="0"/>
                      <w:szCs w:val="18"/>
                      <w:highlight w:val="none"/>
                    </w:rPr>
                  </w:pPr>
                  <w:r>
                    <w:rPr>
                      <w:color w:val="000000"/>
                      <w:kern w:val="0"/>
                      <w:szCs w:val="18"/>
                      <w:highlight w:val="none"/>
                    </w:rPr>
                    <w:t>（4）严格执行《阳澄湖水源水质保护条例》相关管控要求。</w:t>
                  </w:r>
                </w:p>
                <w:p>
                  <w:pPr>
                    <w:adjustRightInd w:val="0"/>
                    <w:snapToGrid w:val="0"/>
                    <w:jc w:val="left"/>
                    <w:rPr>
                      <w:color w:val="000000"/>
                      <w:kern w:val="0"/>
                      <w:szCs w:val="18"/>
                      <w:highlight w:val="none"/>
                    </w:rPr>
                  </w:pPr>
                  <w:r>
                    <w:rPr>
                      <w:color w:val="000000"/>
                      <w:kern w:val="0"/>
                      <w:szCs w:val="18"/>
                      <w:highlight w:val="none"/>
                    </w:rPr>
                    <w:t>（5）严格执行《中华人民共和国长江保护法》。</w:t>
                  </w:r>
                </w:p>
                <w:p>
                  <w:pPr>
                    <w:adjustRightInd w:val="0"/>
                    <w:snapToGrid w:val="0"/>
                    <w:jc w:val="left"/>
                    <w:rPr>
                      <w:color w:val="000000"/>
                      <w:kern w:val="0"/>
                      <w:szCs w:val="18"/>
                      <w:highlight w:val="none"/>
                    </w:rPr>
                  </w:pPr>
                  <w:r>
                    <w:rPr>
                      <w:color w:val="000000"/>
                      <w:kern w:val="0"/>
                      <w:szCs w:val="18"/>
                      <w:highlight w:val="none"/>
                    </w:rPr>
                    <w:t>（6）禁止引进列入上级生态环境负面清单的项目。</w:t>
                  </w:r>
                </w:p>
              </w:tc>
              <w:tc>
                <w:tcPr>
                  <w:tcW w:w="1557" w:type="pct"/>
                  <w:vAlign w:val="center"/>
                </w:tcPr>
                <w:p>
                  <w:pPr>
                    <w:adjustRightInd w:val="0"/>
                    <w:snapToGrid w:val="0"/>
                    <w:rPr>
                      <w:color w:val="000000"/>
                      <w:kern w:val="0"/>
                      <w:szCs w:val="18"/>
                      <w:highlight w:val="none"/>
                    </w:rPr>
                  </w:pPr>
                  <w:r>
                    <w:rPr>
                      <w:color w:val="000000"/>
                      <w:kern w:val="0"/>
                      <w:szCs w:val="18"/>
                      <w:highlight w:val="none"/>
                    </w:rPr>
                    <w:t>（1）本项目符合国家和地方产业政策</w:t>
                  </w:r>
                  <w:r>
                    <w:rPr>
                      <w:rFonts w:hint="eastAsia"/>
                      <w:color w:val="000000"/>
                      <w:kern w:val="0"/>
                      <w:szCs w:val="18"/>
                      <w:highlight w:val="none"/>
                    </w:rPr>
                    <w:t>，不属于淘汰、禁止类项目</w:t>
                  </w:r>
                  <w:r>
                    <w:rPr>
                      <w:color w:val="000000"/>
                      <w:kern w:val="0"/>
                      <w:szCs w:val="18"/>
                      <w:highlight w:val="none"/>
                    </w:rPr>
                    <w:t>；</w:t>
                  </w:r>
                </w:p>
                <w:p>
                  <w:pPr>
                    <w:adjustRightInd w:val="0"/>
                    <w:snapToGrid w:val="0"/>
                    <w:rPr>
                      <w:color w:val="000000"/>
                      <w:kern w:val="0"/>
                      <w:szCs w:val="18"/>
                      <w:highlight w:val="none"/>
                    </w:rPr>
                  </w:pPr>
                  <w:r>
                    <w:rPr>
                      <w:color w:val="000000"/>
                      <w:kern w:val="0"/>
                      <w:szCs w:val="18"/>
                      <w:highlight w:val="none"/>
                    </w:rPr>
                    <w:t>（2）本项目属于</w:t>
                  </w:r>
                  <w:r>
                    <w:rPr>
                      <w:rFonts w:hint="eastAsia"/>
                      <w:color w:val="000000"/>
                      <w:kern w:val="0"/>
                      <w:szCs w:val="18"/>
                      <w:highlight w:val="none"/>
                    </w:rPr>
                    <w:t>医疗仪器设备及器械制造</w:t>
                  </w:r>
                  <w:r>
                    <w:rPr>
                      <w:color w:val="000000"/>
                      <w:kern w:val="0"/>
                      <w:szCs w:val="18"/>
                      <w:highlight w:val="none"/>
                    </w:rPr>
                    <w:t>，符合</w:t>
                  </w:r>
                  <w:r>
                    <w:rPr>
                      <w:rFonts w:hint="eastAsia"/>
                      <w:color w:val="000000"/>
                      <w:kern w:val="0"/>
                      <w:szCs w:val="18"/>
                      <w:highlight w:val="none"/>
                    </w:rPr>
                    <w:t>科技城组团服务业的</w:t>
                  </w:r>
                  <w:r>
                    <w:rPr>
                      <w:color w:val="000000"/>
                      <w:kern w:val="0"/>
                      <w:szCs w:val="18"/>
                      <w:highlight w:val="none"/>
                    </w:rPr>
                    <w:t>产业定位；</w:t>
                  </w:r>
                </w:p>
                <w:p>
                  <w:pPr>
                    <w:adjustRightInd w:val="0"/>
                    <w:snapToGrid w:val="0"/>
                    <w:rPr>
                      <w:color w:val="000000"/>
                      <w:kern w:val="0"/>
                      <w:szCs w:val="18"/>
                      <w:highlight w:val="none"/>
                    </w:rPr>
                  </w:pPr>
                  <w:r>
                    <w:rPr>
                      <w:color w:val="000000"/>
                      <w:kern w:val="0"/>
                      <w:szCs w:val="18"/>
                      <w:highlight w:val="none"/>
                    </w:rPr>
                    <w:t>（3）本项目符合《江苏省太湖水污染防治条例》的分级保护要求；</w:t>
                  </w:r>
                </w:p>
                <w:p>
                  <w:pPr>
                    <w:adjustRightInd w:val="0"/>
                    <w:snapToGrid w:val="0"/>
                    <w:rPr>
                      <w:color w:val="000000"/>
                      <w:kern w:val="0"/>
                      <w:szCs w:val="18"/>
                      <w:highlight w:val="none"/>
                    </w:rPr>
                  </w:pPr>
                  <w:r>
                    <w:rPr>
                      <w:color w:val="000000"/>
                      <w:kern w:val="0"/>
                      <w:szCs w:val="18"/>
                      <w:highlight w:val="none"/>
                    </w:rPr>
                    <w:t>（4）本项目不在《阳澄湖水源水质保护条例》保护区范围内；</w:t>
                  </w:r>
                </w:p>
                <w:p>
                  <w:pPr>
                    <w:adjustRightInd w:val="0"/>
                    <w:snapToGrid w:val="0"/>
                    <w:rPr>
                      <w:color w:val="000000"/>
                      <w:kern w:val="0"/>
                      <w:szCs w:val="18"/>
                      <w:highlight w:val="none"/>
                    </w:rPr>
                  </w:pPr>
                  <w:r>
                    <w:rPr>
                      <w:color w:val="000000"/>
                      <w:kern w:val="0"/>
                      <w:szCs w:val="18"/>
                      <w:highlight w:val="none"/>
                    </w:rPr>
                    <w:t>（5）本项目严格执行《中华人民共和国长江保护法》；</w:t>
                  </w:r>
                </w:p>
                <w:p>
                  <w:pPr>
                    <w:adjustRightInd w:val="0"/>
                    <w:snapToGrid w:val="0"/>
                    <w:rPr>
                      <w:color w:val="000000"/>
                      <w:kern w:val="0"/>
                      <w:szCs w:val="18"/>
                      <w:highlight w:val="none"/>
                    </w:rPr>
                  </w:pPr>
                  <w:r>
                    <w:rPr>
                      <w:color w:val="000000"/>
                      <w:kern w:val="0"/>
                      <w:szCs w:val="18"/>
                      <w:highlight w:val="none"/>
                    </w:rPr>
                    <w:t>（6）本项目不属于列入上级生态环境负面清单的项目。</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23" w:type="dxa"/>
                  <w:bottom w:w="0" w:type="dxa"/>
                  <w:right w:w="23" w:type="dxa"/>
                </w:tblCellMar>
              </w:tblPrEx>
              <w:trPr>
                <w:trHeight w:val="383" w:hRule="atLeast"/>
                <w:jc w:val="center"/>
              </w:trPr>
              <w:tc>
                <w:tcPr>
                  <w:tcW w:w="572" w:type="pct"/>
                  <w:vAlign w:val="center"/>
                </w:tcPr>
                <w:p>
                  <w:pPr>
                    <w:adjustRightInd w:val="0"/>
                    <w:snapToGrid w:val="0"/>
                    <w:jc w:val="center"/>
                    <w:rPr>
                      <w:color w:val="000000"/>
                      <w:kern w:val="0"/>
                      <w:szCs w:val="18"/>
                      <w:highlight w:val="none"/>
                    </w:rPr>
                  </w:pPr>
                  <w:r>
                    <w:rPr>
                      <w:color w:val="000000"/>
                      <w:kern w:val="0"/>
                      <w:szCs w:val="18"/>
                      <w:highlight w:val="none"/>
                    </w:rPr>
                    <w:t>污染物排放管控</w:t>
                  </w:r>
                </w:p>
              </w:tc>
              <w:tc>
                <w:tcPr>
                  <w:tcW w:w="2871" w:type="pct"/>
                  <w:vAlign w:val="center"/>
                </w:tcPr>
                <w:p>
                  <w:pPr>
                    <w:adjustRightInd w:val="0"/>
                    <w:snapToGrid w:val="0"/>
                    <w:jc w:val="left"/>
                    <w:rPr>
                      <w:kern w:val="0"/>
                      <w:szCs w:val="18"/>
                      <w:highlight w:val="none"/>
                    </w:rPr>
                  </w:pPr>
                  <w:r>
                    <w:rPr>
                      <w:kern w:val="0"/>
                      <w:szCs w:val="18"/>
                      <w:highlight w:val="none"/>
                    </w:rPr>
                    <w:t>（1）园区内企业污染物排放应满足相关国家排放、地方污染物排放标准要求。</w:t>
                  </w:r>
                </w:p>
                <w:p>
                  <w:pPr>
                    <w:adjustRightInd w:val="0"/>
                    <w:snapToGrid w:val="0"/>
                    <w:jc w:val="left"/>
                    <w:rPr>
                      <w:kern w:val="0"/>
                      <w:szCs w:val="18"/>
                      <w:highlight w:val="none"/>
                    </w:rPr>
                  </w:pPr>
                  <w:r>
                    <w:rPr>
                      <w:kern w:val="0"/>
                      <w:szCs w:val="18"/>
                      <w:highlight w:val="none"/>
                    </w:rPr>
                    <w:t>（2）园区污染物排放总量按照园区总体规划、规划环评及审查意见的要求进行管控。</w:t>
                  </w:r>
                </w:p>
                <w:p>
                  <w:pPr>
                    <w:adjustRightInd w:val="0"/>
                    <w:snapToGrid w:val="0"/>
                    <w:jc w:val="left"/>
                    <w:rPr>
                      <w:kern w:val="0"/>
                      <w:szCs w:val="18"/>
                      <w:highlight w:val="none"/>
                    </w:rPr>
                  </w:pPr>
                  <w:r>
                    <w:rPr>
                      <w:rFonts w:hint="eastAsia"/>
                      <w:kern w:val="0"/>
                      <w:szCs w:val="18"/>
                      <w:highlight w:val="none"/>
                    </w:rPr>
                    <w:t>(3)根据区域环境质量改善目标，采取有效措施减少主要污染物排放总量,确保区域环境质量持续改善。</w:t>
                  </w:r>
                </w:p>
              </w:tc>
              <w:tc>
                <w:tcPr>
                  <w:tcW w:w="1557" w:type="pct"/>
                  <w:vAlign w:val="center"/>
                </w:tcPr>
                <w:p>
                  <w:pPr>
                    <w:adjustRightInd w:val="0"/>
                    <w:snapToGrid w:val="0"/>
                    <w:rPr>
                      <w:kern w:val="0"/>
                      <w:szCs w:val="18"/>
                      <w:highlight w:val="none"/>
                    </w:rPr>
                  </w:pPr>
                  <w:r>
                    <w:rPr>
                      <w:rFonts w:hint="eastAsia"/>
                      <w:kern w:val="0"/>
                      <w:szCs w:val="18"/>
                      <w:highlight w:val="none"/>
                    </w:rPr>
                    <w:t>（1）</w:t>
                  </w:r>
                  <w:r>
                    <w:rPr>
                      <w:kern w:val="0"/>
                      <w:szCs w:val="18"/>
                      <w:highlight w:val="none"/>
                    </w:rPr>
                    <w:t>本项目</w:t>
                  </w:r>
                  <w:r>
                    <w:rPr>
                      <w:rFonts w:hint="eastAsia"/>
                      <w:kern w:val="0"/>
                      <w:szCs w:val="18"/>
                      <w:highlight w:val="none"/>
                    </w:rPr>
                    <w:t>污染物排满足国家、地方污染物排放标准要求；</w:t>
                  </w:r>
                </w:p>
                <w:p>
                  <w:pPr>
                    <w:adjustRightInd w:val="0"/>
                    <w:snapToGrid w:val="0"/>
                    <w:rPr>
                      <w:kern w:val="0"/>
                      <w:szCs w:val="18"/>
                      <w:highlight w:val="none"/>
                    </w:rPr>
                  </w:pPr>
                  <w:r>
                    <w:rPr>
                      <w:rFonts w:hint="eastAsia"/>
                      <w:kern w:val="0"/>
                      <w:szCs w:val="18"/>
                      <w:highlight w:val="none"/>
                    </w:rPr>
                    <w:t>（2）排放总量在园区范围内平衡；</w:t>
                  </w:r>
                </w:p>
                <w:p>
                  <w:pPr>
                    <w:adjustRightInd w:val="0"/>
                    <w:snapToGrid w:val="0"/>
                    <w:rPr>
                      <w:kern w:val="0"/>
                      <w:szCs w:val="18"/>
                      <w:highlight w:val="none"/>
                    </w:rPr>
                  </w:pPr>
                  <w:r>
                    <w:rPr>
                      <w:rFonts w:hint="eastAsia"/>
                      <w:kern w:val="0"/>
                      <w:szCs w:val="18"/>
                      <w:highlight w:val="none"/>
                    </w:rPr>
                    <w:t>（3）采取相关环保措施处理废气污染物，减少排放总量，确保区域环境质量持续改善。</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23" w:type="dxa"/>
                  <w:bottom w:w="0" w:type="dxa"/>
                  <w:right w:w="23" w:type="dxa"/>
                </w:tblCellMar>
              </w:tblPrEx>
              <w:trPr>
                <w:jc w:val="center"/>
              </w:trPr>
              <w:tc>
                <w:tcPr>
                  <w:tcW w:w="572" w:type="pct"/>
                  <w:vAlign w:val="center"/>
                </w:tcPr>
                <w:p>
                  <w:pPr>
                    <w:adjustRightInd w:val="0"/>
                    <w:snapToGrid w:val="0"/>
                    <w:jc w:val="center"/>
                    <w:rPr>
                      <w:color w:val="000000"/>
                      <w:kern w:val="0"/>
                      <w:szCs w:val="18"/>
                      <w:highlight w:val="none"/>
                    </w:rPr>
                  </w:pPr>
                  <w:r>
                    <w:rPr>
                      <w:color w:val="000000"/>
                      <w:kern w:val="0"/>
                      <w:szCs w:val="18"/>
                      <w:highlight w:val="none"/>
                    </w:rPr>
                    <w:t>环境风险防控</w:t>
                  </w:r>
                </w:p>
              </w:tc>
              <w:tc>
                <w:tcPr>
                  <w:tcW w:w="2871" w:type="pct"/>
                  <w:vAlign w:val="center"/>
                </w:tcPr>
                <w:p>
                  <w:pPr>
                    <w:adjustRightInd w:val="0"/>
                    <w:snapToGrid w:val="0"/>
                    <w:jc w:val="left"/>
                    <w:rPr>
                      <w:color w:val="000000"/>
                      <w:kern w:val="0"/>
                      <w:szCs w:val="18"/>
                      <w:highlight w:val="none"/>
                    </w:rPr>
                  </w:pPr>
                  <w:r>
                    <w:rPr>
                      <w:color w:val="000000"/>
                      <w:kern w:val="0"/>
                      <w:szCs w:val="18"/>
                      <w:highlight w:val="none"/>
                    </w:rPr>
                    <w:t>（1）建立以园区突发环境事件应急处置机构为核心，与地方政府和企事业单位应急处置机构联动的应急响应体系，加强应急物资装备储备，编制突发环境事件应急预案，定期开展演练。</w:t>
                  </w:r>
                </w:p>
                <w:p>
                  <w:pPr>
                    <w:adjustRightInd w:val="0"/>
                    <w:snapToGrid w:val="0"/>
                    <w:jc w:val="left"/>
                    <w:rPr>
                      <w:color w:val="000000"/>
                      <w:kern w:val="0"/>
                      <w:szCs w:val="18"/>
                      <w:highlight w:val="none"/>
                    </w:rPr>
                  </w:pPr>
                  <w:r>
                    <w:rPr>
                      <w:color w:val="000000"/>
                      <w:kern w:val="0"/>
                      <w:szCs w:val="18"/>
                      <w:highlight w:val="none"/>
                    </w:rPr>
                    <w:t>（2）生产、使用、储存危险化学品或其他存在环境风险的企事业单位，应当制定风险防范措施，编制突发环境事件应急预案，防止发生环境事故。</w:t>
                  </w:r>
                </w:p>
                <w:p>
                  <w:pPr>
                    <w:adjustRightInd w:val="0"/>
                    <w:snapToGrid w:val="0"/>
                    <w:jc w:val="left"/>
                    <w:rPr>
                      <w:color w:val="000000"/>
                      <w:kern w:val="0"/>
                      <w:szCs w:val="18"/>
                      <w:highlight w:val="none"/>
                    </w:rPr>
                  </w:pPr>
                  <w:r>
                    <w:rPr>
                      <w:color w:val="000000"/>
                      <w:kern w:val="0"/>
                      <w:szCs w:val="18"/>
                      <w:highlight w:val="none"/>
                    </w:rPr>
                    <w:t>（3）加强环境影响跟踪监测，建立健全各环境要素监控体系，完善并落实园区日常环境监测与污染源监控计划。</w:t>
                  </w:r>
                </w:p>
              </w:tc>
              <w:tc>
                <w:tcPr>
                  <w:tcW w:w="1557" w:type="pct"/>
                  <w:vAlign w:val="center"/>
                </w:tcPr>
                <w:p>
                  <w:pPr>
                    <w:adjustRightInd w:val="0"/>
                    <w:snapToGrid w:val="0"/>
                    <w:rPr>
                      <w:color w:val="000000"/>
                      <w:kern w:val="0"/>
                      <w:szCs w:val="18"/>
                      <w:highlight w:val="none"/>
                    </w:rPr>
                  </w:pPr>
                  <w:r>
                    <w:rPr>
                      <w:color w:val="000000"/>
                      <w:kern w:val="0"/>
                      <w:szCs w:val="18"/>
                      <w:highlight w:val="none"/>
                    </w:rPr>
                    <w:t>本项目建成后拟按照要求编制事故应急预案，按照预案要求配备应急物资，并组织应急演练。按照要求制定日常环境监测计划，并按计划进行监测。</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PrEx>
              <w:trPr>
                <w:jc w:val="center"/>
              </w:trPr>
              <w:tc>
                <w:tcPr>
                  <w:tcW w:w="572" w:type="pct"/>
                  <w:vAlign w:val="center"/>
                </w:tcPr>
                <w:p>
                  <w:pPr>
                    <w:adjustRightInd w:val="0"/>
                    <w:snapToGrid w:val="0"/>
                    <w:jc w:val="center"/>
                    <w:rPr>
                      <w:color w:val="000000"/>
                      <w:kern w:val="0"/>
                      <w:szCs w:val="18"/>
                      <w:highlight w:val="none"/>
                    </w:rPr>
                  </w:pPr>
                  <w:r>
                    <w:rPr>
                      <w:color w:val="000000"/>
                      <w:kern w:val="0"/>
                      <w:szCs w:val="18"/>
                      <w:highlight w:val="none"/>
                    </w:rPr>
                    <w:t>资源开发效率要求</w:t>
                  </w:r>
                </w:p>
              </w:tc>
              <w:tc>
                <w:tcPr>
                  <w:tcW w:w="2871" w:type="pct"/>
                  <w:vAlign w:val="center"/>
                </w:tcPr>
                <w:p>
                  <w:pPr>
                    <w:adjustRightInd w:val="0"/>
                    <w:snapToGrid w:val="0"/>
                    <w:jc w:val="left"/>
                    <w:rPr>
                      <w:color w:val="000000"/>
                      <w:kern w:val="0"/>
                      <w:szCs w:val="18"/>
                      <w:highlight w:val="none"/>
                    </w:rPr>
                  </w:pPr>
                  <w:r>
                    <w:rPr>
                      <w:rFonts w:hint="eastAsia"/>
                      <w:color w:val="000000"/>
                      <w:kern w:val="0"/>
                      <w:szCs w:val="18"/>
                      <w:highlight w:val="none"/>
                    </w:rPr>
                    <w:t>(1)园区内企业清洁生产水平、单位工业增加值新鲜水耗和综合能耗应满足园区总体规划、规划环评及审查意见要求。</w:t>
                  </w:r>
                </w:p>
                <w:p>
                  <w:pPr>
                    <w:adjustRightInd w:val="0"/>
                    <w:snapToGrid w:val="0"/>
                    <w:jc w:val="left"/>
                    <w:rPr>
                      <w:color w:val="000000"/>
                      <w:kern w:val="0"/>
                      <w:szCs w:val="18"/>
                      <w:highlight w:val="none"/>
                    </w:rPr>
                  </w:pPr>
                  <w:r>
                    <w:rPr>
                      <w:color w:val="000000"/>
                      <w:kern w:val="0"/>
                      <w:szCs w:val="18"/>
                      <w:highlight w:val="none"/>
                    </w:rPr>
                    <w:t>（2）禁止销售使用燃料为“Ⅲ类”（严格），具体包括：</w:t>
                  </w:r>
                </w:p>
                <w:p>
                  <w:pPr>
                    <w:numPr>
                      <w:ilvl w:val="0"/>
                      <w:numId w:val="2"/>
                    </w:numPr>
                    <w:adjustRightInd w:val="0"/>
                    <w:snapToGrid w:val="0"/>
                    <w:jc w:val="left"/>
                    <w:rPr>
                      <w:color w:val="000000"/>
                      <w:kern w:val="0"/>
                      <w:szCs w:val="18"/>
                      <w:highlight w:val="none"/>
                    </w:rPr>
                  </w:pPr>
                  <w:r>
                    <w:rPr>
                      <w:color w:val="000000"/>
                      <w:kern w:val="0"/>
                      <w:szCs w:val="18"/>
                      <w:highlight w:val="none"/>
                    </w:rPr>
                    <w:t>煤炭及其制品（包括原煤、散煤、煤矸石、煤泥、煤粉、水煤浆、型煤、焦炭、兰炭等）；</w:t>
                  </w:r>
                </w:p>
                <w:p>
                  <w:pPr>
                    <w:numPr>
                      <w:ilvl w:val="0"/>
                      <w:numId w:val="2"/>
                    </w:numPr>
                    <w:adjustRightInd w:val="0"/>
                    <w:snapToGrid w:val="0"/>
                    <w:jc w:val="left"/>
                    <w:rPr>
                      <w:color w:val="000000"/>
                      <w:kern w:val="0"/>
                      <w:szCs w:val="18"/>
                      <w:highlight w:val="none"/>
                    </w:rPr>
                  </w:pPr>
                  <w:r>
                    <w:rPr>
                      <w:color w:val="000000"/>
                      <w:kern w:val="0"/>
                      <w:szCs w:val="18"/>
                      <w:highlight w:val="none"/>
                    </w:rPr>
                    <w:t>石油焦、油页岩、原油、重油、渣油、煤焦油；</w:t>
                  </w:r>
                </w:p>
                <w:p>
                  <w:pPr>
                    <w:numPr>
                      <w:ilvl w:val="0"/>
                      <w:numId w:val="2"/>
                    </w:numPr>
                    <w:adjustRightInd w:val="0"/>
                    <w:snapToGrid w:val="0"/>
                    <w:rPr>
                      <w:color w:val="000000"/>
                      <w:kern w:val="0"/>
                      <w:szCs w:val="18"/>
                      <w:highlight w:val="none"/>
                    </w:rPr>
                  </w:pPr>
                  <w:r>
                    <w:rPr>
                      <w:color w:val="000000"/>
                      <w:kern w:val="0"/>
                      <w:szCs w:val="18"/>
                      <w:highlight w:val="none"/>
                    </w:rPr>
                    <w:t>非专用锅炉或未配置高效除尘设施的专用锅炉燃用的生物质成型燃料；</w:t>
                  </w:r>
                </w:p>
                <w:p>
                  <w:pPr>
                    <w:adjustRightInd w:val="0"/>
                    <w:snapToGrid w:val="0"/>
                    <w:rPr>
                      <w:color w:val="000000"/>
                      <w:kern w:val="0"/>
                      <w:szCs w:val="18"/>
                      <w:highlight w:val="none"/>
                    </w:rPr>
                  </w:pPr>
                  <w:r>
                    <w:rPr>
                      <w:color w:val="000000"/>
                      <w:kern w:val="0"/>
                      <w:szCs w:val="18"/>
                      <w:highlight w:val="none"/>
                    </w:rPr>
                    <w:t>4、国家规定的其他高污染燃料。</w:t>
                  </w:r>
                </w:p>
              </w:tc>
              <w:tc>
                <w:tcPr>
                  <w:tcW w:w="1557" w:type="pct"/>
                  <w:vAlign w:val="center"/>
                </w:tcPr>
                <w:p>
                  <w:pPr>
                    <w:adjustRightInd w:val="0"/>
                    <w:snapToGrid w:val="0"/>
                    <w:rPr>
                      <w:color w:val="000000"/>
                      <w:kern w:val="0"/>
                      <w:szCs w:val="18"/>
                      <w:highlight w:val="none"/>
                    </w:rPr>
                  </w:pPr>
                  <w:r>
                    <w:rPr>
                      <w:color w:val="000000"/>
                      <w:kern w:val="0"/>
                      <w:szCs w:val="18"/>
                      <w:highlight w:val="none"/>
                    </w:rPr>
                    <w:t>本项目能源为电，不涉及煤炭和其他高污染</w:t>
                  </w:r>
                  <w:r>
                    <w:rPr>
                      <w:rFonts w:hint="eastAsia"/>
                      <w:color w:val="000000"/>
                      <w:kern w:val="0"/>
                      <w:szCs w:val="18"/>
                      <w:highlight w:val="none"/>
                    </w:rPr>
                    <w:t>燃料</w:t>
                  </w:r>
                  <w:r>
                    <w:rPr>
                      <w:color w:val="000000"/>
                      <w:kern w:val="0"/>
                      <w:szCs w:val="18"/>
                      <w:highlight w:val="none"/>
                    </w:rPr>
                    <w:t>的使用。</w:t>
                  </w:r>
                </w:p>
              </w:tc>
            </w:tr>
          </w:tbl>
          <w:p>
            <w:pPr>
              <w:spacing w:line="360" w:lineRule="auto"/>
              <w:ind w:firstLine="480" w:firstLineChars="200"/>
              <w:rPr>
                <w:b/>
                <w:bCs/>
                <w:color w:val="000000"/>
                <w:sz w:val="24"/>
                <w:szCs w:val="21"/>
                <w:highlight w:val="none"/>
              </w:rPr>
            </w:pPr>
            <w:r>
              <w:rPr>
                <w:color w:val="000000"/>
                <w:sz w:val="24"/>
                <w:szCs w:val="21"/>
                <w:highlight w:val="none"/>
              </w:rPr>
              <w:t>综上所述，本项目的建设符合《苏州市“三线一单”生态环境分区管控实施方案》（苏环办字[2020]313号）的相关要求。</w:t>
            </w:r>
          </w:p>
          <w:bookmarkEnd w:id="3"/>
          <w:p>
            <w:pPr>
              <w:spacing w:line="360" w:lineRule="auto"/>
              <w:ind w:firstLine="482" w:firstLineChars="200"/>
              <w:rPr>
                <w:b/>
                <w:bCs/>
                <w:sz w:val="24"/>
                <w:szCs w:val="21"/>
                <w:highlight w:val="none"/>
              </w:rPr>
            </w:pPr>
            <w:r>
              <w:rPr>
                <w:b/>
                <w:bCs/>
                <w:sz w:val="24"/>
                <w:szCs w:val="21"/>
                <w:highlight w:val="none"/>
              </w:rPr>
              <w:t>（6）与《省生态环境厅关于进一步加强危险废物污染防治工作的实施意见》（苏环办[2019]327号）的相符性分析</w:t>
            </w:r>
          </w:p>
          <w:p>
            <w:pPr>
              <w:spacing w:line="360" w:lineRule="auto"/>
              <w:ind w:firstLine="480" w:firstLineChars="200"/>
              <w:rPr>
                <w:sz w:val="24"/>
                <w:szCs w:val="21"/>
                <w:highlight w:val="none"/>
              </w:rPr>
            </w:pPr>
            <w:r>
              <w:rPr>
                <w:sz w:val="24"/>
                <w:szCs w:val="21"/>
                <w:highlight w:val="none"/>
              </w:rPr>
              <w:t>具体分析见下表。</w:t>
            </w:r>
          </w:p>
          <w:p>
            <w:pPr>
              <w:jc w:val="center"/>
              <w:rPr>
                <w:b/>
                <w:bCs/>
                <w:sz w:val="24"/>
                <w:szCs w:val="21"/>
                <w:highlight w:val="none"/>
              </w:rPr>
            </w:pPr>
            <w:r>
              <w:rPr>
                <w:b/>
                <w:bCs/>
                <w:sz w:val="24"/>
                <w:szCs w:val="21"/>
                <w:highlight w:val="none"/>
              </w:rPr>
              <w:t>表1-11  相符性分析一览表</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3" w:type="dxa"/>
                <w:bottom w:w="0" w:type="dxa"/>
                <w:right w:w="23" w:type="dxa"/>
              </w:tblCellMar>
            </w:tblPr>
            <w:tblGrid>
              <w:gridCol w:w="771"/>
              <w:gridCol w:w="5385"/>
              <w:gridCol w:w="26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jc w:val="center"/>
              </w:trPr>
              <w:tc>
                <w:tcPr>
                  <w:tcW w:w="439" w:type="pct"/>
                  <w:tcBorders>
                    <w:tl2br w:val="nil"/>
                    <w:tr2bl w:val="nil"/>
                  </w:tcBorders>
                  <w:shd w:val="clear" w:color="auto" w:fill="auto"/>
                  <w:vAlign w:val="center"/>
                </w:tcPr>
                <w:p>
                  <w:pPr>
                    <w:wordWrap w:val="0"/>
                    <w:jc w:val="center"/>
                    <w:rPr>
                      <w:b/>
                      <w:bCs/>
                      <w:szCs w:val="18"/>
                      <w:highlight w:val="none"/>
                    </w:rPr>
                  </w:pPr>
                  <w:r>
                    <w:rPr>
                      <w:b/>
                      <w:bCs/>
                      <w:szCs w:val="18"/>
                      <w:highlight w:val="none"/>
                    </w:rPr>
                    <w:t>序号</w:t>
                  </w:r>
                </w:p>
              </w:tc>
              <w:tc>
                <w:tcPr>
                  <w:tcW w:w="3064" w:type="pct"/>
                  <w:tcBorders>
                    <w:tl2br w:val="nil"/>
                    <w:tr2bl w:val="nil"/>
                  </w:tcBorders>
                  <w:shd w:val="clear" w:color="auto" w:fill="auto"/>
                  <w:vAlign w:val="center"/>
                </w:tcPr>
                <w:p>
                  <w:pPr>
                    <w:wordWrap w:val="0"/>
                    <w:jc w:val="center"/>
                    <w:rPr>
                      <w:b/>
                      <w:bCs/>
                      <w:szCs w:val="18"/>
                      <w:highlight w:val="none"/>
                    </w:rPr>
                  </w:pPr>
                  <w:r>
                    <w:rPr>
                      <w:b/>
                      <w:bCs/>
                      <w:szCs w:val="18"/>
                      <w:highlight w:val="none"/>
                    </w:rPr>
                    <w:t>文件要求</w:t>
                  </w:r>
                </w:p>
              </w:tc>
              <w:tc>
                <w:tcPr>
                  <w:tcW w:w="1498" w:type="pct"/>
                  <w:tcBorders>
                    <w:tl2br w:val="nil"/>
                    <w:tr2bl w:val="nil"/>
                  </w:tcBorders>
                  <w:shd w:val="clear" w:color="auto" w:fill="auto"/>
                  <w:vAlign w:val="center"/>
                </w:tcPr>
                <w:p>
                  <w:pPr>
                    <w:wordWrap w:val="0"/>
                    <w:jc w:val="center"/>
                    <w:rPr>
                      <w:b/>
                      <w:bCs/>
                      <w:szCs w:val="18"/>
                      <w:highlight w:val="none"/>
                    </w:rPr>
                  </w:pPr>
                  <w:r>
                    <w:rPr>
                      <w:b/>
                      <w:bCs/>
                      <w:szCs w:val="18"/>
                      <w:highlight w:val="none"/>
                    </w:rPr>
                    <w:t>相符性分析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jc w:val="center"/>
              </w:trPr>
              <w:tc>
                <w:tcPr>
                  <w:tcW w:w="439" w:type="pct"/>
                  <w:tcBorders>
                    <w:tl2br w:val="nil"/>
                    <w:tr2bl w:val="nil"/>
                  </w:tcBorders>
                  <w:shd w:val="clear" w:color="auto" w:fill="auto"/>
                  <w:vAlign w:val="center"/>
                </w:tcPr>
                <w:p>
                  <w:pPr>
                    <w:wordWrap w:val="0"/>
                    <w:rPr>
                      <w:szCs w:val="18"/>
                      <w:highlight w:val="none"/>
                    </w:rPr>
                  </w:pPr>
                  <w:r>
                    <w:rPr>
                      <w:szCs w:val="18"/>
                      <w:highlight w:val="none"/>
                    </w:rPr>
                    <w:t>（三）加强涉危项目环评管理</w:t>
                  </w:r>
                </w:p>
              </w:tc>
              <w:tc>
                <w:tcPr>
                  <w:tcW w:w="3064" w:type="pct"/>
                  <w:tcBorders>
                    <w:tl2br w:val="nil"/>
                    <w:tr2bl w:val="nil"/>
                  </w:tcBorders>
                  <w:shd w:val="clear" w:color="auto" w:fill="auto"/>
                  <w:vAlign w:val="center"/>
                </w:tcPr>
                <w:p>
                  <w:pPr>
                    <w:wordWrap w:val="0"/>
                    <w:rPr>
                      <w:szCs w:val="18"/>
                      <w:highlight w:val="none"/>
                    </w:rPr>
                  </w:pPr>
                  <w:r>
                    <w:rPr>
                      <w:szCs w:val="18"/>
                      <w:highlight w:val="none"/>
                    </w:rPr>
                    <w:t>各地生态环境部门要督促建设单位及技术单位贯彻落实《建设项目危险废物环境影响评价指南》（原环境保护部公告 2017年第43号）等相关要求，对建设项目产生的危险废物种类、数量、利用或处置方式、环境影响以及环境风险等进行科学评价，并提出切实可行的污染防治对策措施。要依法开展环评文件审批工作，不得擅自降低审批标准。对危险废物数量、种类、属性、贮存设施阐述不清的，无合理利用处置方案的，无环境风险防范措施的建设项目，不予批准其环评文件。建设项目竣工环境保护验收时，严格按照环评审批要求和实际建设运行情况，形成危险废物产生、贮存、利用和处置情况、环境风险防范措施等相关验收意见。</w:t>
                  </w:r>
                </w:p>
              </w:tc>
              <w:tc>
                <w:tcPr>
                  <w:tcW w:w="1498" w:type="pct"/>
                  <w:tcBorders>
                    <w:tl2br w:val="nil"/>
                    <w:tr2bl w:val="nil"/>
                  </w:tcBorders>
                  <w:shd w:val="clear" w:color="auto" w:fill="auto"/>
                  <w:vAlign w:val="center"/>
                </w:tcPr>
                <w:p>
                  <w:pPr>
                    <w:wordWrap w:val="0"/>
                    <w:rPr>
                      <w:szCs w:val="18"/>
                      <w:highlight w:val="none"/>
                    </w:rPr>
                  </w:pPr>
                  <w:r>
                    <w:rPr>
                      <w:szCs w:val="18"/>
                      <w:highlight w:val="none"/>
                    </w:rPr>
                    <w:t>本项目环评按照《建设项目危险废物环境影响评价指南》要求对危废相关内容进行了编制和分析。对照《固体废物鉴别标准通则》（GB34330-2017）企业产生的固体废物主要包括一般固废、危险废物、生活垃圾。项目危废交由有资质单位处理，生活垃圾交由环卫部门统一处理。符合文件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439" w:type="pct"/>
                  <w:tcBorders>
                    <w:tl2br w:val="nil"/>
                    <w:tr2bl w:val="nil"/>
                  </w:tcBorders>
                  <w:shd w:val="clear" w:color="auto" w:fill="auto"/>
                  <w:vAlign w:val="center"/>
                </w:tcPr>
                <w:p>
                  <w:pPr>
                    <w:wordWrap w:val="0"/>
                    <w:rPr>
                      <w:szCs w:val="18"/>
                      <w:highlight w:val="none"/>
                    </w:rPr>
                  </w:pPr>
                  <w:r>
                    <w:rPr>
                      <w:szCs w:val="18"/>
                      <w:highlight w:val="none"/>
                    </w:rPr>
                    <w:t>（六）落实信息公开制度</w:t>
                  </w:r>
                </w:p>
              </w:tc>
              <w:tc>
                <w:tcPr>
                  <w:tcW w:w="3064" w:type="pct"/>
                  <w:tcBorders>
                    <w:tl2br w:val="nil"/>
                    <w:tr2bl w:val="nil"/>
                  </w:tcBorders>
                  <w:shd w:val="clear" w:color="auto" w:fill="auto"/>
                  <w:vAlign w:val="center"/>
                </w:tcPr>
                <w:p>
                  <w:pPr>
                    <w:wordWrap w:val="0"/>
                    <w:rPr>
                      <w:szCs w:val="18"/>
                      <w:highlight w:val="none"/>
                    </w:rPr>
                  </w:pPr>
                  <w:r>
                    <w:rPr>
                      <w:szCs w:val="18"/>
                      <w:highlight w:val="none"/>
                    </w:rPr>
                    <w:t>加大企业危险废物信息公开力度，纳入重点排污单位的涉危企业应每年定期向社会发布企业年度环境报告。各地生态环境部门应督促危险废物产生单位和经营单位按照附件1要求在厂区门口显著位置设置危险废物信息公开栏，主动公开危险废物产生、利用处置等情况；企业有官方网站的，在官网上同时公开相关信息。危险废物集中焚烧处置企业及有自建危废焚烧处置设施的企业须在厂区门口明显位置设置显示屏，实时公布二燃室温度等工况指标以及污染物排放因子和浓度等信息，并将上述信息联网上传至属地生态环境部门信息平台，接受社会监督。对企业不公开、不按法律法规规定的内容、方式、时限公开或者公开内容不真实、弄虚作假的，各地生态环境部门应责令其限期整改并依法予以查处。</w:t>
                  </w:r>
                </w:p>
              </w:tc>
              <w:tc>
                <w:tcPr>
                  <w:tcW w:w="1498" w:type="pct"/>
                  <w:tcBorders>
                    <w:tl2br w:val="nil"/>
                    <w:tr2bl w:val="nil"/>
                  </w:tcBorders>
                  <w:shd w:val="clear" w:color="auto" w:fill="auto"/>
                  <w:vAlign w:val="center"/>
                </w:tcPr>
                <w:p>
                  <w:pPr>
                    <w:wordWrap w:val="0"/>
                    <w:rPr>
                      <w:szCs w:val="18"/>
                      <w:highlight w:val="none"/>
                    </w:rPr>
                  </w:pPr>
                  <w:r>
                    <w:rPr>
                      <w:szCs w:val="18"/>
                      <w:highlight w:val="none"/>
                    </w:rPr>
                    <w:t>项目建成后，按照要求进行信息公开，符合文件要求。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jc w:val="center"/>
              </w:trPr>
              <w:tc>
                <w:tcPr>
                  <w:tcW w:w="439" w:type="pct"/>
                  <w:tcBorders>
                    <w:tl2br w:val="nil"/>
                    <w:tr2bl w:val="nil"/>
                  </w:tcBorders>
                  <w:shd w:val="clear" w:color="auto" w:fill="auto"/>
                  <w:vAlign w:val="center"/>
                </w:tcPr>
                <w:p>
                  <w:pPr>
                    <w:wordWrap w:val="0"/>
                    <w:rPr>
                      <w:szCs w:val="18"/>
                      <w:highlight w:val="none"/>
                    </w:rPr>
                  </w:pPr>
                  <w:r>
                    <w:rPr>
                      <w:szCs w:val="18"/>
                      <w:highlight w:val="none"/>
                    </w:rPr>
                    <w:t>（九）规范危险废物贮存设施</w:t>
                  </w:r>
                </w:p>
              </w:tc>
              <w:tc>
                <w:tcPr>
                  <w:tcW w:w="3064" w:type="pct"/>
                  <w:tcBorders>
                    <w:tl2br w:val="nil"/>
                    <w:tr2bl w:val="nil"/>
                  </w:tcBorders>
                  <w:shd w:val="clear" w:color="auto" w:fill="auto"/>
                  <w:vAlign w:val="center"/>
                </w:tcPr>
                <w:p>
                  <w:pPr>
                    <w:wordWrap w:val="0"/>
                    <w:rPr>
                      <w:szCs w:val="18"/>
                      <w:highlight w:val="none"/>
                    </w:rPr>
                  </w:pPr>
                  <w:r>
                    <w:rPr>
                      <w:szCs w:val="18"/>
                      <w:highlight w:val="none"/>
                    </w:rPr>
                    <w:t>各地生态环境部门应督促企业严格执行《省生态环境厅关于印发江苏省危险废物贮存规范化管理专项整治行动方案的通知》（苏环办〔2019〕149号）要求，按照《环境保护图形标志固体废物贮存（处置）场》（GB15562.2-1995）和危险废物识别标识设置规范（见附件1）设置标志，配备通讯设备、照明设施和消防设施，设置气体导出口及气体净化装置，确保废气达标排放；在出入口、设施内部、危险废物运输车辆通道等关键位置按照危险废物贮存设施视频监控布设要求（见附件2）设置视频监控，并与中控室联网。鼓励有条件的企业采用云存储方式保存视频监控数据。</w:t>
                  </w:r>
                </w:p>
                <w:p>
                  <w:pPr>
                    <w:wordWrap w:val="0"/>
                    <w:rPr>
                      <w:szCs w:val="18"/>
                      <w:highlight w:val="none"/>
                    </w:rPr>
                  </w:pPr>
                  <w:r>
                    <w:rPr>
                      <w:szCs w:val="18"/>
                      <w:highlight w:val="none"/>
                    </w:rPr>
                    <w:t>企业应根据危险废物的种类和特性进行分区、分类贮存，设置防雨、防火、防雷、防扬散、防渗漏装置及泄漏液体收集装置。对易爆、易燃及排出有毒气体的危险废物进行预处理，稳定后贮存，否则按易爆、易燃危险品贮存。贮存废弃剧毒化学品的，应按照公安机关要求落实治安防范措施。危险废物经营单位需制定废物入场控制措施，并不得接受核准经营许可以外的种类；贮存设施周转的累积贮存量不得超过年许可经营能力的六分之一，贮存期限原则上不得超过一年。</w:t>
                  </w:r>
                </w:p>
                <w:p>
                  <w:pPr>
                    <w:wordWrap w:val="0"/>
                    <w:rPr>
                      <w:szCs w:val="18"/>
                      <w:highlight w:val="none"/>
                    </w:rPr>
                  </w:pPr>
                  <w:r>
                    <w:rPr>
                      <w:szCs w:val="18"/>
                      <w:highlight w:val="none"/>
                    </w:rPr>
                    <w:t>对不满足识别标识设置规范（危险废物信息公开栏、贮存设施警示标志牌、包装识别标签）、未完成关键位置视频监控布设的企业，属地生态环境部门要责令其自本意见印发之日起三个月内完成整改，逾期未完成的，依法依规进行处理</w:t>
                  </w:r>
                </w:p>
              </w:tc>
              <w:tc>
                <w:tcPr>
                  <w:tcW w:w="1498" w:type="pct"/>
                  <w:tcBorders>
                    <w:tl2br w:val="nil"/>
                    <w:tr2bl w:val="nil"/>
                  </w:tcBorders>
                  <w:shd w:val="clear" w:color="auto" w:fill="auto"/>
                  <w:vAlign w:val="center"/>
                </w:tcPr>
                <w:p>
                  <w:pPr>
                    <w:wordWrap w:val="0"/>
                    <w:rPr>
                      <w:szCs w:val="18"/>
                      <w:highlight w:val="none"/>
                    </w:rPr>
                  </w:pPr>
                  <w:r>
                    <w:rPr>
                      <w:szCs w:val="18"/>
                      <w:highlight w:val="none"/>
                    </w:rPr>
                    <w:t>本项目危险废物贮存场所按照苏环办[2019]327号要求进行建设，符合文件要求。</w:t>
                  </w:r>
                </w:p>
              </w:tc>
            </w:tr>
          </w:tbl>
          <w:p>
            <w:pPr>
              <w:spacing w:line="360" w:lineRule="auto"/>
              <w:ind w:firstLine="480" w:firstLineChars="200"/>
              <w:rPr>
                <w:color w:val="000000"/>
                <w:sz w:val="24"/>
                <w:szCs w:val="21"/>
                <w:highlight w:val="none"/>
              </w:rPr>
            </w:pPr>
            <w:r>
              <w:rPr>
                <w:color w:val="000000"/>
                <w:sz w:val="24"/>
                <w:szCs w:val="21"/>
                <w:highlight w:val="none"/>
              </w:rPr>
              <w:t>根据上表分析，本项目符合《省生态环境厅关于进一步加强危险废物污染防治工作的实施意见》（苏环办[2019]327号）文件要求。</w:t>
            </w:r>
          </w:p>
          <w:p>
            <w:pPr>
              <w:spacing w:line="360" w:lineRule="auto"/>
              <w:ind w:firstLine="482" w:firstLineChars="200"/>
              <w:rPr>
                <w:b/>
                <w:bCs/>
                <w:sz w:val="24"/>
                <w:szCs w:val="21"/>
                <w:highlight w:val="none"/>
              </w:rPr>
            </w:pPr>
            <w:r>
              <w:rPr>
                <w:b/>
                <w:bCs/>
                <w:sz w:val="24"/>
                <w:szCs w:val="21"/>
                <w:highlight w:val="none"/>
              </w:rPr>
              <w:t>（7）与《江苏省挥发性有机物清洁原料替代工作方案》（苏大气办〔2021〕2号）的相符性分析</w:t>
            </w:r>
          </w:p>
          <w:p>
            <w:pPr>
              <w:jc w:val="center"/>
              <w:rPr>
                <w:b/>
                <w:bCs/>
                <w:sz w:val="24"/>
                <w:szCs w:val="21"/>
                <w:highlight w:val="none"/>
              </w:rPr>
            </w:pPr>
            <w:r>
              <w:rPr>
                <w:b/>
                <w:bCs/>
                <w:sz w:val="24"/>
                <w:szCs w:val="21"/>
                <w:highlight w:val="none"/>
              </w:rPr>
              <w:t>表1-12  相符性分析一览表</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3" w:type="dxa"/>
                <w:bottom w:w="0" w:type="dxa"/>
                <w:right w:w="23" w:type="dxa"/>
              </w:tblCellMar>
            </w:tblPr>
            <w:tblGrid>
              <w:gridCol w:w="715"/>
              <w:gridCol w:w="5421"/>
              <w:gridCol w:w="26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jc w:val="center"/>
              </w:trPr>
              <w:tc>
                <w:tcPr>
                  <w:tcW w:w="407" w:type="pct"/>
                  <w:tcBorders>
                    <w:tl2br w:val="nil"/>
                    <w:tr2bl w:val="nil"/>
                  </w:tcBorders>
                  <w:shd w:val="clear" w:color="auto" w:fill="auto"/>
                  <w:vAlign w:val="center"/>
                </w:tcPr>
                <w:p>
                  <w:pPr>
                    <w:wordWrap w:val="0"/>
                    <w:jc w:val="center"/>
                    <w:rPr>
                      <w:b/>
                      <w:bCs/>
                      <w:szCs w:val="18"/>
                      <w:highlight w:val="none"/>
                    </w:rPr>
                  </w:pPr>
                  <w:r>
                    <w:rPr>
                      <w:b/>
                      <w:bCs/>
                      <w:szCs w:val="18"/>
                      <w:highlight w:val="none"/>
                    </w:rPr>
                    <w:t>序号</w:t>
                  </w:r>
                </w:p>
              </w:tc>
              <w:tc>
                <w:tcPr>
                  <w:tcW w:w="3084" w:type="pct"/>
                  <w:tcBorders>
                    <w:tl2br w:val="nil"/>
                    <w:tr2bl w:val="nil"/>
                  </w:tcBorders>
                  <w:shd w:val="clear" w:color="auto" w:fill="auto"/>
                  <w:vAlign w:val="center"/>
                </w:tcPr>
                <w:p>
                  <w:pPr>
                    <w:wordWrap w:val="0"/>
                    <w:jc w:val="center"/>
                    <w:rPr>
                      <w:b/>
                      <w:bCs/>
                      <w:szCs w:val="18"/>
                      <w:highlight w:val="none"/>
                    </w:rPr>
                  </w:pPr>
                  <w:r>
                    <w:rPr>
                      <w:b/>
                      <w:bCs/>
                      <w:szCs w:val="18"/>
                      <w:highlight w:val="none"/>
                    </w:rPr>
                    <w:t>文件要求</w:t>
                  </w:r>
                </w:p>
              </w:tc>
              <w:tc>
                <w:tcPr>
                  <w:tcW w:w="1508" w:type="pct"/>
                  <w:tcBorders>
                    <w:tl2br w:val="nil"/>
                    <w:tr2bl w:val="nil"/>
                  </w:tcBorders>
                  <w:shd w:val="clear" w:color="auto" w:fill="auto"/>
                  <w:vAlign w:val="center"/>
                </w:tcPr>
                <w:p>
                  <w:pPr>
                    <w:wordWrap w:val="0"/>
                    <w:jc w:val="center"/>
                    <w:rPr>
                      <w:b/>
                      <w:bCs/>
                      <w:szCs w:val="18"/>
                      <w:highlight w:val="none"/>
                    </w:rPr>
                  </w:pPr>
                  <w:r>
                    <w:rPr>
                      <w:b/>
                      <w:bCs/>
                      <w:szCs w:val="18"/>
                      <w:highlight w:val="none"/>
                    </w:rPr>
                    <w:t>相符性分析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jc w:val="center"/>
              </w:trPr>
              <w:tc>
                <w:tcPr>
                  <w:tcW w:w="407" w:type="pct"/>
                  <w:tcBorders>
                    <w:tl2br w:val="nil"/>
                    <w:tr2bl w:val="nil"/>
                  </w:tcBorders>
                  <w:shd w:val="clear" w:color="auto" w:fill="auto"/>
                  <w:vAlign w:val="center"/>
                </w:tcPr>
                <w:p>
                  <w:pPr>
                    <w:wordWrap w:val="0"/>
                    <w:jc w:val="center"/>
                    <w:rPr>
                      <w:bCs/>
                      <w:szCs w:val="18"/>
                      <w:highlight w:val="none"/>
                    </w:rPr>
                  </w:pPr>
                  <w:r>
                    <w:rPr>
                      <w:rFonts w:hint="eastAsia"/>
                      <w:bCs/>
                      <w:szCs w:val="18"/>
                      <w:highlight w:val="none"/>
                    </w:rPr>
                    <w:t>1</w:t>
                  </w:r>
                </w:p>
              </w:tc>
              <w:tc>
                <w:tcPr>
                  <w:tcW w:w="3084" w:type="pct"/>
                  <w:tcBorders>
                    <w:tl2br w:val="nil"/>
                    <w:tr2bl w:val="nil"/>
                  </w:tcBorders>
                  <w:shd w:val="clear" w:color="auto" w:fill="auto"/>
                  <w:vAlign w:val="center"/>
                </w:tcPr>
                <w:p>
                  <w:pPr>
                    <w:wordWrap w:val="0"/>
                    <w:jc w:val="center"/>
                    <w:rPr>
                      <w:bCs/>
                      <w:szCs w:val="18"/>
                      <w:highlight w:val="none"/>
                    </w:rPr>
                  </w:pPr>
                  <w:r>
                    <w:rPr>
                      <w:rFonts w:hint="eastAsia"/>
                      <w:bCs/>
                      <w:szCs w:val="18"/>
                      <w:highlight w:val="none"/>
                    </w:rPr>
                    <w:t>明确替代要求。以工业涂装、包装印刷、木材加工、纺织（附件 1）等行业为重点，分阶段推进 3130 家企业（附件 2）清洁原料替代工作。实施替代的企业要使用符合《低挥发性有机化合物含量涂料产品技术要求》(GB/T38597-2020）规定的粉末、水性、无溶剂、辐射固化涂料产品；符合《油墨中可挥发性有机化合物( VOCs）含量的限值》（GB38507-2020）规定的水性油墨和能量固化油墨产品；符合《清洗剂挥发性有机化合物含量限值》（GB38508-2020）规定的水基、半水基清洗剂产品；符合《胶粘剂挥发性有机化合物限量》（GB33372-2020）规定的水基型、本体型胶粘剂产品。若确实无法达到上述要求，应提供相应的论证说明，相关涂料、油墨、清洗剂、胶粘剂等产品应符合相关标准中 VOCs 含量的限值要求。</w:t>
                  </w:r>
                </w:p>
              </w:tc>
              <w:tc>
                <w:tcPr>
                  <w:tcW w:w="1508" w:type="pct"/>
                  <w:tcBorders>
                    <w:tl2br w:val="nil"/>
                    <w:tr2bl w:val="nil"/>
                  </w:tcBorders>
                  <w:shd w:val="clear" w:color="auto" w:fill="auto"/>
                  <w:vAlign w:val="center"/>
                </w:tcPr>
                <w:p>
                  <w:pPr>
                    <w:wordWrap w:val="0"/>
                    <w:jc w:val="center"/>
                    <w:rPr>
                      <w:bCs/>
                      <w:szCs w:val="18"/>
                      <w:highlight w:val="none"/>
                    </w:rPr>
                  </w:pPr>
                  <w:r>
                    <w:rPr>
                      <w:rFonts w:hint="eastAsia"/>
                      <w:bCs/>
                      <w:szCs w:val="18"/>
                      <w:highlight w:val="none"/>
                    </w:rPr>
                    <w:t>本项目不属于工业涂装、包装印刷、木材加工、纺织（附件 1）等重点行业，不使用油墨、涂料、胶粘剂等原辅料。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jc w:val="center"/>
              </w:trPr>
              <w:tc>
                <w:tcPr>
                  <w:tcW w:w="407" w:type="pct"/>
                  <w:tcBorders>
                    <w:tl2br w:val="nil"/>
                    <w:tr2bl w:val="nil"/>
                  </w:tcBorders>
                  <w:shd w:val="clear" w:color="auto" w:fill="auto"/>
                  <w:vAlign w:val="center"/>
                </w:tcPr>
                <w:p>
                  <w:pPr>
                    <w:wordWrap w:val="0"/>
                    <w:jc w:val="center"/>
                    <w:rPr>
                      <w:bCs/>
                      <w:szCs w:val="18"/>
                      <w:highlight w:val="none"/>
                    </w:rPr>
                  </w:pPr>
                  <w:r>
                    <w:rPr>
                      <w:rFonts w:hint="eastAsia"/>
                      <w:bCs/>
                      <w:szCs w:val="18"/>
                      <w:highlight w:val="none"/>
                    </w:rPr>
                    <w:t>2</w:t>
                  </w:r>
                </w:p>
              </w:tc>
              <w:tc>
                <w:tcPr>
                  <w:tcW w:w="3084" w:type="pct"/>
                  <w:tcBorders>
                    <w:tl2br w:val="nil"/>
                    <w:tr2bl w:val="nil"/>
                  </w:tcBorders>
                  <w:shd w:val="clear" w:color="auto" w:fill="auto"/>
                  <w:vAlign w:val="center"/>
                </w:tcPr>
                <w:p>
                  <w:pPr>
                    <w:wordWrap w:val="0"/>
                    <w:jc w:val="center"/>
                    <w:rPr>
                      <w:bCs/>
                      <w:szCs w:val="18"/>
                      <w:highlight w:val="none"/>
                    </w:rPr>
                  </w:pPr>
                  <w:r>
                    <w:rPr>
                      <w:rFonts w:hint="eastAsia"/>
                      <w:bCs/>
                      <w:szCs w:val="18"/>
                      <w:highlight w:val="none"/>
                    </w:rPr>
                    <w:t>严格准入条件。禁止建设生产和使用高 VOCs含量的涂料、油墨、胶黏剂等项目。2021 年起，全省工业涂装、包装印刷、纺织、木材加工等行业以及涂料、油墨等生产企业的新（改、扩)建项目需满足低（无)VOCs 含量限值要求。省内市场上流通的水性涂料等低挥发性有机物含量涂料产品，执行国家《低挥发性有机化合物含量涂料产品技术要求》（GB/T38597-2020）。</w:t>
                  </w:r>
                </w:p>
              </w:tc>
              <w:tc>
                <w:tcPr>
                  <w:tcW w:w="1508" w:type="pct"/>
                  <w:tcBorders>
                    <w:tl2br w:val="nil"/>
                    <w:tr2bl w:val="nil"/>
                  </w:tcBorders>
                  <w:shd w:val="clear" w:color="auto" w:fill="auto"/>
                  <w:vAlign w:val="center"/>
                </w:tcPr>
                <w:p>
                  <w:pPr>
                    <w:wordWrap w:val="0"/>
                    <w:jc w:val="center"/>
                    <w:rPr>
                      <w:bCs/>
                      <w:szCs w:val="18"/>
                      <w:highlight w:val="none"/>
                    </w:rPr>
                  </w:pPr>
                  <w:r>
                    <w:rPr>
                      <w:rFonts w:hint="eastAsia"/>
                      <w:bCs/>
                      <w:szCs w:val="18"/>
                      <w:highlight w:val="none"/>
                    </w:rPr>
                    <w:t>项目不使用高V</w:t>
                  </w:r>
                  <w:r>
                    <w:rPr>
                      <w:bCs/>
                      <w:szCs w:val="18"/>
                      <w:highlight w:val="none"/>
                    </w:rPr>
                    <w:t>OC</w:t>
                  </w:r>
                  <w:r>
                    <w:rPr>
                      <w:rFonts w:hint="eastAsia"/>
                      <w:bCs/>
                      <w:szCs w:val="18"/>
                      <w:highlight w:val="none"/>
                    </w:rPr>
                    <w:t>s含量的涂料、油墨、胶黏剂。</w:t>
                  </w:r>
                </w:p>
              </w:tc>
            </w:tr>
          </w:tbl>
          <w:p>
            <w:pPr>
              <w:spacing w:line="360" w:lineRule="auto"/>
              <w:ind w:firstLine="482" w:firstLineChars="200"/>
              <w:rPr>
                <w:b/>
                <w:bCs/>
                <w:sz w:val="24"/>
                <w:szCs w:val="21"/>
                <w:highlight w:val="none"/>
              </w:rPr>
            </w:pPr>
            <w:r>
              <w:rPr>
                <w:b/>
                <w:bCs/>
                <w:sz w:val="24"/>
                <w:szCs w:val="21"/>
                <w:highlight w:val="none"/>
              </w:rPr>
              <w:t>（8）与</w:t>
            </w:r>
            <w:r>
              <w:rPr>
                <w:rFonts w:hint="eastAsia"/>
                <w:b/>
                <w:bCs/>
                <w:sz w:val="24"/>
                <w:szCs w:val="21"/>
                <w:highlight w:val="none"/>
              </w:rPr>
              <w:t>《挥发性有机物无组织排放控制标准》（GB37822-2019）</w:t>
            </w:r>
            <w:r>
              <w:rPr>
                <w:b/>
                <w:bCs/>
                <w:sz w:val="24"/>
                <w:szCs w:val="21"/>
                <w:highlight w:val="none"/>
              </w:rPr>
              <w:t>的相符性分析</w:t>
            </w:r>
          </w:p>
          <w:p>
            <w:pPr>
              <w:jc w:val="center"/>
              <w:rPr>
                <w:b/>
                <w:bCs/>
                <w:sz w:val="24"/>
                <w:szCs w:val="21"/>
                <w:highlight w:val="none"/>
              </w:rPr>
            </w:pPr>
            <w:r>
              <w:rPr>
                <w:b/>
                <w:bCs/>
                <w:sz w:val="24"/>
                <w:szCs w:val="21"/>
                <w:highlight w:val="none"/>
              </w:rPr>
              <w:t>表1-13  相符性分析一览表</w:t>
            </w:r>
          </w:p>
          <w:tbl>
            <w:tblPr>
              <w:tblStyle w:val="22"/>
              <w:tblW w:w="5000" w:type="pct"/>
              <w:tblInd w:w="0" w:type="dxa"/>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849"/>
              <w:gridCol w:w="3413"/>
              <w:gridCol w:w="2429"/>
              <w:gridCol w:w="1023"/>
            </w:tblGrid>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11" w:type="pct"/>
                  <w:tcBorders>
                    <w:top w:val="single" w:color="auto" w:sz="12" w:space="0"/>
                    <w:left w:val="nil"/>
                    <w:bottom w:val="single" w:color="auto" w:sz="4" w:space="0"/>
                    <w:right w:val="single" w:color="auto" w:sz="4" w:space="0"/>
                  </w:tcBorders>
                  <w:vAlign w:val="center"/>
                </w:tcPr>
                <w:p>
                  <w:pPr>
                    <w:pStyle w:val="57"/>
                    <w:widowControl/>
                    <w:jc w:val="center"/>
                    <w:rPr>
                      <w:b/>
                      <w:color w:val="auto"/>
                      <w:kern w:val="2"/>
                      <w:sz w:val="21"/>
                      <w:szCs w:val="21"/>
                      <w:highlight w:val="none"/>
                    </w:rPr>
                  </w:pPr>
                  <w:r>
                    <w:rPr>
                      <w:b/>
                      <w:color w:val="auto"/>
                      <w:kern w:val="2"/>
                      <w:sz w:val="21"/>
                      <w:szCs w:val="21"/>
                      <w:highlight w:val="none"/>
                    </w:rPr>
                    <w:t>内容</w:t>
                  </w:r>
                </w:p>
              </w:tc>
              <w:tc>
                <w:tcPr>
                  <w:tcW w:w="483" w:type="pct"/>
                  <w:tcBorders>
                    <w:top w:val="single" w:color="auto" w:sz="12" w:space="0"/>
                    <w:left w:val="single" w:color="auto" w:sz="4" w:space="0"/>
                    <w:bottom w:val="single" w:color="auto" w:sz="4" w:space="0"/>
                    <w:right w:val="single" w:color="auto" w:sz="4" w:space="0"/>
                  </w:tcBorders>
                  <w:vAlign w:val="center"/>
                </w:tcPr>
                <w:p>
                  <w:pPr>
                    <w:pStyle w:val="57"/>
                    <w:widowControl/>
                    <w:jc w:val="center"/>
                    <w:rPr>
                      <w:b/>
                      <w:color w:val="auto"/>
                      <w:kern w:val="2"/>
                      <w:sz w:val="21"/>
                      <w:szCs w:val="21"/>
                      <w:highlight w:val="none"/>
                    </w:rPr>
                  </w:pPr>
                  <w:r>
                    <w:rPr>
                      <w:b/>
                      <w:color w:val="auto"/>
                      <w:kern w:val="2"/>
                      <w:sz w:val="21"/>
                      <w:szCs w:val="21"/>
                      <w:highlight w:val="none"/>
                    </w:rPr>
                    <w:t>序号</w:t>
                  </w:r>
                </w:p>
              </w:tc>
              <w:tc>
                <w:tcPr>
                  <w:tcW w:w="1942" w:type="pct"/>
                  <w:tcBorders>
                    <w:top w:val="single" w:color="auto" w:sz="12" w:space="0"/>
                    <w:left w:val="single" w:color="auto" w:sz="4" w:space="0"/>
                    <w:bottom w:val="single" w:color="auto" w:sz="4" w:space="0"/>
                    <w:right w:val="single" w:color="auto" w:sz="4" w:space="0"/>
                  </w:tcBorders>
                  <w:vAlign w:val="center"/>
                </w:tcPr>
                <w:p>
                  <w:pPr>
                    <w:pStyle w:val="57"/>
                    <w:widowControl/>
                    <w:jc w:val="center"/>
                    <w:rPr>
                      <w:b/>
                      <w:color w:val="auto"/>
                      <w:kern w:val="2"/>
                      <w:sz w:val="21"/>
                      <w:szCs w:val="21"/>
                      <w:highlight w:val="none"/>
                    </w:rPr>
                  </w:pPr>
                  <w:r>
                    <w:rPr>
                      <w:b/>
                      <w:color w:val="auto"/>
                      <w:kern w:val="2"/>
                      <w:sz w:val="21"/>
                      <w:szCs w:val="21"/>
                      <w:highlight w:val="none"/>
                    </w:rPr>
                    <w:t>标准要求</w:t>
                  </w:r>
                </w:p>
              </w:tc>
              <w:tc>
                <w:tcPr>
                  <w:tcW w:w="1382" w:type="pct"/>
                  <w:tcBorders>
                    <w:top w:val="single" w:color="auto" w:sz="12" w:space="0"/>
                    <w:left w:val="single" w:color="auto" w:sz="4" w:space="0"/>
                    <w:bottom w:val="single" w:color="auto" w:sz="4" w:space="0"/>
                    <w:right w:val="single" w:color="auto" w:sz="4" w:space="0"/>
                  </w:tcBorders>
                  <w:vAlign w:val="center"/>
                </w:tcPr>
                <w:p>
                  <w:pPr>
                    <w:pStyle w:val="57"/>
                    <w:widowControl/>
                    <w:jc w:val="center"/>
                    <w:rPr>
                      <w:b/>
                      <w:color w:val="auto"/>
                      <w:kern w:val="2"/>
                      <w:sz w:val="21"/>
                      <w:szCs w:val="21"/>
                      <w:highlight w:val="none"/>
                    </w:rPr>
                  </w:pPr>
                  <w:r>
                    <w:rPr>
                      <w:b/>
                      <w:color w:val="auto"/>
                      <w:kern w:val="2"/>
                      <w:sz w:val="21"/>
                      <w:szCs w:val="21"/>
                      <w:highlight w:val="none"/>
                    </w:rPr>
                    <w:t>项目情况</w:t>
                  </w:r>
                </w:p>
              </w:tc>
              <w:tc>
                <w:tcPr>
                  <w:tcW w:w="582" w:type="pct"/>
                  <w:tcBorders>
                    <w:top w:val="single" w:color="auto" w:sz="12" w:space="0"/>
                    <w:left w:val="single" w:color="auto" w:sz="4" w:space="0"/>
                    <w:bottom w:val="single" w:color="auto" w:sz="4" w:space="0"/>
                    <w:right w:val="nil"/>
                  </w:tcBorders>
                  <w:vAlign w:val="center"/>
                </w:tcPr>
                <w:p>
                  <w:pPr>
                    <w:pStyle w:val="57"/>
                    <w:widowControl/>
                    <w:jc w:val="center"/>
                    <w:rPr>
                      <w:b/>
                      <w:color w:val="auto"/>
                      <w:kern w:val="2"/>
                      <w:sz w:val="21"/>
                      <w:szCs w:val="21"/>
                      <w:highlight w:val="none"/>
                    </w:rPr>
                  </w:pPr>
                  <w:r>
                    <w:rPr>
                      <w:b/>
                      <w:color w:val="auto"/>
                      <w:kern w:val="2"/>
                      <w:sz w:val="21"/>
                      <w:szCs w:val="21"/>
                      <w:highlight w:val="none"/>
                    </w:rPr>
                    <w:t>相符性</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11" w:type="pct"/>
                  <w:vMerge w:val="restart"/>
                  <w:tcBorders>
                    <w:top w:val="single" w:color="auto" w:sz="4" w:space="0"/>
                    <w:left w:val="nil"/>
                    <w:bottom w:val="single" w:color="auto" w:sz="4" w:space="0"/>
                    <w:right w:val="single" w:color="auto" w:sz="4" w:space="0"/>
                  </w:tcBorders>
                  <w:vAlign w:val="center"/>
                </w:tcPr>
                <w:p>
                  <w:pPr>
                    <w:pStyle w:val="57"/>
                    <w:widowControl/>
                    <w:jc w:val="center"/>
                    <w:rPr>
                      <w:color w:val="auto"/>
                      <w:kern w:val="2"/>
                      <w:sz w:val="21"/>
                      <w:szCs w:val="21"/>
                      <w:highlight w:val="none"/>
                    </w:rPr>
                  </w:pPr>
                  <w:r>
                    <w:rPr>
                      <w:color w:val="auto"/>
                      <w:kern w:val="2"/>
                      <w:sz w:val="21"/>
                      <w:szCs w:val="21"/>
                      <w:highlight w:val="none"/>
                    </w:rPr>
                    <w:t>VOCs物料储存无组织排放控制要求</w:t>
                  </w:r>
                </w:p>
              </w:tc>
              <w:tc>
                <w:tcPr>
                  <w:tcW w:w="483" w:type="pct"/>
                  <w:tcBorders>
                    <w:top w:val="single" w:color="auto" w:sz="4" w:space="0"/>
                    <w:left w:val="single" w:color="auto" w:sz="4" w:space="0"/>
                    <w:bottom w:val="single" w:color="auto" w:sz="4" w:space="0"/>
                    <w:right w:val="single" w:color="auto" w:sz="4" w:space="0"/>
                  </w:tcBorders>
                  <w:vAlign w:val="center"/>
                </w:tcPr>
                <w:p>
                  <w:pPr>
                    <w:pStyle w:val="57"/>
                    <w:widowControl/>
                    <w:jc w:val="center"/>
                    <w:rPr>
                      <w:color w:val="auto"/>
                      <w:kern w:val="2"/>
                      <w:sz w:val="21"/>
                      <w:szCs w:val="21"/>
                      <w:highlight w:val="none"/>
                    </w:rPr>
                  </w:pPr>
                  <w:r>
                    <w:rPr>
                      <w:color w:val="auto"/>
                      <w:kern w:val="2"/>
                      <w:sz w:val="21"/>
                      <w:szCs w:val="21"/>
                      <w:highlight w:val="none"/>
                    </w:rPr>
                    <w:t>（一）</w:t>
                  </w:r>
                </w:p>
              </w:tc>
              <w:tc>
                <w:tcPr>
                  <w:tcW w:w="1942" w:type="pct"/>
                  <w:tcBorders>
                    <w:top w:val="single" w:color="auto" w:sz="4" w:space="0"/>
                    <w:left w:val="single" w:color="auto" w:sz="4" w:space="0"/>
                    <w:bottom w:val="single" w:color="auto" w:sz="4" w:space="0"/>
                    <w:right w:val="single" w:color="auto" w:sz="4" w:space="0"/>
                  </w:tcBorders>
                  <w:vAlign w:val="center"/>
                </w:tcPr>
                <w:p>
                  <w:pPr>
                    <w:pStyle w:val="57"/>
                    <w:widowControl/>
                    <w:jc w:val="center"/>
                    <w:rPr>
                      <w:color w:val="auto"/>
                      <w:kern w:val="2"/>
                      <w:sz w:val="21"/>
                      <w:szCs w:val="21"/>
                      <w:highlight w:val="none"/>
                    </w:rPr>
                  </w:pPr>
                  <w:r>
                    <w:rPr>
                      <w:color w:val="auto"/>
                      <w:kern w:val="2"/>
                      <w:sz w:val="21"/>
                      <w:szCs w:val="21"/>
                      <w:highlight w:val="none"/>
                    </w:rPr>
                    <w:t>VOCs物料应储存于密闭的容器、包装袋、储罐、储库、料仓中。</w:t>
                  </w:r>
                </w:p>
              </w:tc>
              <w:tc>
                <w:tcPr>
                  <w:tcW w:w="1382" w:type="pct"/>
                  <w:tcBorders>
                    <w:top w:val="single" w:color="auto" w:sz="4" w:space="0"/>
                    <w:left w:val="single" w:color="auto" w:sz="4" w:space="0"/>
                    <w:bottom w:val="single" w:color="auto" w:sz="4" w:space="0"/>
                    <w:right w:val="single" w:color="auto" w:sz="4" w:space="0"/>
                  </w:tcBorders>
                  <w:vAlign w:val="center"/>
                </w:tcPr>
                <w:p>
                  <w:pPr>
                    <w:pStyle w:val="57"/>
                    <w:widowControl/>
                    <w:jc w:val="center"/>
                    <w:rPr>
                      <w:color w:val="auto"/>
                      <w:kern w:val="2"/>
                      <w:sz w:val="21"/>
                      <w:szCs w:val="21"/>
                      <w:highlight w:val="none"/>
                    </w:rPr>
                  </w:pPr>
                  <w:r>
                    <w:rPr>
                      <w:rFonts w:hint="eastAsia"/>
                      <w:color w:val="auto"/>
                      <w:kern w:val="2"/>
                      <w:sz w:val="21"/>
                      <w:szCs w:val="21"/>
                      <w:highlight w:val="none"/>
                    </w:rPr>
                    <w:t>本项目无</w:t>
                  </w:r>
                  <w:r>
                    <w:rPr>
                      <w:color w:val="auto"/>
                      <w:kern w:val="2"/>
                      <w:sz w:val="21"/>
                      <w:szCs w:val="21"/>
                      <w:highlight w:val="none"/>
                    </w:rPr>
                    <w:t>VOC</w:t>
                  </w:r>
                  <w:r>
                    <w:rPr>
                      <w:rFonts w:hint="eastAsia"/>
                      <w:color w:val="auto"/>
                      <w:kern w:val="2"/>
                      <w:sz w:val="21"/>
                      <w:szCs w:val="21"/>
                      <w:highlight w:val="none"/>
                    </w:rPr>
                    <w:t>s物料，不涉及</w:t>
                  </w:r>
                </w:p>
              </w:tc>
              <w:tc>
                <w:tcPr>
                  <w:tcW w:w="582" w:type="pct"/>
                  <w:tcBorders>
                    <w:top w:val="single" w:color="auto" w:sz="4" w:space="0"/>
                    <w:left w:val="single" w:color="auto" w:sz="4" w:space="0"/>
                    <w:bottom w:val="single" w:color="auto" w:sz="4" w:space="0"/>
                    <w:right w:val="nil"/>
                  </w:tcBorders>
                  <w:vAlign w:val="center"/>
                </w:tcPr>
                <w:p>
                  <w:pPr>
                    <w:pStyle w:val="57"/>
                    <w:widowControl/>
                    <w:jc w:val="center"/>
                    <w:rPr>
                      <w:color w:val="auto"/>
                      <w:kern w:val="2"/>
                      <w:sz w:val="21"/>
                      <w:szCs w:val="21"/>
                      <w:highlight w:val="none"/>
                    </w:rPr>
                  </w:pPr>
                  <w:r>
                    <w:rPr>
                      <w:color w:val="auto"/>
                      <w:kern w:val="2"/>
                      <w:sz w:val="21"/>
                      <w:szCs w:val="21"/>
                      <w:highlight w:val="none"/>
                    </w:rPr>
                    <w:t>相符</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11" w:type="pct"/>
                  <w:vMerge w:val="continue"/>
                  <w:tcBorders>
                    <w:top w:val="single" w:color="auto" w:sz="4" w:space="0"/>
                    <w:left w:val="nil"/>
                    <w:bottom w:val="single" w:color="auto" w:sz="4" w:space="0"/>
                    <w:right w:val="single" w:color="auto" w:sz="4" w:space="0"/>
                  </w:tcBorders>
                  <w:vAlign w:val="center"/>
                </w:tcPr>
                <w:p>
                  <w:pPr>
                    <w:rPr>
                      <w:szCs w:val="22"/>
                      <w:highlight w:val="none"/>
                    </w:rPr>
                  </w:pPr>
                </w:p>
              </w:tc>
              <w:tc>
                <w:tcPr>
                  <w:tcW w:w="483" w:type="pct"/>
                  <w:tcBorders>
                    <w:top w:val="single" w:color="auto" w:sz="4" w:space="0"/>
                    <w:left w:val="single" w:color="auto" w:sz="4" w:space="0"/>
                    <w:bottom w:val="single" w:color="auto" w:sz="4" w:space="0"/>
                    <w:right w:val="single" w:color="auto" w:sz="4" w:space="0"/>
                  </w:tcBorders>
                  <w:vAlign w:val="center"/>
                </w:tcPr>
                <w:p>
                  <w:pPr>
                    <w:pStyle w:val="57"/>
                    <w:widowControl/>
                    <w:jc w:val="center"/>
                    <w:rPr>
                      <w:color w:val="auto"/>
                      <w:kern w:val="2"/>
                      <w:sz w:val="21"/>
                      <w:szCs w:val="21"/>
                      <w:highlight w:val="none"/>
                    </w:rPr>
                  </w:pPr>
                  <w:r>
                    <w:rPr>
                      <w:color w:val="auto"/>
                      <w:kern w:val="2"/>
                      <w:sz w:val="21"/>
                      <w:szCs w:val="21"/>
                      <w:highlight w:val="none"/>
                    </w:rPr>
                    <w:t>（二）</w:t>
                  </w:r>
                </w:p>
              </w:tc>
              <w:tc>
                <w:tcPr>
                  <w:tcW w:w="1942" w:type="pct"/>
                  <w:tcBorders>
                    <w:top w:val="single" w:color="auto" w:sz="4" w:space="0"/>
                    <w:left w:val="single" w:color="auto" w:sz="4" w:space="0"/>
                    <w:bottom w:val="single" w:color="auto" w:sz="4" w:space="0"/>
                    <w:right w:val="single" w:color="auto" w:sz="4" w:space="0"/>
                  </w:tcBorders>
                  <w:vAlign w:val="center"/>
                </w:tcPr>
                <w:p>
                  <w:pPr>
                    <w:pStyle w:val="57"/>
                    <w:widowControl/>
                    <w:jc w:val="center"/>
                    <w:rPr>
                      <w:color w:val="auto"/>
                      <w:kern w:val="2"/>
                      <w:sz w:val="21"/>
                      <w:szCs w:val="21"/>
                      <w:highlight w:val="none"/>
                    </w:rPr>
                  </w:pPr>
                  <w:r>
                    <w:rPr>
                      <w:color w:val="auto"/>
                      <w:kern w:val="2"/>
                      <w:sz w:val="21"/>
                      <w:szCs w:val="21"/>
                      <w:highlight w:val="none"/>
                    </w:rPr>
                    <w:t>盛装VOCs物料的容器或包装袋应存放于室内，或存放于设置有雨棚、遮阳和防渗设施的专用场地。盛装VOCs 物料的容器或包装袋在非取用状态时应加盖、封口，保持密闭。</w:t>
                  </w:r>
                </w:p>
              </w:tc>
              <w:tc>
                <w:tcPr>
                  <w:tcW w:w="1382" w:type="pct"/>
                  <w:tcBorders>
                    <w:top w:val="single" w:color="auto" w:sz="4" w:space="0"/>
                    <w:left w:val="single" w:color="auto" w:sz="4" w:space="0"/>
                    <w:bottom w:val="single" w:color="auto" w:sz="4" w:space="0"/>
                    <w:right w:val="single" w:color="auto" w:sz="4" w:space="0"/>
                  </w:tcBorders>
                  <w:vAlign w:val="center"/>
                </w:tcPr>
                <w:p>
                  <w:pPr>
                    <w:pStyle w:val="57"/>
                    <w:widowControl/>
                    <w:jc w:val="center"/>
                    <w:rPr>
                      <w:color w:val="auto"/>
                      <w:kern w:val="2"/>
                      <w:sz w:val="21"/>
                      <w:szCs w:val="21"/>
                      <w:highlight w:val="none"/>
                    </w:rPr>
                  </w:pPr>
                  <w:r>
                    <w:rPr>
                      <w:rFonts w:hint="eastAsia"/>
                      <w:color w:val="auto"/>
                      <w:kern w:val="2"/>
                      <w:sz w:val="21"/>
                      <w:szCs w:val="21"/>
                      <w:highlight w:val="none"/>
                    </w:rPr>
                    <w:t>本项目无</w:t>
                  </w:r>
                  <w:r>
                    <w:rPr>
                      <w:color w:val="auto"/>
                      <w:kern w:val="2"/>
                      <w:sz w:val="21"/>
                      <w:szCs w:val="21"/>
                      <w:highlight w:val="none"/>
                    </w:rPr>
                    <w:t>VOC</w:t>
                  </w:r>
                  <w:r>
                    <w:rPr>
                      <w:rFonts w:hint="eastAsia"/>
                      <w:color w:val="auto"/>
                      <w:kern w:val="2"/>
                      <w:sz w:val="21"/>
                      <w:szCs w:val="21"/>
                      <w:highlight w:val="none"/>
                    </w:rPr>
                    <w:t>s物料，不涉及</w:t>
                  </w:r>
                </w:p>
              </w:tc>
              <w:tc>
                <w:tcPr>
                  <w:tcW w:w="582" w:type="pct"/>
                  <w:tcBorders>
                    <w:top w:val="single" w:color="auto" w:sz="4" w:space="0"/>
                    <w:left w:val="single" w:color="auto" w:sz="4" w:space="0"/>
                    <w:bottom w:val="single" w:color="auto" w:sz="4" w:space="0"/>
                    <w:right w:val="nil"/>
                  </w:tcBorders>
                  <w:vAlign w:val="center"/>
                </w:tcPr>
                <w:p>
                  <w:pPr>
                    <w:pStyle w:val="57"/>
                    <w:widowControl/>
                    <w:jc w:val="center"/>
                    <w:rPr>
                      <w:color w:val="auto"/>
                      <w:kern w:val="2"/>
                      <w:sz w:val="21"/>
                      <w:szCs w:val="21"/>
                      <w:highlight w:val="none"/>
                    </w:rPr>
                  </w:pPr>
                  <w:r>
                    <w:rPr>
                      <w:color w:val="auto"/>
                      <w:kern w:val="2"/>
                      <w:sz w:val="21"/>
                      <w:szCs w:val="21"/>
                      <w:highlight w:val="none"/>
                    </w:rPr>
                    <w:t>相符</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PrEx>
              <w:trPr>
                <w:trHeight w:val="1651" w:hRule="atLeast"/>
              </w:trPr>
              <w:tc>
                <w:tcPr>
                  <w:tcW w:w="611" w:type="pct"/>
                  <w:tcBorders>
                    <w:top w:val="single" w:color="auto" w:sz="4" w:space="0"/>
                    <w:left w:val="nil"/>
                    <w:bottom w:val="single" w:color="auto" w:sz="4" w:space="0"/>
                    <w:right w:val="single" w:color="auto" w:sz="4" w:space="0"/>
                  </w:tcBorders>
                  <w:vAlign w:val="center"/>
                </w:tcPr>
                <w:p>
                  <w:pPr>
                    <w:pStyle w:val="57"/>
                    <w:widowControl/>
                    <w:jc w:val="center"/>
                    <w:rPr>
                      <w:color w:val="auto"/>
                      <w:kern w:val="2"/>
                      <w:sz w:val="21"/>
                      <w:szCs w:val="21"/>
                      <w:highlight w:val="none"/>
                    </w:rPr>
                  </w:pPr>
                  <w:r>
                    <w:rPr>
                      <w:color w:val="auto"/>
                      <w:kern w:val="2"/>
                      <w:sz w:val="21"/>
                      <w:szCs w:val="21"/>
                      <w:highlight w:val="none"/>
                    </w:rPr>
                    <w:t>VOCs物料转移和输送无组织排放控制要求</w:t>
                  </w:r>
                </w:p>
              </w:tc>
              <w:tc>
                <w:tcPr>
                  <w:tcW w:w="483" w:type="pct"/>
                  <w:tcBorders>
                    <w:top w:val="single" w:color="auto" w:sz="4" w:space="0"/>
                    <w:left w:val="single" w:color="auto" w:sz="4" w:space="0"/>
                    <w:bottom w:val="single" w:color="auto" w:sz="4" w:space="0"/>
                    <w:right w:val="single" w:color="auto" w:sz="4" w:space="0"/>
                  </w:tcBorders>
                  <w:vAlign w:val="center"/>
                </w:tcPr>
                <w:p>
                  <w:pPr>
                    <w:pStyle w:val="57"/>
                    <w:widowControl/>
                    <w:jc w:val="center"/>
                    <w:rPr>
                      <w:color w:val="auto"/>
                      <w:kern w:val="2"/>
                      <w:sz w:val="21"/>
                      <w:szCs w:val="21"/>
                      <w:highlight w:val="none"/>
                    </w:rPr>
                  </w:pPr>
                  <w:r>
                    <w:rPr>
                      <w:color w:val="auto"/>
                      <w:kern w:val="2"/>
                      <w:sz w:val="21"/>
                      <w:szCs w:val="21"/>
                      <w:highlight w:val="none"/>
                    </w:rPr>
                    <w:t>（一）</w:t>
                  </w:r>
                </w:p>
              </w:tc>
              <w:tc>
                <w:tcPr>
                  <w:tcW w:w="1942" w:type="pct"/>
                  <w:tcBorders>
                    <w:top w:val="single" w:color="auto" w:sz="4" w:space="0"/>
                    <w:left w:val="single" w:color="auto" w:sz="4" w:space="0"/>
                    <w:bottom w:val="single" w:color="auto" w:sz="4" w:space="0"/>
                    <w:right w:val="single" w:color="auto" w:sz="4" w:space="0"/>
                  </w:tcBorders>
                  <w:vAlign w:val="center"/>
                </w:tcPr>
                <w:p>
                  <w:pPr>
                    <w:pStyle w:val="57"/>
                    <w:widowControl/>
                    <w:jc w:val="center"/>
                    <w:rPr>
                      <w:color w:val="auto"/>
                      <w:kern w:val="2"/>
                      <w:sz w:val="21"/>
                      <w:szCs w:val="21"/>
                      <w:highlight w:val="none"/>
                    </w:rPr>
                  </w:pPr>
                  <w:r>
                    <w:rPr>
                      <w:color w:val="auto"/>
                      <w:kern w:val="2"/>
                      <w:sz w:val="21"/>
                      <w:szCs w:val="21"/>
                      <w:highlight w:val="none"/>
                    </w:rPr>
                    <w:t>粉状、粒状VOCs物料应采用气力输送设备、管状带式输送机、螺旋输送机等密闭输送方式，或者采用密闭的包装袋、容器或罐车进行物料转移。</w:t>
                  </w:r>
                </w:p>
              </w:tc>
              <w:tc>
                <w:tcPr>
                  <w:tcW w:w="1382" w:type="pct"/>
                  <w:tcBorders>
                    <w:top w:val="single" w:color="auto" w:sz="4" w:space="0"/>
                    <w:left w:val="single" w:color="auto" w:sz="4" w:space="0"/>
                    <w:bottom w:val="single" w:color="auto" w:sz="4" w:space="0"/>
                    <w:right w:val="single" w:color="auto" w:sz="4" w:space="0"/>
                  </w:tcBorders>
                  <w:vAlign w:val="center"/>
                </w:tcPr>
                <w:p>
                  <w:pPr>
                    <w:pStyle w:val="57"/>
                    <w:widowControl/>
                    <w:jc w:val="center"/>
                    <w:rPr>
                      <w:color w:val="auto"/>
                      <w:kern w:val="2"/>
                      <w:sz w:val="21"/>
                      <w:szCs w:val="21"/>
                      <w:highlight w:val="none"/>
                    </w:rPr>
                  </w:pPr>
                  <w:r>
                    <w:rPr>
                      <w:rFonts w:hint="eastAsia"/>
                      <w:color w:val="auto"/>
                      <w:kern w:val="2"/>
                      <w:sz w:val="21"/>
                      <w:szCs w:val="21"/>
                      <w:highlight w:val="none"/>
                    </w:rPr>
                    <w:t>本项目无</w:t>
                  </w:r>
                  <w:r>
                    <w:rPr>
                      <w:color w:val="auto"/>
                      <w:kern w:val="2"/>
                      <w:sz w:val="21"/>
                      <w:szCs w:val="21"/>
                      <w:highlight w:val="none"/>
                    </w:rPr>
                    <w:t>VOC</w:t>
                  </w:r>
                  <w:r>
                    <w:rPr>
                      <w:rFonts w:hint="eastAsia"/>
                      <w:color w:val="auto"/>
                      <w:kern w:val="2"/>
                      <w:sz w:val="21"/>
                      <w:szCs w:val="21"/>
                      <w:highlight w:val="none"/>
                    </w:rPr>
                    <w:t>s物料，不涉及</w:t>
                  </w:r>
                </w:p>
              </w:tc>
              <w:tc>
                <w:tcPr>
                  <w:tcW w:w="582" w:type="pct"/>
                  <w:tcBorders>
                    <w:top w:val="single" w:color="auto" w:sz="4" w:space="0"/>
                    <w:left w:val="single" w:color="auto" w:sz="4" w:space="0"/>
                    <w:bottom w:val="single" w:color="auto" w:sz="4" w:space="0"/>
                    <w:right w:val="nil"/>
                  </w:tcBorders>
                  <w:vAlign w:val="center"/>
                </w:tcPr>
                <w:p>
                  <w:pPr>
                    <w:pStyle w:val="57"/>
                    <w:widowControl/>
                    <w:jc w:val="center"/>
                    <w:rPr>
                      <w:color w:val="auto"/>
                      <w:kern w:val="2"/>
                      <w:sz w:val="21"/>
                      <w:szCs w:val="21"/>
                      <w:highlight w:val="none"/>
                    </w:rPr>
                  </w:pPr>
                  <w:r>
                    <w:rPr>
                      <w:color w:val="auto"/>
                      <w:kern w:val="2"/>
                      <w:sz w:val="21"/>
                      <w:szCs w:val="21"/>
                      <w:highlight w:val="none"/>
                    </w:rPr>
                    <w:t>相符</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611" w:type="pct"/>
                  <w:tcBorders>
                    <w:top w:val="single" w:color="auto" w:sz="4" w:space="0"/>
                    <w:left w:val="nil"/>
                    <w:bottom w:val="single" w:color="auto" w:sz="4" w:space="0"/>
                    <w:right w:val="single" w:color="auto" w:sz="4" w:space="0"/>
                  </w:tcBorders>
                  <w:vAlign w:val="center"/>
                </w:tcPr>
                <w:p>
                  <w:pPr>
                    <w:pStyle w:val="57"/>
                    <w:widowControl/>
                    <w:jc w:val="center"/>
                    <w:rPr>
                      <w:color w:val="auto"/>
                      <w:kern w:val="2"/>
                      <w:sz w:val="21"/>
                      <w:szCs w:val="21"/>
                      <w:highlight w:val="none"/>
                    </w:rPr>
                  </w:pPr>
                  <w:r>
                    <w:rPr>
                      <w:color w:val="auto"/>
                      <w:kern w:val="2"/>
                      <w:sz w:val="21"/>
                      <w:szCs w:val="21"/>
                      <w:highlight w:val="none"/>
                    </w:rPr>
                    <w:t>工艺过程VOCs无组织排放控制要求</w:t>
                  </w:r>
                </w:p>
              </w:tc>
              <w:tc>
                <w:tcPr>
                  <w:tcW w:w="483" w:type="pct"/>
                  <w:tcBorders>
                    <w:top w:val="single" w:color="auto" w:sz="4" w:space="0"/>
                    <w:left w:val="single" w:color="auto" w:sz="4" w:space="0"/>
                    <w:bottom w:val="single" w:color="auto" w:sz="4" w:space="0"/>
                    <w:right w:val="single" w:color="auto" w:sz="4" w:space="0"/>
                  </w:tcBorders>
                  <w:vAlign w:val="center"/>
                </w:tcPr>
                <w:p>
                  <w:pPr>
                    <w:pStyle w:val="57"/>
                    <w:widowControl/>
                    <w:jc w:val="center"/>
                    <w:rPr>
                      <w:color w:val="auto"/>
                      <w:kern w:val="2"/>
                      <w:sz w:val="21"/>
                      <w:szCs w:val="21"/>
                      <w:highlight w:val="none"/>
                    </w:rPr>
                  </w:pPr>
                  <w:r>
                    <w:rPr>
                      <w:color w:val="auto"/>
                      <w:kern w:val="2"/>
                      <w:sz w:val="21"/>
                      <w:szCs w:val="21"/>
                      <w:highlight w:val="none"/>
                    </w:rPr>
                    <w:t>（一）</w:t>
                  </w:r>
                </w:p>
              </w:tc>
              <w:tc>
                <w:tcPr>
                  <w:tcW w:w="1942" w:type="pct"/>
                  <w:tcBorders>
                    <w:top w:val="single" w:color="auto" w:sz="4" w:space="0"/>
                    <w:left w:val="single" w:color="auto" w:sz="4" w:space="0"/>
                    <w:bottom w:val="single" w:color="auto" w:sz="4" w:space="0"/>
                    <w:right w:val="single" w:color="auto" w:sz="4" w:space="0"/>
                  </w:tcBorders>
                  <w:vAlign w:val="center"/>
                </w:tcPr>
                <w:p>
                  <w:pPr>
                    <w:pStyle w:val="57"/>
                    <w:widowControl/>
                    <w:jc w:val="center"/>
                    <w:rPr>
                      <w:color w:val="auto"/>
                      <w:kern w:val="2"/>
                      <w:sz w:val="21"/>
                      <w:szCs w:val="21"/>
                      <w:highlight w:val="none"/>
                    </w:rPr>
                  </w:pPr>
                  <w:r>
                    <w:rPr>
                      <w:color w:val="auto"/>
                      <w:kern w:val="2"/>
                      <w:sz w:val="21"/>
                      <w:szCs w:val="21"/>
                      <w:highlight w:val="none"/>
                    </w:rPr>
                    <w:t>有机聚合物产品用于制品生产的过程，在混合/混炼、塑炼/塑化/熔化、加工成型（挤出、注射、压制、压延、发泡、纺丝等）等作业中应采用密闭设备或在密闭空间内操作，废气应排至VOCs 废气收集处理系统；无法密闭的，应采取局部气体收集措施，废气应排至VOCs 废气收集处理系统。</w:t>
                  </w:r>
                </w:p>
              </w:tc>
              <w:tc>
                <w:tcPr>
                  <w:tcW w:w="1382" w:type="pct"/>
                  <w:tcBorders>
                    <w:top w:val="single" w:color="auto" w:sz="4" w:space="0"/>
                    <w:left w:val="single" w:color="auto" w:sz="4" w:space="0"/>
                    <w:bottom w:val="single" w:color="auto" w:sz="4" w:space="0"/>
                    <w:right w:val="single" w:color="auto" w:sz="4" w:space="0"/>
                  </w:tcBorders>
                  <w:vAlign w:val="center"/>
                </w:tcPr>
                <w:p>
                  <w:pPr>
                    <w:pStyle w:val="57"/>
                    <w:widowControl/>
                    <w:jc w:val="center"/>
                    <w:rPr>
                      <w:color w:val="auto"/>
                      <w:kern w:val="2"/>
                      <w:sz w:val="21"/>
                      <w:szCs w:val="21"/>
                      <w:highlight w:val="none"/>
                    </w:rPr>
                  </w:pPr>
                  <w:r>
                    <w:rPr>
                      <w:color w:val="auto"/>
                      <w:kern w:val="2"/>
                      <w:sz w:val="21"/>
                      <w:szCs w:val="21"/>
                      <w:highlight w:val="none"/>
                    </w:rPr>
                    <w:t>本项目不涉及有机聚合工艺。</w:t>
                  </w:r>
                </w:p>
              </w:tc>
              <w:tc>
                <w:tcPr>
                  <w:tcW w:w="582" w:type="pct"/>
                  <w:tcBorders>
                    <w:top w:val="single" w:color="auto" w:sz="4" w:space="0"/>
                    <w:left w:val="single" w:color="auto" w:sz="4" w:space="0"/>
                    <w:bottom w:val="single" w:color="auto" w:sz="4" w:space="0"/>
                    <w:right w:val="nil"/>
                  </w:tcBorders>
                  <w:vAlign w:val="center"/>
                </w:tcPr>
                <w:p>
                  <w:pPr>
                    <w:pStyle w:val="57"/>
                    <w:widowControl/>
                    <w:jc w:val="center"/>
                    <w:rPr>
                      <w:color w:val="auto"/>
                      <w:kern w:val="2"/>
                      <w:sz w:val="21"/>
                      <w:szCs w:val="21"/>
                      <w:highlight w:val="none"/>
                    </w:rPr>
                  </w:pPr>
                  <w:r>
                    <w:rPr>
                      <w:color w:val="auto"/>
                      <w:kern w:val="2"/>
                      <w:sz w:val="21"/>
                      <w:szCs w:val="21"/>
                      <w:highlight w:val="none"/>
                    </w:rPr>
                    <w:t>相符</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PrEx>
              <w:trPr>
                <w:trHeight w:val="2390" w:hRule="atLeast"/>
              </w:trPr>
              <w:tc>
                <w:tcPr>
                  <w:tcW w:w="611" w:type="pct"/>
                  <w:vMerge w:val="restart"/>
                  <w:tcBorders>
                    <w:top w:val="single" w:color="auto" w:sz="4" w:space="0"/>
                    <w:left w:val="nil"/>
                    <w:bottom w:val="single" w:color="auto" w:sz="12" w:space="0"/>
                    <w:right w:val="single" w:color="auto" w:sz="4" w:space="0"/>
                  </w:tcBorders>
                  <w:vAlign w:val="center"/>
                </w:tcPr>
                <w:p>
                  <w:pPr>
                    <w:pStyle w:val="57"/>
                    <w:widowControl/>
                    <w:jc w:val="center"/>
                    <w:rPr>
                      <w:color w:val="auto"/>
                      <w:kern w:val="2"/>
                      <w:sz w:val="21"/>
                      <w:szCs w:val="21"/>
                      <w:highlight w:val="none"/>
                    </w:rPr>
                  </w:pPr>
                  <w:r>
                    <w:rPr>
                      <w:color w:val="auto"/>
                      <w:kern w:val="2"/>
                      <w:sz w:val="21"/>
                      <w:szCs w:val="21"/>
                      <w:highlight w:val="none"/>
                    </w:rPr>
                    <w:t>VOCs无组织排放废气收集处理系统要求</w:t>
                  </w:r>
                </w:p>
              </w:tc>
              <w:tc>
                <w:tcPr>
                  <w:tcW w:w="483" w:type="pct"/>
                  <w:tcBorders>
                    <w:top w:val="single" w:color="auto" w:sz="4" w:space="0"/>
                    <w:left w:val="single" w:color="auto" w:sz="4" w:space="0"/>
                    <w:bottom w:val="single" w:color="auto" w:sz="4" w:space="0"/>
                    <w:right w:val="single" w:color="auto" w:sz="4" w:space="0"/>
                  </w:tcBorders>
                  <w:vAlign w:val="center"/>
                </w:tcPr>
                <w:p>
                  <w:pPr>
                    <w:pStyle w:val="57"/>
                    <w:widowControl/>
                    <w:jc w:val="center"/>
                    <w:rPr>
                      <w:color w:val="auto"/>
                      <w:kern w:val="2"/>
                      <w:sz w:val="21"/>
                      <w:szCs w:val="21"/>
                      <w:highlight w:val="none"/>
                    </w:rPr>
                  </w:pPr>
                  <w:r>
                    <w:rPr>
                      <w:color w:val="auto"/>
                      <w:kern w:val="2"/>
                      <w:sz w:val="21"/>
                      <w:szCs w:val="21"/>
                      <w:highlight w:val="none"/>
                    </w:rPr>
                    <w:t>（一）</w:t>
                  </w:r>
                </w:p>
              </w:tc>
              <w:tc>
                <w:tcPr>
                  <w:tcW w:w="1942" w:type="pct"/>
                  <w:tcBorders>
                    <w:top w:val="single" w:color="auto" w:sz="4" w:space="0"/>
                    <w:left w:val="single" w:color="auto" w:sz="4" w:space="0"/>
                    <w:bottom w:val="single" w:color="auto" w:sz="4" w:space="0"/>
                    <w:right w:val="single" w:color="auto" w:sz="4" w:space="0"/>
                  </w:tcBorders>
                  <w:vAlign w:val="center"/>
                </w:tcPr>
                <w:p>
                  <w:pPr>
                    <w:pStyle w:val="57"/>
                    <w:widowControl/>
                    <w:jc w:val="center"/>
                    <w:rPr>
                      <w:color w:val="auto"/>
                      <w:kern w:val="2"/>
                      <w:sz w:val="21"/>
                      <w:szCs w:val="21"/>
                      <w:highlight w:val="none"/>
                    </w:rPr>
                  </w:pPr>
                  <w:r>
                    <w:rPr>
                      <w:color w:val="auto"/>
                      <w:kern w:val="2"/>
                      <w:sz w:val="21"/>
                      <w:szCs w:val="21"/>
                      <w:highlight w:val="none"/>
                    </w:rPr>
                    <w:t>VOCs 废气收集处理系统应与生产工艺设备同步运行。VOCs 废气收集处理系统发生故障或检修时，对应的生产工艺设备应停止运行，待检修完毕后同步投入使用；生产工艺设备不能停止运行或不能及时停止运行的，应设置废气应急处理设施或采取其他替代措施。</w:t>
                  </w:r>
                </w:p>
              </w:tc>
              <w:tc>
                <w:tcPr>
                  <w:tcW w:w="1382" w:type="pct"/>
                  <w:tcBorders>
                    <w:top w:val="single" w:color="auto" w:sz="4" w:space="0"/>
                    <w:left w:val="single" w:color="auto" w:sz="4" w:space="0"/>
                    <w:bottom w:val="single" w:color="auto" w:sz="4" w:space="0"/>
                    <w:right w:val="single" w:color="auto" w:sz="4" w:space="0"/>
                  </w:tcBorders>
                  <w:vAlign w:val="center"/>
                </w:tcPr>
                <w:p>
                  <w:pPr>
                    <w:pStyle w:val="57"/>
                    <w:widowControl/>
                    <w:jc w:val="center"/>
                    <w:rPr>
                      <w:color w:val="auto"/>
                      <w:kern w:val="2"/>
                      <w:sz w:val="21"/>
                      <w:szCs w:val="21"/>
                      <w:highlight w:val="none"/>
                    </w:rPr>
                  </w:pPr>
                  <w:r>
                    <w:rPr>
                      <w:rFonts w:hint="eastAsia"/>
                      <w:color w:val="auto"/>
                      <w:kern w:val="2"/>
                      <w:sz w:val="21"/>
                      <w:szCs w:val="21"/>
                      <w:highlight w:val="none"/>
                    </w:rPr>
                    <w:t>本项目不涉及。</w:t>
                  </w:r>
                </w:p>
              </w:tc>
              <w:tc>
                <w:tcPr>
                  <w:tcW w:w="582" w:type="pct"/>
                  <w:tcBorders>
                    <w:top w:val="single" w:color="auto" w:sz="4" w:space="0"/>
                    <w:left w:val="single" w:color="auto" w:sz="4" w:space="0"/>
                    <w:bottom w:val="single" w:color="auto" w:sz="4" w:space="0"/>
                    <w:right w:val="nil"/>
                  </w:tcBorders>
                  <w:vAlign w:val="center"/>
                </w:tcPr>
                <w:p>
                  <w:pPr>
                    <w:pStyle w:val="57"/>
                    <w:widowControl/>
                    <w:jc w:val="center"/>
                    <w:rPr>
                      <w:color w:val="auto"/>
                      <w:kern w:val="2"/>
                      <w:sz w:val="21"/>
                      <w:szCs w:val="21"/>
                      <w:highlight w:val="none"/>
                    </w:rPr>
                  </w:pPr>
                  <w:r>
                    <w:rPr>
                      <w:color w:val="auto"/>
                      <w:kern w:val="2"/>
                      <w:sz w:val="21"/>
                      <w:szCs w:val="21"/>
                      <w:highlight w:val="none"/>
                    </w:rPr>
                    <w:t>相符</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11" w:type="pct"/>
                  <w:vMerge w:val="continue"/>
                  <w:tcBorders>
                    <w:top w:val="single" w:color="auto" w:sz="4" w:space="0"/>
                    <w:left w:val="nil"/>
                    <w:bottom w:val="single" w:color="auto" w:sz="12" w:space="0"/>
                    <w:right w:val="single" w:color="auto" w:sz="4" w:space="0"/>
                  </w:tcBorders>
                  <w:vAlign w:val="center"/>
                </w:tcPr>
                <w:p>
                  <w:pPr>
                    <w:rPr>
                      <w:szCs w:val="22"/>
                      <w:highlight w:val="yellow"/>
                    </w:rPr>
                  </w:pPr>
                </w:p>
              </w:tc>
              <w:tc>
                <w:tcPr>
                  <w:tcW w:w="483" w:type="pct"/>
                  <w:tcBorders>
                    <w:top w:val="single" w:color="auto" w:sz="4" w:space="0"/>
                    <w:left w:val="single" w:color="auto" w:sz="4" w:space="0"/>
                    <w:bottom w:val="single" w:color="auto" w:sz="4" w:space="0"/>
                    <w:right w:val="single" w:color="auto" w:sz="4" w:space="0"/>
                  </w:tcBorders>
                  <w:vAlign w:val="center"/>
                </w:tcPr>
                <w:p>
                  <w:pPr>
                    <w:pStyle w:val="57"/>
                    <w:widowControl/>
                    <w:jc w:val="center"/>
                    <w:rPr>
                      <w:color w:val="auto"/>
                      <w:kern w:val="2"/>
                      <w:sz w:val="21"/>
                      <w:szCs w:val="21"/>
                      <w:highlight w:val="none"/>
                    </w:rPr>
                  </w:pPr>
                  <w:r>
                    <w:rPr>
                      <w:color w:val="auto"/>
                      <w:kern w:val="2"/>
                      <w:sz w:val="21"/>
                      <w:szCs w:val="21"/>
                      <w:highlight w:val="none"/>
                    </w:rPr>
                    <w:t>（二）</w:t>
                  </w:r>
                </w:p>
              </w:tc>
              <w:tc>
                <w:tcPr>
                  <w:tcW w:w="1942" w:type="pct"/>
                  <w:tcBorders>
                    <w:top w:val="single" w:color="auto" w:sz="4" w:space="0"/>
                    <w:left w:val="single" w:color="auto" w:sz="4" w:space="0"/>
                    <w:bottom w:val="single" w:color="auto" w:sz="4" w:space="0"/>
                    <w:right w:val="single" w:color="auto" w:sz="4" w:space="0"/>
                  </w:tcBorders>
                  <w:vAlign w:val="center"/>
                </w:tcPr>
                <w:p>
                  <w:pPr>
                    <w:pStyle w:val="57"/>
                    <w:widowControl/>
                    <w:jc w:val="center"/>
                    <w:rPr>
                      <w:color w:val="auto"/>
                      <w:kern w:val="2"/>
                      <w:sz w:val="21"/>
                      <w:szCs w:val="21"/>
                      <w:highlight w:val="none"/>
                    </w:rPr>
                  </w:pPr>
                  <w:r>
                    <w:rPr>
                      <w:color w:val="auto"/>
                      <w:kern w:val="2"/>
                      <w:sz w:val="21"/>
                      <w:szCs w:val="21"/>
                      <w:highlight w:val="none"/>
                    </w:rPr>
                    <w:t>废气收集系统排风罩（集气罩）的设置应符合GB/T 16758 的规定。</w:t>
                  </w:r>
                </w:p>
              </w:tc>
              <w:tc>
                <w:tcPr>
                  <w:tcW w:w="1382" w:type="pct"/>
                  <w:tcBorders>
                    <w:top w:val="single" w:color="auto" w:sz="4" w:space="0"/>
                    <w:left w:val="single" w:color="auto" w:sz="4" w:space="0"/>
                    <w:bottom w:val="single" w:color="auto" w:sz="4" w:space="0"/>
                    <w:right w:val="single" w:color="auto" w:sz="4" w:space="0"/>
                  </w:tcBorders>
                  <w:vAlign w:val="center"/>
                </w:tcPr>
                <w:p>
                  <w:pPr>
                    <w:pStyle w:val="57"/>
                    <w:widowControl/>
                    <w:jc w:val="center"/>
                    <w:rPr>
                      <w:rFonts w:hint="eastAsia" w:eastAsia="宋体"/>
                      <w:color w:val="auto"/>
                      <w:kern w:val="2"/>
                      <w:sz w:val="21"/>
                      <w:szCs w:val="21"/>
                      <w:highlight w:val="none"/>
                      <w:lang w:eastAsia="zh-CN"/>
                    </w:rPr>
                  </w:pPr>
                  <w:r>
                    <w:rPr>
                      <w:rFonts w:hint="eastAsia"/>
                      <w:color w:val="auto"/>
                      <w:kern w:val="2"/>
                      <w:sz w:val="21"/>
                      <w:szCs w:val="21"/>
                      <w:highlight w:val="none"/>
                      <w:lang w:eastAsia="zh-CN"/>
                    </w:rPr>
                    <w:t>本项目设置集气罩，符合规定</w:t>
                  </w:r>
                </w:p>
              </w:tc>
              <w:tc>
                <w:tcPr>
                  <w:tcW w:w="582" w:type="pct"/>
                  <w:tcBorders>
                    <w:top w:val="single" w:color="auto" w:sz="4" w:space="0"/>
                    <w:left w:val="single" w:color="auto" w:sz="4" w:space="0"/>
                    <w:bottom w:val="single" w:color="auto" w:sz="4" w:space="0"/>
                    <w:right w:val="nil"/>
                  </w:tcBorders>
                  <w:vAlign w:val="center"/>
                </w:tcPr>
                <w:p>
                  <w:pPr>
                    <w:pStyle w:val="57"/>
                    <w:widowControl/>
                    <w:jc w:val="center"/>
                    <w:rPr>
                      <w:color w:val="auto"/>
                      <w:kern w:val="2"/>
                      <w:sz w:val="21"/>
                      <w:szCs w:val="21"/>
                      <w:highlight w:val="none"/>
                    </w:rPr>
                  </w:pPr>
                  <w:r>
                    <w:rPr>
                      <w:color w:val="auto"/>
                      <w:kern w:val="2"/>
                      <w:sz w:val="21"/>
                      <w:szCs w:val="21"/>
                      <w:highlight w:val="none"/>
                    </w:rPr>
                    <w:t>相符</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PrEx>
              <w:trPr>
                <w:trHeight w:val="580" w:hRule="atLeast"/>
              </w:trPr>
              <w:tc>
                <w:tcPr>
                  <w:tcW w:w="611" w:type="pct"/>
                  <w:vMerge w:val="continue"/>
                  <w:tcBorders>
                    <w:top w:val="single" w:color="auto" w:sz="4" w:space="0"/>
                    <w:left w:val="nil"/>
                    <w:bottom w:val="single" w:color="auto" w:sz="12" w:space="0"/>
                    <w:right w:val="single" w:color="auto" w:sz="4" w:space="0"/>
                  </w:tcBorders>
                  <w:vAlign w:val="center"/>
                </w:tcPr>
                <w:p>
                  <w:pPr>
                    <w:rPr>
                      <w:szCs w:val="22"/>
                      <w:highlight w:val="yellow"/>
                    </w:rPr>
                  </w:pPr>
                </w:p>
              </w:tc>
              <w:tc>
                <w:tcPr>
                  <w:tcW w:w="483" w:type="pct"/>
                  <w:tcBorders>
                    <w:top w:val="single" w:color="auto" w:sz="4" w:space="0"/>
                    <w:left w:val="single" w:color="auto" w:sz="4" w:space="0"/>
                    <w:bottom w:val="single" w:color="auto" w:sz="4" w:space="0"/>
                    <w:right w:val="single" w:color="auto" w:sz="4" w:space="0"/>
                  </w:tcBorders>
                  <w:vAlign w:val="center"/>
                </w:tcPr>
                <w:p>
                  <w:pPr>
                    <w:pStyle w:val="57"/>
                    <w:widowControl/>
                    <w:jc w:val="center"/>
                    <w:rPr>
                      <w:color w:val="auto"/>
                      <w:kern w:val="2"/>
                      <w:sz w:val="21"/>
                      <w:szCs w:val="21"/>
                      <w:highlight w:val="none"/>
                    </w:rPr>
                  </w:pPr>
                  <w:r>
                    <w:rPr>
                      <w:color w:val="auto"/>
                      <w:kern w:val="2"/>
                      <w:sz w:val="21"/>
                      <w:szCs w:val="21"/>
                      <w:highlight w:val="none"/>
                    </w:rPr>
                    <w:t>（三）</w:t>
                  </w:r>
                </w:p>
              </w:tc>
              <w:tc>
                <w:tcPr>
                  <w:tcW w:w="1942" w:type="pct"/>
                  <w:tcBorders>
                    <w:top w:val="single" w:color="auto" w:sz="4" w:space="0"/>
                    <w:left w:val="single" w:color="auto" w:sz="4" w:space="0"/>
                    <w:bottom w:val="single" w:color="auto" w:sz="4" w:space="0"/>
                    <w:right w:val="single" w:color="auto" w:sz="4" w:space="0"/>
                  </w:tcBorders>
                  <w:vAlign w:val="center"/>
                </w:tcPr>
                <w:p>
                  <w:pPr>
                    <w:pStyle w:val="57"/>
                    <w:widowControl/>
                    <w:jc w:val="center"/>
                    <w:rPr>
                      <w:color w:val="auto"/>
                      <w:kern w:val="2"/>
                      <w:sz w:val="21"/>
                      <w:szCs w:val="21"/>
                      <w:highlight w:val="none"/>
                    </w:rPr>
                  </w:pPr>
                  <w:r>
                    <w:rPr>
                      <w:color w:val="auto"/>
                      <w:kern w:val="2"/>
                      <w:sz w:val="21"/>
                      <w:szCs w:val="21"/>
                      <w:highlight w:val="none"/>
                    </w:rPr>
                    <w:t>废气收集系统的输送管道应密闭。</w:t>
                  </w:r>
                </w:p>
              </w:tc>
              <w:tc>
                <w:tcPr>
                  <w:tcW w:w="1382" w:type="pct"/>
                  <w:tcBorders>
                    <w:top w:val="single" w:color="auto" w:sz="4" w:space="0"/>
                    <w:left w:val="single" w:color="auto" w:sz="4" w:space="0"/>
                    <w:bottom w:val="single" w:color="auto" w:sz="4" w:space="0"/>
                    <w:right w:val="single" w:color="auto" w:sz="4" w:space="0"/>
                  </w:tcBorders>
                  <w:vAlign w:val="center"/>
                </w:tcPr>
                <w:p>
                  <w:pPr>
                    <w:pStyle w:val="57"/>
                    <w:widowControl/>
                    <w:jc w:val="center"/>
                    <w:rPr>
                      <w:color w:val="auto"/>
                      <w:kern w:val="2"/>
                      <w:sz w:val="21"/>
                      <w:szCs w:val="21"/>
                      <w:highlight w:val="none"/>
                    </w:rPr>
                  </w:pPr>
                  <w:r>
                    <w:rPr>
                      <w:rFonts w:hint="eastAsia"/>
                      <w:color w:val="auto"/>
                      <w:kern w:val="2"/>
                      <w:sz w:val="21"/>
                      <w:szCs w:val="21"/>
                      <w:highlight w:val="none"/>
                    </w:rPr>
                    <w:t>本项目不涉及。</w:t>
                  </w:r>
                </w:p>
              </w:tc>
              <w:tc>
                <w:tcPr>
                  <w:tcW w:w="582" w:type="pct"/>
                  <w:tcBorders>
                    <w:top w:val="single" w:color="auto" w:sz="4" w:space="0"/>
                    <w:left w:val="single" w:color="auto" w:sz="4" w:space="0"/>
                    <w:bottom w:val="single" w:color="auto" w:sz="4" w:space="0"/>
                    <w:right w:val="nil"/>
                  </w:tcBorders>
                  <w:vAlign w:val="center"/>
                </w:tcPr>
                <w:p>
                  <w:pPr>
                    <w:pStyle w:val="57"/>
                    <w:widowControl/>
                    <w:jc w:val="center"/>
                    <w:rPr>
                      <w:color w:val="auto"/>
                      <w:kern w:val="2"/>
                      <w:sz w:val="21"/>
                      <w:szCs w:val="21"/>
                      <w:highlight w:val="none"/>
                    </w:rPr>
                  </w:pPr>
                  <w:r>
                    <w:rPr>
                      <w:color w:val="auto"/>
                      <w:kern w:val="2"/>
                      <w:sz w:val="21"/>
                      <w:szCs w:val="21"/>
                      <w:highlight w:val="none"/>
                    </w:rPr>
                    <w:t>相符</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11" w:type="pct"/>
                  <w:vMerge w:val="continue"/>
                  <w:tcBorders>
                    <w:top w:val="single" w:color="auto" w:sz="4" w:space="0"/>
                    <w:left w:val="nil"/>
                    <w:bottom w:val="single" w:color="auto" w:sz="12" w:space="0"/>
                    <w:right w:val="single" w:color="auto" w:sz="4" w:space="0"/>
                  </w:tcBorders>
                  <w:vAlign w:val="center"/>
                </w:tcPr>
                <w:p>
                  <w:pPr>
                    <w:rPr>
                      <w:szCs w:val="22"/>
                      <w:highlight w:val="yellow"/>
                    </w:rPr>
                  </w:pPr>
                </w:p>
              </w:tc>
              <w:tc>
                <w:tcPr>
                  <w:tcW w:w="483" w:type="pct"/>
                  <w:tcBorders>
                    <w:top w:val="single" w:color="auto" w:sz="4" w:space="0"/>
                    <w:left w:val="single" w:color="auto" w:sz="4" w:space="0"/>
                    <w:bottom w:val="single" w:color="auto" w:sz="4" w:space="0"/>
                    <w:right w:val="single" w:color="auto" w:sz="4" w:space="0"/>
                  </w:tcBorders>
                  <w:vAlign w:val="center"/>
                </w:tcPr>
                <w:p>
                  <w:pPr>
                    <w:pStyle w:val="57"/>
                    <w:widowControl/>
                    <w:jc w:val="center"/>
                    <w:rPr>
                      <w:color w:val="auto"/>
                      <w:kern w:val="2"/>
                      <w:sz w:val="21"/>
                      <w:szCs w:val="21"/>
                      <w:highlight w:val="none"/>
                    </w:rPr>
                  </w:pPr>
                  <w:r>
                    <w:rPr>
                      <w:color w:val="auto"/>
                      <w:kern w:val="2"/>
                      <w:sz w:val="21"/>
                      <w:szCs w:val="21"/>
                      <w:highlight w:val="none"/>
                    </w:rPr>
                    <w:t>（四）</w:t>
                  </w:r>
                </w:p>
              </w:tc>
              <w:tc>
                <w:tcPr>
                  <w:tcW w:w="1942" w:type="pct"/>
                  <w:tcBorders>
                    <w:top w:val="single" w:color="auto" w:sz="4" w:space="0"/>
                    <w:left w:val="single" w:color="auto" w:sz="4" w:space="0"/>
                    <w:bottom w:val="single" w:color="auto" w:sz="4" w:space="0"/>
                    <w:right w:val="single" w:color="auto" w:sz="4" w:space="0"/>
                  </w:tcBorders>
                  <w:vAlign w:val="center"/>
                </w:tcPr>
                <w:p>
                  <w:pPr>
                    <w:pStyle w:val="57"/>
                    <w:widowControl/>
                    <w:jc w:val="center"/>
                    <w:rPr>
                      <w:color w:val="auto"/>
                      <w:kern w:val="2"/>
                      <w:sz w:val="21"/>
                      <w:szCs w:val="21"/>
                      <w:highlight w:val="none"/>
                    </w:rPr>
                  </w:pPr>
                  <w:r>
                    <w:rPr>
                      <w:color w:val="auto"/>
                      <w:kern w:val="2"/>
                      <w:sz w:val="21"/>
                      <w:szCs w:val="21"/>
                      <w:highlight w:val="none"/>
                    </w:rPr>
                    <w:t>VOCs废气收集处理系统污染物排放应符合GB 16297 或相关行业排放标准的规定。</w:t>
                  </w:r>
                </w:p>
              </w:tc>
              <w:tc>
                <w:tcPr>
                  <w:tcW w:w="1382" w:type="pct"/>
                  <w:tcBorders>
                    <w:top w:val="single" w:color="auto" w:sz="4" w:space="0"/>
                    <w:left w:val="single" w:color="auto" w:sz="4" w:space="0"/>
                    <w:bottom w:val="single" w:color="auto" w:sz="4" w:space="0"/>
                    <w:right w:val="single" w:color="auto" w:sz="4" w:space="0"/>
                  </w:tcBorders>
                  <w:vAlign w:val="center"/>
                </w:tcPr>
                <w:p>
                  <w:pPr>
                    <w:pStyle w:val="57"/>
                    <w:widowControl/>
                    <w:jc w:val="center"/>
                    <w:rPr>
                      <w:color w:val="auto"/>
                      <w:kern w:val="2"/>
                      <w:sz w:val="21"/>
                      <w:szCs w:val="21"/>
                      <w:highlight w:val="none"/>
                    </w:rPr>
                  </w:pPr>
                  <w:r>
                    <w:rPr>
                      <w:rFonts w:hint="eastAsia"/>
                      <w:color w:val="auto"/>
                      <w:kern w:val="2"/>
                      <w:sz w:val="21"/>
                      <w:szCs w:val="21"/>
                      <w:highlight w:val="none"/>
                    </w:rPr>
                    <w:t>本项目不涉及。</w:t>
                  </w:r>
                </w:p>
              </w:tc>
              <w:tc>
                <w:tcPr>
                  <w:tcW w:w="582" w:type="pct"/>
                  <w:tcBorders>
                    <w:top w:val="single" w:color="auto" w:sz="4" w:space="0"/>
                    <w:left w:val="single" w:color="auto" w:sz="4" w:space="0"/>
                    <w:bottom w:val="single" w:color="auto" w:sz="4" w:space="0"/>
                    <w:right w:val="nil"/>
                  </w:tcBorders>
                  <w:vAlign w:val="center"/>
                </w:tcPr>
                <w:p>
                  <w:pPr>
                    <w:pStyle w:val="57"/>
                    <w:widowControl/>
                    <w:jc w:val="center"/>
                    <w:rPr>
                      <w:color w:val="auto"/>
                      <w:kern w:val="2"/>
                      <w:sz w:val="21"/>
                      <w:szCs w:val="21"/>
                      <w:highlight w:val="none"/>
                    </w:rPr>
                  </w:pPr>
                  <w:r>
                    <w:rPr>
                      <w:color w:val="auto"/>
                      <w:kern w:val="2"/>
                      <w:sz w:val="21"/>
                      <w:szCs w:val="21"/>
                      <w:highlight w:val="none"/>
                    </w:rPr>
                    <w:t>相符</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PrEx>
              <w:trPr>
                <w:trHeight w:val="2450" w:hRule="atLeast"/>
              </w:trPr>
              <w:tc>
                <w:tcPr>
                  <w:tcW w:w="611" w:type="pct"/>
                  <w:vMerge w:val="continue"/>
                  <w:tcBorders>
                    <w:top w:val="single" w:color="auto" w:sz="4" w:space="0"/>
                    <w:left w:val="nil"/>
                    <w:bottom w:val="single" w:color="auto" w:sz="12" w:space="0"/>
                    <w:right w:val="single" w:color="auto" w:sz="4" w:space="0"/>
                  </w:tcBorders>
                  <w:vAlign w:val="center"/>
                </w:tcPr>
                <w:p>
                  <w:pPr>
                    <w:rPr>
                      <w:szCs w:val="22"/>
                      <w:highlight w:val="yellow"/>
                    </w:rPr>
                  </w:pPr>
                </w:p>
              </w:tc>
              <w:tc>
                <w:tcPr>
                  <w:tcW w:w="483" w:type="pct"/>
                  <w:tcBorders>
                    <w:top w:val="single" w:color="auto" w:sz="4" w:space="0"/>
                    <w:left w:val="single" w:color="auto" w:sz="4" w:space="0"/>
                    <w:bottom w:val="single" w:color="auto" w:sz="12" w:space="0"/>
                    <w:right w:val="single" w:color="auto" w:sz="4" w:space="0"/>
                  </w:tcBorders>
                  <w:vAlign w:val="center"/>
                </w:tcPr>
                <w:p>
                  <w:pPr>
                    <w:pStyle w:val="57"/>
                    <w:widowControl/>
                    <w:jc w:val="center"/>
                    <w:rPr>
                      <w:color w:val="auto"/>
                      <w:kern w:val="2"/>
                      <w:sz w:val="21"/>
                      <w:szCs w:val="21"/>
                      <w:highlight w:val="none"/>
                    </w:rPr>
                  </w:pPr>
                  <w:r>
                    <w:rPr>
                      <w:color w:val="auto"/>
                      <w:kern w:val="2"/>
                      <w:sz w:val="21"/>
                      <w:szCs w:val="21"/>
                      <w:highlight w:val="none"/>
                    </w:rPr>
                    <w:t>（五）</w:t>
                  </w:r>
                </w:p>
              </w:tc>
              <w:tc>
                <w:tcPr>
                  <w:tcW w:w="1942" w:type="pct"/>
                  <w:tcBorders>
                    <w:top w:val="single" w:color="auto" w:sz="4" w:space="0"/>
                    <w:left w:val="single" w:color="auto" w:sz="4" w:space="0"/>
                    <w:bottom w:val="single" w:color="auto" w:sz="12" w:space="0"/>
                    <w:right w:val="single" w:color="auto" w:sz="4" w:space="0"/>
                  </w:tcBorders>
                  <w:vAlign w:val="center"/>
                </w:tcPr>
                <w:p>
                  <w:pPr>
                    <w:pStyle w:val="57"/>
                    <w:widowControl/>
                    <w:jc w:val="center"/>
                    <w:rPr>
                      <w:color w:val="auto"/>
                      <w:kern w:val="2"/>
                      <w:sz w:val="21"/>
                      <w:szCs w:val="21"/>
                      <w:highlight w:val="none"/>
                    </w:rPr>
                  </w:pPr>
                  <w:r>
                    <w:rPr>
                      <w:color w:val="auto"/>
                      <w:kern w:val="2"/>
                      <w:sz w:val="21"/>
                      <w:szCs w:val="21"/>
                      <w:highlight w:val="none"/>
                    </w:rPr>
                    <w:t>收集的废气中NMHC初始排放速率≥3kg/h时，应配置VOCs处理设施，处理效率不应低于80%；对于重点地区，收集的废气中NMHC初始排放速≥2kg/h时，应配置VOCs处理设施，处理效率不应低于80%；采用的原辅材料符合国家有关低VOCs含量产品规定的除外。</w:t>
                  </w:r>
                </w:p>
              </w:tc>
              <w:tc>
                <w:tcPr>
                  <w:tcW w:w="1382" w:type="pct"/>
                  <w:tcBorders>
                    <w:top w:val="single" w:color="auto" w:sz="4" w:space="0"/>
                    <w:left w:val="single" w:color="auto" w:sz="4" w:space="0"/>
                    <w:bottom w:val="single" w:color="auto" w:sz="12" w:space="0"/>
                    <w:right w:val="single" w:color="auto" w:sz="4" w:space="0"/>
                  </w:tcBorders>
                  <w:vAlign w:val="center"/>
                </w:tcPr>
                <w:p>
                  <w:pPr>
                    <w:pStyle w:val="57"/>
                    <w:widowControl/>
                    <w:jc w:val="center"/>
                    <w:rPr>
                      <w:rFonts w:hint="default" w:eastAsia="宋体"/>
                      <w:color w:val="auto"/>
                      <w:kern w:val="2"/>
                      <w:sz w:val="21"/>
                      <w:szCs w:val="21"/>
                      <w:highlight w:val="none"/>
                      <w:lang w:val="en-US" w:eastAsia="zh-CN"/>
                    </w:rPr>
                  </w:pPr>
                  <w:r>
                    <w:rPr>
                      <w:rFonts w:hint="eastAsia"/>
                      <w:color w:val="auto"/>
                      <w:kern w:val="2"/>
                      <w:sz w:val="21"/>
                      <w:szCs w:val="21"/>
                      <w:highlight w:val="none"/>
                      <w:lang w:eastAsia="zh-CN"/>
                    </w:rPr>
                    <w:t>本项目废气收集后由一根</w:t>
                  </w:r>
                  <w:r>
                    <w:rPr>
                      <w:rFonts w:hint="eastAsia"/>
                      <w:color w:val="auto"/>
                      <w:kern w:val="2"/>
                      <w:sz w:val="21"/>
                      <w:szCs w:val="21"/>
                      <w:highlight w:val="none"/>
                      <w:lang w:val="en-US" w:eastAsia="zh-CN"/>
                    </w:rPr>
                    <w:t>15米高的排气筒排出，处理效率为90%，符合</w:t>
                  </w:r>
                  <w:r>
                    <w:rPr>
                      <w:color w:val="auto"/>
                      <w:kern w:val="2"/>
                      <w:sz w:val="21"/>
                      <w:szCs w:val="21"/>
                      <w:highlight w:val="none"/>
                    </w:rPr>
                    <w:t>国家有关低VOCs含量产品规定</w:t>
                  </w:r>
                </w:p>
              </w:tc>
              <w:tc>
                <w:tcPr>
                  <w:tcW w:w="582" w:type="pct"/>
                  <w:tcBorders>
                    <w:top w:val="single" w:color="auto" w:sz="4" w:space="0"/>
                    <w:left w:val="single" w:color="auto" w:sz="4" w:space="0"/>
                    <w:bottom w:val="single" w:color="auto" w:sz="12" w:space="0"/>
                    <w:right w:val="nil"/>
                  </w:tcBorders>
                  <w:vAlign w:val="center"/>
                </w:tcPr>
                <w:p>
                  <w:pPr>
                    <w:pStyle w:val="57"/>
                    <w:widowControl/>
                    <w:jc w:val="center"/>
                    <w:rPr>
                      <w:color w:val="auto"/>
                      <w:kern w:val="2"/>
                      <w:sz w:val="21"/>
                      <w:szCs w:val="21"/>
                      <w:highlight w:val="none"/>
                    </w:rPr>
                  </w:pPr>
                  <w:r>
                    <w:rPr>
                      <w:color w:val="auto"/>
                      <w:kern w:val="2"/>
                      <w:sz w:val="21"/>
                      <w:szCs w:val="21"/>
                      <w:highlight w:val="none"/>
                    </w:rPr>
                    <w:t>相符</w:t>
                  </w:r>
                </w:p>
              </w:tc>
            </w:tr>
          </w:tbl>
          <w:p>
            <w:pPr>
              <w:rPr>
                <w:sz w:val="24"/>
                <w:highlight w:val="yellow"/>
              </w:rPr>
            </w:pPr>
          </w:p>
          <w:p>
            <w:pPr>
              <w:spacing w:line="360" w:lineRule="auto"/>
              <w:ind w:firstLine="482" w:firstLineChars="200"/>
              <w:rPr>
                <w:b/>
                <w:bCs/>
                <w:sz w:val="24"/>
                <w:highlight w:val="none"/>
              </w:rPr>
            </w:pPr>
            <w:r>
              <w:rPr>
                <w:rFonts w:hint="eastAsia"/>
                <w:b/>
                <w:bCs/>
                <w:sz w:val="24"/>
                <w:highlight w:val="none"/>
              </w:rPr>
              <w:t>（</w:t>
            </w:r>
            <w:r>
              <w:rPr>
                <w:b/>
                <w:bCs/>
                <w:sz w:val="24"/>
                <w:highlight w:val="none"/>
              </w:rPr>
              <w:t>9</w:t>
            </w:r>
            <w:r>
              <w:rPr>
                <w:rFonts w:hint="eastAsia"/>
                <w:b/>
                <w:bCs/>
                <w:sz w:val="24"/>
                <w:highlight w:val="none"/>
              </w:rPr>
              <w:t>）与苏州市高新区“两减六治三提升”专项行动实施方案相容性分析</w:t>
            </w:r>
          </w:p>
          <w:p>
            <w:pPr>
              <w:spacing w:line="360" w:lineRule="auto"/>
              <w:ind w:firstLine="480" w:firstLineChars="200"/>
              <w:rPr>
                <w:rFonts w:hint="eastAsia"/>
                <w:color w:val="000000"/>
                <w:sz w:val="24"/>
                <w:szCs w:val="21"/>
                <w:highlight w:val="none"/>
              </w:rPr>
            </w:pPr>
            <w:r>
              <w:rPr>
                <w:rFonts w:hint="eastAsia"/>
                <w:color w:val="000000"/>
                <w:sz w:val="24"/>
                <w:szCs w:val="21"/>
                <w:highlight w:val="none"/>
              </w:rPr>
              <w:t>苏州市高新区“两减六治三提升”专项行动实施方案中提到：2017年底前，包装印刷、集装箱、交通工具、机械设备、人造板、家具、船舶制造等行业，全面落实使用低 VOCs 含量的涂料、胶黏剂、清洗剂、油墨替代原有的有机溶剂。产生含 VOCs 废气的工艺应当在密闭空间或者设备中进行，并按照规定安装、使用污染防治设施；无法密闭的，应当采取措施减少废气排放；因工艺要求无法设置密闭空间的，VOCs 排放工段应设置排气收集系统，经收集的有机废气须处理后达标排放。</w:t>
            </w:r>
          </w:p>
          <w:p>
            <w:pPr>
              <w:spacing w:line="360" w:lineRule="auto"/>
              <w:ind w:firstLine="480" w:firstLineChars="200"/>
              <w:rPr>
                <w:color w:val="000000"/>
                <w:sz w:val="24"/>
                <w:szCs w:val="21"/>
                <w:highlight w:val="none"/>
              </w:rPr>
            </w:pPr>
            <w:r>
              <w:rPr>
                <w:rFonts w:hint="eastAsia"/>
                <w:color w:val="000000"/>
                <w:sz w:val="24"/>
                <w:szCs w:val="21"/>
                <w:highlight w:val="none"/>
              </w:rPr>
              <w:t>本项目属于医疗仪器设备及器械制造，不属于包装印刷、集装箱、交通工具、机械设备、人造板、家具、船舶制造等行业，项目运营过程中 VOCs 产量较小，加强通风，在车间内无组织排放，因此，本项目满足苏州市高新区“两减六治三提升”专项行动实施方案的相关要求。</w:t>
            </w:r>
          </w:p>
          <w:p>
            <w:pPr>
              <w:ind w:firstLine="482" w:firstLineChars="200"/>
              <w:rPr>
                <w:sz w:val="24"/>
                <w:highlight w:val="none"/>
              </w:rPr>
            </w:pPr>
            <w:r>
              <w:rPr>
                <w:rFonts w:hint="eastAsia"/>
                <w:b/>
                <w:bCs/>
                <w:sz w:val="24"/>
                <w:highlight w:val="none"/>
              </w:rPr>
              <w:t>（</w:t>
            </w:r>
            <w:r>
              <w:rPr>
                <w:rFonts w:hint="eastAsia"/>
                <w:b/>
                <w:bCs/>
                <w:sz w:val="24"/>
                <w:highlight w:val="none"/>
                <w:lang w:val="en-US" w:eastAsia="zh-CN"/>
              </w:rPr>
              <w:t>10</w:t>
            </w:r>
            <w:r>
              <w:rPr>
                <w:rFonts w:hint="eastAsia"/>
                <w:b/>
                <w:bCs/>
                <w:sz w:val="24"/>
                <w:highlight w:val="none"/>
              </w:rPr>
              <w:t>）与《长三角地区2020-2021 年秋冬季大气污染综合治理攻坚行动方案》相符性</w:t>
            </w:r>
          </w:p>
          <w:p>
            <w:pPr>
              <w:spacing w:line="360" w:lineRule="auto"/>
              <w:ind w:firstLine="480" w:firstLineChars="200"/>
              <w:rPr>
                <w:rFonts w:hint="eastAsia"/>
                <w:color w:val="000000"/>
                <w:sz w:val="24"/>
                <w:szCs w:val="21"/>
                <w:highlight w:val="none"/>
              </w:rPr>
            </w:pPr>
            <w:r>
              <w:rPr>
                <w:rFonts w:hint="eastAsia"/>
                <w:color w:val="000000"/>
                <w:sz w:val="24"/>
                <w:szCs w:val="21"/>
                <w:highlight w:val="none"/>
              </w:rPr>
              <w:t>根据《长三角地区2020-2021年秋冬季大气污染综合治理攻坚行动方案》要求实施提升VOCs综合治理水平。2020年12月底前，力争60%左右产能基本完成超低排放改造，江苏省完成9000万吨粗钢产能超低排放改造。</w:t>
            </w:r>
          </w:p>
          <w:p>
            <w:pPr>
              <w:spacing w:line="360" w:lineRule="auto"/>
              <w:ind w:firstLine="480" w:firstLineChars="200"/>
              <w:rPr>
                <w:rFonts w:hint="eastAsia"/>
                <w:color w:val="000000"/>
                <w:sz w:val="24"/>
                <w:szCs w:val="21"/>
                <w:highlight w:val="none"/>
              </w:rPr>
            </w:pPr>
            <w:r>
              <w:rPr>
                <w:rFonts w:hint="eastAsia"/>
                <w:color w:val="000000"/>
                <w:sz w:val="24"/>
                <w:szCs w:val="21"/>
                <w:highlight w:val="none"/>
              </w:rPr>
              <w:t>主要目标：全面完成《打赢蓝天保卫战三年行动计划》（以下简称《三年行动计划》）确定的2020年空气质量改善目标，协同控制温室气体排放。按照巩固成果、稳中求进的原则，充分考虑2020年一季度空气质量的疫情影响，将2020-2021年秋冬季目标设置为两个阶段，根据2019年一季度和四季度污染水平，分类确定各城市的PM 2.5 浓度控制目标，按照污染程度分为6档，PM 2.5 浓度每档相差1个百分点，对“十三五”目标完成进度滞后的城市进一步提高要求指导企业制定整改方案；培育树立一批VOCs源头治理的标杆企业，加大宣传力度，形成带动效应；组织完成石化、化工、工业涂装、包装印刷等企业废气排放系统旁路摸底排查，石化、化工行业火炬排放情况排查，原油、成品油、有机化学品等挥发性有机液体储罐排查，港口码头油气回收设施建设、使用情况排查，建立管理清单。2021年3月底前，督促企业取消非必要的旁路，因安全生产等原因必须保留的，通过铅封、安装自动监控设施、流量计等方式加强监管；在确保安全的情况下，督促石化、化工企业通过安装火炬系统温度监控、视频监控及热值检测仪、废气流量计、助燃气体流量计等加强火炬系统排放监管。进一步加大石化、化工、制药、农药、汽车制造、船舶制造与维修、家具制造、包装印刷等行业废气综合治理制度，推动重点行业“一行一策”，加大清洁生产改造力度。</w:t>
            </w:r>
          </w:p>
          <w:p>
            <w:pPr>
              <w:spacing w:line="360" w:lineRule="auto"/>
              <w:ind w:firstLine="480" w:firstLineChars="200"/>
              <w:rPr>
                <w:rFonts w:hint="eastAsia"/>
                <w:color w:val="000000"/>
                <w:sz w:val="24"/>
                <w:szCs w:val="21"/>
                <w:highlight w:val="none"/>
              </w:rPr>
            </w:pPr>
            <w:r>
              <w:rPr>
                <w:rFonts w:hint="eastAsia"/>
                <w:color w:val="000000"/>
                <w:sz w:val="24"/>
                <w:szCs w:val="21"/>
                <w:highlight w:val="none"/>
              </w:rPr>
              <w:t>本项目不属于石化、化工、制药、农药、汽车制造、船舶制造与维修、家具制造、包装印刷等行业，不使用低 VOCs 含量涂料、油墨、胶粘剂；本项目运营过程中 VOCs 产量较小，加强通风，在车间内无组织排放，因此，本项目符合《长三角地区 2020-2021 年秋冬季大气污染综合治理攻坚行动方案》。</w:t>
            </w:r>
          </w:p>
          <w:p>
            <w:pPr>
              <w:rPr>
                <w:sz w:val="24"/>
                <w:highlight w:val="yellow"/>
              </w:rPr>
            </w:pPr>
          </w:p>
          <w:p>
            <w:pPr>
              <w:rPr>
                <w:sz w:val="24"/>
                <w:highlight w:val="yellow"/>
              </w:rPr>
            </w:pPr>
          </w:p>
          <w:p>
            <w:pPr>
              <w:rPr>
                <w:sz w:val="24"/>
                <w:highlight w:val="yellow"/>
              </w:rPr>
            </w:pPr>
          </w:p>
          <w:p>
            <w:pPr>
              <w:rPr>
                <w:sz w:val="24"/>
                <w:highlight w:val="yellow"/>
              </w:rPr>
            </w:pPr>
          </w:p>
          <w:p>
            <w:pPr>
              <w:rPr>
                <w:highlight w:val="yellow"/>
              </w:rPr>
            </w:pPr>
          </w:p>
        </w:tc>
      </w:tr>
    </w:tbl>
    <w:p>
      <w:pPr>
        <w:spacing w:line="360" w:lineRule="auto"/>
        <w:outlineLvl w:val="0"/>
        <w:rPr>
          <w:rFonts w:eastAsia="黑体"/>
          <w:sz w:val="30"/>
          <w:highlight w:val="yellow"/>
        </w:rPr>
        <w:sectPr>
          <w:footerReference r:id="rId6" w:type="default"/>
          <w:pgSz w:w="11906" w:h="16838"/>
          <w:pgMar w:top="1701" w:right="1531" w:bottom="1701" w:left="1531" w:header="851" w:footer="1077" w:gutter="0"/>
          <w:pgNumType w:start="1"/>
          <w:cols w:space="720" w:num="1"/>
          <w:docGrid w:linePitch="312" w:charSpace="0"/>
        </w:sectPr>
      </w:pPr>
    </w:p>
    <w:p>
      <w:pPr>
        <w:pStyle w:val="19"/>
        <w:spacing w:before="0" w:beforeAutospacing="0" w:after="0" w:afterAutospacing="0"/>
        <w:jc w:val="center"/>
        <w:outlineLvl w:val="0"/>
        <w:rPr>
          <w:rFonts w:ascii="Times New Roman" w:hAnsi="Times New Roman" w:eastAsia="黑体"/>
          <w:snapToGrid w:val="0"/>
          <w:sz w:val="30"/>
          <w:szCs w:val="30"/>
          <w:highlight w:val="none"/>
        </w:rPr>
      </w:pPr>
      <w:bookmarkStart w:id="4" w:name="_Toc86311616"/>
      <w:r>
        <w:rPr>
          <w:rFonts w:ascii="Times New Roman" w:hAnsi="Times New Roman" w:eastAsia="黑体"/>
          <w:snapToGrid w:val="0"/>
          <w:sz w:val="30"/>
          <w:szCs w:val="30"/>
          <w:highlight w:val="none"/>
        </w:rPr>
        <w:t>二、建设项目工程分析</w:t>
      </w:r>
      <w:bookmarkEnd w:id="4"/>
    </w:p>
    <w:tbl>
      <w:tblPr>
        <w:tblStyle w:val="22"/>
        <w:tblW w:w="882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3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15" w:type="dxa"/>
            <w:tcBorders>
              <w:top w:val="single" w:color="000000" w:sz="2" w:space="0"/>
              <w:bottom w:val="single" w:color="000000" w:sz="2" w:space="0"/>
            </w:tcBorders>
            <w:vAlign w:val="center"/>
          </w:tcPr>
          <w:p>
            <w:pPr>
              <w:rPr>
                <w:highlight w:val="yellow"/>
              </w:rPr>
            </w:pPr>
            <w:r>
              <w:rPr>
                <w:b/>
                <w:bCs/>
                <w:sz w:val="24"/>
                <w:szCs w:val="28"/>
                <w:highlight w:val="none"/>
              </w:rPr>
              <w:t>建设内容</w:t>
            </w:r>
          </w:p>
        </w:tc>
        <w:tc>
          <w:tcPr>
            <w:tcW w:w="8410" w:type="dxa"/>
            <w:tcBorders>
              <w:top w:val="single" w:color="000000" w:sz="2" w:space="0"/>
              <w:bottom w:val="single" w:color="000000" w:sz="2" w:space="0"/>
            </w:tcBorders>
            <w:vAlign w:val="center"/>
          </w:tcPr>
          <w:p>
            <w:pPr>
              <w:spacing w:line="360" w:lineRule="auto"/>
              <w:rPr>
                <w:b/>
                <w:bCs/>
                <w:sz w:val="24"/>
                <w:highlight w:val="none"/>
              </w:rPr>
            </w:pPr>
            <w:r>
              <w:rPr>
                <w:b/>
                <w:bCs/>
                <w:sz w:val="24"/>
                <w:highlight w:val="none"/>
              </w:rPr>
              <w:t>1、项目由来</w:t>
            </w:r>
          </w:p>
          <w:p>
            <w:pPr>
              <w:tabs>
                <w:tab w:val="left" w:pos="7368"/>
              </w:tabs>
              <w:autoSpaceDE w:val="0"/>
              <w:autoSpaceDN w:val="0"/>
              <w:spacing w:line="360" w:lineRule="auto"/>
              <w:ind w:firstLine="480" w:firstLineChars="200"/>
              <w:rPr>
                <w:rFonts w:hint="eastAsia" w:eastAsia="宋体"/>
                <w:sz w:val="24"/>
                <w:highlight w:val="none"/>
                <w:lang w:eastAsia="zh-CN"/>
              </w:rPr>
            </w:pPr>
            <w:r>
              <w:rPr>
                <w:rFonts w:hint="eastAsia"/>
                <w:sz w:val="24"/>
                <w:highlight w:val="none"/>
              </w:rPr>
              <w:t>苏州格瑞林达医疗科技有限公司成立于</w:t>
            </w:r>
            <w:r>
              <w:rPr>
                <w:rFonts w:hint="eastAsia"/>
                <w:sz w:val="24"/>
                <w:highlight w:val="none"/>
                <w:lang w:val="en-US" w:eastAsia="zh-CN"/>
              </w:rPr>
              <w:t>2017</w:t>
            </w:r>
            <w:r>
              <w:rPr>
                <w:rFonts w:hint="eastAsia"/>
                <w:sz w:val="24"/>
                <w:highlight w:val="none"/>
              </w:rPr>
              <w:t>年，位于苏州高新区科技城华佗路12号2号楼，总建筑面积为1480m</w:t>
            </w:r>
            <w:r>
              <w:rPr>
                <w:rFonts w:hint="eastAsia"/>
                <w:sz w:val="24"/>
                <w:highlight w:val="none"/>
                <w:vertAlign w:val="superscript"/>
              </w:rPr>
              <w:t>2</w:t>
            </w:r>
            <w:r>
              <w:rPr>
                <w:rFonts w:hint="eastAsia"/>
                <w:sz w:val="24"/>
                <w:highlight w:val="none"/>
              </w:rPr>
              <w:t>，租赁该房屋进行经营活动，主要经营第三类医疗器械生产；第二类医疗器械生产（依法须经批准的项目，经相关部门批准后方可开展经营活动，具体经营项目以审批结果为准）一般项目：技术服务、技术开发、技术咨询、技术交流、技术转让、技术推广；工程和技术研究和试验发展；新材料技术推广服务；第一类医疗器械生产；第一类医疗器械销售；第二类医疗器械销售；通用零部件制造；工业机器人制造；工业机器人销售；工业机器人安装、维修；智能机器人的研发；智能机器人销售；模具制造；模具销售；橡胶制品制造；橡胶制品销售；塑料制品制造；塑料制品销售；五金产品制造；五金产品零售；合成材料销售；电子元器件零售；货物进出口；技术进出口（除依法须经批准的项目外，凭营业执照依法自主开展经营活动）</w:t>
            </w:r>
            <w:r>
              <w:rPr>
                <w:rFonts w:hint="eastAsia"/>
                <w:sz w:val="24"/>
                <w:highlight w:val="none"/>
                <w:lang w:eastAsia="zh-CN"/>
              </w:rPr>
              <w:t>。</w:t>
            </w:r>
          </w:p>
          <w:p>
            <w:pPr>
              <w:tabs>
                <w:tab w:val="left" w:pos="7368"/>
              </w:tabs>
              <w:autoSpaceDE w:val="0"/>
              <w:autoSpaceDN w:val="0"/>
              <w:spacing w:line="360" w:lineRule="auto"/>
              <w:ind w:firstLine="480" w:firstLineChars="200"/>
              <w:rPr>
                <w:sz w:val="24"/>
                <w:highlight w:val="none"/>
              </w:rPr>
            </w:pPr>
            <w:r>
              <w:rPr>
                <w:rFonts w:hint="eastAsia"/>
                <w:sz w:val="24"/>
                <w:highlight w:val="none"/>
              </w:rPr>
              <w:t>本项目属于《国民经济行业分类》（2019修改）中“3589  其他医疗设备及器械制造”。根据《建设项目环境影响评价分类管理名录》（2021版）中相关规定和生态环境管理部门要求，“三十二、专用设备制造业”中的“35医疗仪器设备及器械制造</w:t>
            </w:r>
            <w:r>
              <w:rPr>
                <w:rFonts w:hint="eastAsia"/>
                <w:sz w:val="24"/>
                <w:highlight w:val="none"/>
                <w:lang w:val="en-US" w:eastAsia="zh-CN"/>
              </w:rPr>
              <w:t xml:space="preserve"> </w:t>
            </w:r>
            <w:r>
              <w:rPr>
                <w:rFonts w:hint="eastAsia"/>
                <w:sz w:val="24"/>
                <w:highlight w:val="none"/>
              </w:rPr>
              <w:t>358”项目，应编环境影响报告表。</w:t>
            </w:r>
          </w:p>
          <w:p>
            <w:pPr>
              <w:spacing w:line="360" w:lineRule="auto"/>
              <w:ind w:firstLine="480" w:firstLineChars="200"/>
              <w:rPr>
                <w:sz w:val="24"/>
                <w:highlight w:val="none"/>
              </w:rPr>
            </w:pPr>
            <w:r>
              <w:rPr>
                <w:rFonts w:hint="eastAsia"/>
                <w:sz w:val="24"/>
                <w:highlight w:val="none"/>
              </w:rPr>
              <w:t>苏州格瑞林达医疗科技有限公司委托我司承担该项目的环境影响评价工作。我单位接受委托后，认真研究了该项目的有关材料，并进行实地踏勘，调查建设项目所在地的自然环境状况和有关技术资料，经工程分析、环境影响识别和影响分析，并在此基础上根据国家相关的环保法律法规和相应的标准，编制了本环境影响报告表。</w:t>
            </w:r>
          </w:p>
          <w:p>
            <w:pPr>
              <w:spacing w:line="360" w:lineRule="auto"/>
              <w:rPr>
                <w:b/>
                <w:bCs/>
                <w:sz w:val="24"/>
                <w:highlight w:val="none"/>
              </w:rPr>
            </w:pPr>
            <w:r>
              <w:rPr>
                <w:b/>
                <w:bCs/>
                <w:sz w:val="24"/>
                <w:highlight w:val="none"/>
              </w:rPr>
              <w:t>2、</w:t>
            </w:r>
            <w:r>
              <w:rPr>
                <w:rFonts w:hint="eastAsia"/>
                <w:b/>
                <w:bCs/>
                <w:sz w:val="24"/>
                <w:highlight w:val="none"/>
              </w:rPr>
              <w:t>主要建设内容</w:t>
            </w:r>
          </w:p>
          <w:p>
            <w:pPr>
              <w:snapToGrid w:val="0"/>
              <w:spacing w:line="360" w:lineRule="auto"/>
              <w:ind w:firstLine="480" w:firstLineChars="200"/>
              <w:rPr>
                <w:bCs/>
                <w:sz w:val="24"/>
                <w:highlight w:val="none"/>
              </w:rPr>
            </w:pPr>
            <w:r>
              <w:rPr>
                <w:rFonts w:hint="eastAsia"/>
                <w:bCs/>
                <w:sz w:val="24"/>
                <w:highlight w:val="none"/>
              </w:rPr>
              <w:t>项目总建筑面积为1480平方米，预计年</w:t>
            </w:r>
            <w:r>
              <w:rPr>
                <w:rFonts w:hint="eastAsia"/>
                <w:bCs/>
                <w:sz w:val="24"/>
                <w:highlight w:val="none"/>
                <w:lang w:eastAsia="zh-CN"/>
              </w:rPr>
              <w:t>产</w:t>
            </w:r>
            <w:r>
              <w:rPr>
                <w:rFonts w:hint="eastAsia"/>
                <w:sz w:val="24"/>
                <w:szCs w:val="18"/>
                <w:highlight w:val="none"/>
              </w:rPr>
              <w:t>合金类植入零件</w:t>
            </w:r>
            <w:r>
              <w:rPr>
                <w:rFonts w:hint="eastAsia"/>
                <w:sz w:val="24"/>
                <w:szCs w:val="18"/>
                <w:highlight w:val="none"/>
                <w:lang w:val="en-US" w:eastAsia="zh-CN"/>
              </w:rPr>
              <w:t>100万件，</w:t>
            </w:r>
            <w:r>
              <w:rPr>
                <w:rFonts w:hint="eastAsia"/>
                <w:sz w:val="24"/>
                <w:szCs w:val="18"/>
              </w:rPr>
              <w:t>微流控芯片板</w:t>
            </w:r>
            <w:r>
              <w:rPr>
                <w:rFonts w:hint="eastAsia"/>
                <w:sz w:val="24"/>
                <w:szCs w:val="18"/>
                <w:lang w:val="en-US" w:eastAsia="zh-CN"/>
              </w:rPr>
              <w:t>5万件，</w:t>
            </w:r>
            <w:r>
              <w:rPr>
                <w:rFonts w:hint="eastAsia"/>
                <w:sz w:val="24"/>
                <w:szCs w:val="18"/>
              </w:rPr>
              <w:t>医疗器械用塑料件</w:t>
            </w:r>
            <w:r>
              <w:rPr>
                <w:rFonts w:hint="eastAsia"/>
                <w:sz w:val="24"/>
                <w:szCs w:val="18"/>
                <w:highlight w:val="none"/>
                <w:lang w:val="en-US" w:eastAsia="zh-CN"/>
              </w:rPr>
              <w:t>400</w:t>
            </w:r>
            <w:r>
              <w:rPr>
                <w:rFonts w:hint="eastAsia"/>
                <w:sz w:val="24"/>
                <w:szCs w:val="18"/>
                <w:highlight w:val="none"/>
              </w:rPr>
              <w:t>万</w:t>
            </w:r>
            <w:r>
              <w:rPr>
                <w:rFonts w:hint="eastAsia"/>
                <w:sz w:val="24"/>
                <w:szCs w:val="18"/>
                <w:highlight w:val="none"/>
                <w:lang w:eastAsia="zh-CN"/>
              </w:rPr>
              <w:t>件，</w:t>
            </w:r>
            <w:r>
              <w:rPr>
                <w:rFonts w:hint="eastAsia"/>
                <w:sz w:val="24"/>
                <w:szCs w:val="18"/>
                <w:highlight w:val="none"/>
              </w:rPr>
              <w:t>其他塑料制品</w:t>
            </w:r>
            <w:r>
              <w:rPr>
                <w:rFonts w:hint="eastAsia"/>
                <w:sz w:val="24"/>
                <w:szCs w:val="18"/>
                <w:highlight w:val="none"/>
                <w:lang w:val="en-US" w:eastAsia="zh-CN"/>
              </w:rPr>
              <w:t>800万件，</w:t>
            </w:r>
            <w:r>
              <w:rPr>
                <w:rFonts w:hint="eastAsia"/>
                <w:sz w:val="24"/>
                <w:szCs w:val="18"/>
                <w:highlight w:val="none"/>
              </w:rPr>
              <w:t>硅胶制品</w:t>
            </w:r>
            <w:r>
              <w:rPr>
                <w:rFonts w:hint="eastAsia"/>
                <w:sz w:val="24"/>
                <w:szCs w:val="18"/>
                <w:highlight w:val="none"/>
                <w:lang w:val="en-US" w:eastAsia="zh-CN"/>
              </w:rPr>
              <w:t>1000万件</w:t>
            </w:r>
            <w:r>
              <w:rPr>
                <w:rFonts w:hint="eastAsia"/>
                <w:bCs/>
                <w:sz w:val="24"/>
                <w:highlight w:val="none"/>
              </w:rPr>
              <w:t>。具体项目组成情况见表2-1。本项目主要建设内容如表2-1 所示：</w:t>
            </w:r>
          </w:p>
          <w:p>
            <w:pPr>
              <w:snapToGrid w:val="0"/>
              <w:jc w:val="center"/>
              <w:rPr>
                <w:b/>
                <w:bCs/>
                <w:sz w:val="24"/>
                <w:highlight w:val="none"/>
              </w:rPr>
            </w:pPr>
            <w:r>
              <w:rPr>
                <w:b/>
                <w:bCs/>
                <w:sz w:val="24"/>
                <w:highlight w:val="none"/>
              </w:rPr>
              <w:t>表</w:t>
            </w:r>
            <w:r>
              <w:rPr>
                <w:rFonts w:hint="eastAsia"/>
                <w:b/>
                <w:bCs/>
                <w:sz w:val="24"/>
                <w:highlight w:val="none"/>
              </w:rPr>
              <w:t>2-1</w:t>
            </w:r>
            <w:r>
              <w:rPr>
                <w:b/>
                <w:bCs/>
                <w:sz w:val="24"/>
                <w:highlight w:val="none"/>
              </w:rPr>
              <w:t xml:space="preserve">  </w:t>
            </w:r>
            <w:r>
              <w:rPr>
                <w:rFonts w:hint="eastAsia"/>
                <w:b/>
                <w:bCs/>
                <w:sz w:val="24"/>
                <w:highlight w:val="none"/>
              </w:rPr>
              <w:t>本项目主要建设内容</w:t>
            </w:r>
          </w:p>
          <w:tbl>
            <w:tblPr>
              <w:tblStyle w:val="22"/>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404"/>
              <w:gridCol w:w="2966"/>
              <w:gridCol w:w="29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6" w:type="dxa"/>
                  <w:vAlign w:val="center"/>
                </w:tcPr>
                <w:p>
                  <w:pPr>
                    <w:jc w:val="center"/>
                    <w:rPr>
                      <w:b/>
                      <w:bCs/>
                      <w:szCs w:val="21"/>
                      <w:highlight w:val="none"/>
                    </w:rPr>
                  </w:pPr>
                  <w:r>
                    <w:rPr>
                      <w:b/>
                      <w:bCs/>
                      <w:szCs w:val="21"/>
                      <w:highlight w:val="none"/>
                    </w:rPr>
                    <w:t>类别</w:t>
                  </w:r>
                </w:p>
              </w:tc>
              <w:tc>
                <w:tcPr>
                  <w:tcW w:w="1412" w:type="dxa"/>
                  <w:vAlign w:val="center"/>
                </w:tcPr>
                <w:p>
                  <w:pPr>
                    <w:jc w:val="center"/>
                    <w:rPr>
                      <w:b/>
                      <w:bCs/>
                      <w:szCs w:val="21"/>
                      <w:highlight w:val="none"/>
                    </w:rPr>
                  </w:pPr>
                  <w:r>
                    <w:rPr>
                      <w:b/>
                      <w:bCs/>
                      <w:szCs w:val="21"/>
                      <w:highlight w:val="none"/>
                    </w:rPr>
                    <w:t>建设名称</w:t>
                  </w:r>
                </w:p>
              </w:tc>
              <w:tc>
                <w:tcPr>
                  <w:tcW w:w="2982" w:type="dxa"/>
                  <w:vAlign w:val="center"/>
                </w:tcPr>
                <w:p>
                  <w:pPr>
                    <w:jc w:val="center"/>
                    <w:rPr>
                      <w:b/>
                      <w:bCs/>
                      <w:szCs w:val="21"/>
                      <w:highlight w:val="none"/>
                    </w:rPr>
                  </w:pPr>
                  <w:r>
                    <w:rPr>
                      <w:b/>
                      <w:bCs/>
                      <w:szCs w:val="21"/>
                      <w:highlight w:val="none"/>
                    </w:rPr>
                    <w:t>设计能力</w:t>
                  </w:r>
                </w:p>
              </w:tc>
              <w:tc>
                <w:tcPr>
                  <w:tcW w:w="2921" w:type="dxa"/>
                  <w:vAlign w:val="center"/>
                </w:tcPr>
                <w:p>
                  <w:pPr>
                    <w:jc w:val="center"/>
                    <w:rPr>
                      <w:b/>
                      <w:bCs/>
                      <w:szCs w:val="21"/>
                      <w:highlight w:val="none"/>
                    </w:rPr>
                  </w:pPr>
                  <w:r>
                    <w:rPr>
                      <w:b/>
                      <w:bCs/>
                      <w:szCs w:val="21"/>
                      <w:highlight w:val="non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86" w:type="dxa"/>
                  <w:vMerge w:val="restart"/>
                  <w:vAlign w:val="center"/>
                </w:tcPr>
                <w:p>
                  <w:pPr>
                    <w:jc w:val="center"/>
                    <w:rPr>
                      <w:szCs w:val="21"/>
                      <w:highlight w:val="none"/>
                    </w:rPr>
                  </w:pPr>
                  <w:r>
                    <w:rPr>
                      <w:szCs w:val="21"/>
                      <w:highlight w:val="none"/>
                    </w:rPr>
                    <w:t>主体工程</w:t>
                  </w:r>
                </w:p>
              </w:tc>
              <w:tc>
                <w:tcPr>
                  <w:tcW w:w="1412" w:type="dxa"/>
                  <w:vAlign w:val="center"/>
                </w:tcPr>
                <w:p>
                  <w:pPr>
                    <w:jc w:val="center"/>
                    <w:rPr>
                      <w:szCs w:val="21"/>
                      <w:highlight w:val="none"/>
                    </w:rPr>
                  </w:pPr>
                  <w:r>
                    <w:rPr>
                      <w:rFonts w:hint="eastAsia"/>
                      <w:highlight w:val="none"/>
                    </w:rPr>
                    <w:t>生产区域</w:t>
                  </w:r>
                </w:p>
              </w:tc>
              <w:tc>
                <w:tcPr>
                  <w:tcW w:w="2982" w:type="dxa"/>
                  <w:vAlign w:val="center"/>
                </w:tcPr>
                <w:p>
                  <w:pPr>
                    <w:jc w:val="center"/>
                    <w:rPr>
                      <w:rFonts w:hint="default" w:eastAsia="宋体"/>
                      <w:szCs w:val="21"/>
                      <w:highlight w:val="none"/>
                      <w:lang w:val="en-US" w:eastAsia="zh-CN"/>
                    </w:rPr>
                  </w:pPr>
                  <w:r>
                    <w:rPr>
                      <w:rFonts w:hint="eastAsia"/>
                      <w:szCs w:val="21"/>
                      <w:highlight w:val="none"/>
                      <w:lang w:val="en-US" w:eastAsia="zh-CN"/>
                    </w:rPr>
                    <w:t>2000m</w:t>
                  </w:r>
                  <w:r>
                    <w:rPr>
                      <w:rFonts w:hint="eastAsia"/>
                      <w:szCs w:val="21"/>
                      <w:highlight w:val="none"/>
                      <w:vertAlign w:val="superscript"/>
                      <w:lang w:val="en-US" w:eastAsia="zh-CN"/>
                    </w:rPr>
                    <w:t>2</w:t>
                  </w:r>
                </w:p>
              </w:tc>
              <w:tc>
                <w:tcPr>
                  <w:tcW w:w="2921" w:type="dxa"/>
                  <w:vAlign w:val="center"/>
                </w:tcPr>
                <w:p>
                  <w:pPr>
                    <w:jc w:val="center"/>
                    <w:rPr>
                      <w:szCs w:val="21"/>
                      <w:highlight w:val="none"/>
                    </w:rPr>
                  </w:pPr>
                  <w:r>
                    <w:rPr>
                      <w:rFonts w:hint="eastAsia"/>
                      <w:szCs w:val="21"/>
                      <w:highlight w:val="none"/>
                      <w:lang w:eastAsia="zh-CN"/>
                    </w:rPr>
                    <w:t>位于一楼和五楼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86" w:type="dxa"/>
                  <w:vMerge w:val="continue"/>
                  <w:vAlign w:val="center"/>
                </w:tcPr>
                <w:p>
                  <w:pPr>
                    <w:jc w:val="center"/>
                    <w:rPr>
                      <w:szCs w:val="21"/>
                      <w:highlight w:val="none"/>
                    </w:rPr>
                  </w:pPr>
                </w:p>
              </w:tc>
              <w:tc>
                <w:tcPr>
                  <w:tcW w:w="1412" w:type="dxa"/>
                  <w:vAlign w:val="center"/>
                </w:tcPr>
                <w:p>
                  <w:pPr>
                    <w:jc w:val="center"/>
                    <w:rPr>
                      <w:szCs w:val="21"/>
                      <w:highlight w:val="none"/>
                    </w:rPr>
                  </w:pPr>
                  <w:r>
                    <w:rPr>
                      <w:rFonts w:hint="eastAsia"/>
                      <w:szCs w:val="21"/>
                      <w:highlight w:val="none"/>
                    </w:rPr>
                    <w:t>办公区</w:t>
                  </w:r>
                </w:p>
              </w:tc>
              <w:tc>
                <w:tcPr>
                  <w:tcW w:w="2982" w:type="dxa"/>
                  <w:vAlign w:val="center"/>
                </w:tcPr>
                <w:p>
                  <w:pPr>
                    <w:jc w:val="center"/>
                    <w:rPr>
                      <w:rFonts w:hint="default" w:eastAsia="宋体"/>
                      <w:szCs w:val="21"/>
                      <w:highlight w:val="none"/>
                      <w:lang w:val="en-US" w:eastAsia="zh-CN"/>
                    </w:rPr>
                  </w:pPr>
                  <w:r>
                    <w:rPr>
                      <w:rFonts w:hint="eastAsia"/>
                      <w:szCs w:val="21"/>
                      <w:highlight w:val="none"/>
                      <w:lang w:val="en-US" w:eastAsia="zh-CN"/>
                    </w:rPr>
                    <w:t>430m</w:t>
                  </w:r>
                  <w:r>
                    <w:rPr>
                      <w:rFonts w:hint="eastAsia"/>
                      <w:szCs w:val="21"/>
                      <w:highlight w:val="none"/>
                      <w:vertAlign w:val="superscript"/>
                      <w:lang w:val="en-US" w:eastAsia="zh-CN"/>
                    </w:rPr>
                    <w:t>2</w:t>
                  </w:r>
                </w:p>
              </w:tc>
              <w:tc>
                <w:tcPr>
                  <w:tcW w:w="2921" w:type="dxa"/>
                  <w:vAlign w:val="center"/>
                </w:tcPr>
                <w:p>
                  <w:pPr>
                    <w:jc w:val="center"/>
                    <w:rPr>
                      <w:rFonts w:hint="eastAsia" w:eastAsia="宋体"/>
                      <w:szCs w:val="21"/>
                      <w:highlight w:val="none"/>
                      <w:lang w:eastAsia="zh-CN"/>
                    </w:rPr>
                  </w:pPr>
                  <w:r>
                    <w:rPr>
                      <w:rFonts w:hint="eastAsia"/>
                      <w:szCs w:val="21"/>
                      <w:highlight w:val="none"/>
                      <w:lang w:eastAsia="zh-CN"/>
                    </w:rPr>
                    <w:t>位于二楼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86" w:type="dxa"/>
                  <w:vMerge w:val="restart"/>
                  <w:vAlign w:val="center"/>
                </w:tcPr>
                <w:p>
                  <w:pPr>
                    <w:jc w:val="center"/>
                    <w:rPr>
                      <w:szCs w:val="21"/>
                      <w:highlight w:val="none"/>
                    </w:rPr>
                  </w:pPr>
                  <w:r>
                    <w:rPr>
                      <w:szCs w:val="21"/>
                      <w:highlight w:val="none"/>
                    </w:rPr>
                    <w:t>公用工程</w:t>
                  </w:r>
                </w:p>
              </w:tc>
              <w:tc>
                <w:tcPr>
                  <w:tcW w:w="1412" w:type="dxa"/>
                  <w:vAlign w:val="center"/>
                </w:tcPr>
                <w:p>
                  <w:pPr>
                    <w:jc w:val="center"/>
                    <w:rPr>
                      <w:szCs w:val="21"/>
                      <w:highlight w:val="none"/>
                    </w:rPr>
                  </w:pPr>
                  <w:r>
                    <w:rPr>
                      <w:szCs w:val="21"/>
                      <w:highlight w:val="none"/>
                    </w:rPr>
                    <w:t>供水</w:t>
                  </w:r>
                </w:p>
              </w:tc>
              <w:tc>
                <w:tcPr>
                  <w:tcW w:w="2982" w:type="dxa"/>
                  <w:vAlign w:val="center"/>
                </w:tcPr>
                <w:p>
                  <w:pPr>
                    <w:jc w:val="center"/>
                    <w:rPr>
                      <w:szCs w:val="21"/>
                      <w:highlight w:val="none"/>
                    </w:rPr>
                  </w:pPr>
                  <w:r>
                    <w:rPr>
                      <w:rFonts w:hint="eastAsia"/>
                      <w:szCs w:val="21"/>
                      <w:highlight w:val="none"/>
                      <w:lang w:val="en-US" w:eastAsia="zh-CN"/>
                    </w:rPr>
                    <w:t>2400</w:t>
                  </w:r>
                  <w:r>
                    <w:rPr>
                      <w:szCs w:val="21"/>
                      <w:highlight w:val="none"/>
                    </w:rPr>
                    <w:t>t/a</w:t>
                  </w:r>
                </w:p>
              </w:tc>
              <w:tc>
                <w:tcPr>
                  <w:tcW w:w="2921" w:type="dxa"/>
                  <w:vAlign w:val="center"/>
                </w:tcPr>
                <w:p>
                  <w:pPr>
                    <w:jc w:val="center"/>
                    <w:rPr>
                      <w:szCs w:val="21"/>
                      <w:highlight w:val="none"/>
                    </w:rPr>
                  </w:pPr>
                  <w:r>
                    <w:rPr>
                      <w:rFonts w:hint="eastAsia"/>
                      <w:szCs w:val="21"/>
                      <w:highlight w:val="none"/>
                    </w:rPr>
                    <w:t>市政自来水管网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6" w:type="dxa"/>
                  <w:vMerge w:val="continue"/>
                  <w:vAlign w:val="center"/>
                </w:tcPr>
                <w:p>
                  <w:pPr>
                    <w:jc w:val="center"/>
                    <w:rPr>
                      <w:szCs w:val="21"/>
                      <w:highlight w:val="none"/>
                    </w:rPr>
                  </w:pPr>
                </w:p>
              </w:tc>
              <w:tc>
                <w:tcPr>
                  <w:tcW w:w="1412" w:type="dxa"/>
                  <w:vAlign w:val="center"/>
                </w:tcPr>
                <w:p>
                  <w:pPr>
                    <w:jc w:val="center"/>
                    <w:rPr>
                      <w:szCs w:val="21"/>
                      <w:highlight w:val="none"/>
                    </w:rPr>
                  </w:pPr>
                  <w:r>
                    <w:rPr>
                      <w:szCs w:val="21"/>
                      <w:highlight w:val="none"/>
                    </w:rPr>
                    <w:t>排水</w:t>
                  </w:r>
                </w:p>
              </w:tc>
              <w:tc>
                <w:tcPr>
                  <w:tcW w:w="2982" w:type="dxa"/>
                  <w:vAlign w:val="center"/>
                </w:tcPr>
                <w:p>
                  <w:pPr>
                    <w:jc w:val="center"/>
                    <w:rPr>
                      <w:szCs w:val="21"/>
                      <w:highlight w:val="none"/>
                    </w:rPr>
                  </w:pPr>
                  <w:r>
                    <w:rPr>
                      <w:szCs w:val="21"/>
                      <w:highlight w:val="none"/>
                    </w:rPr>
                    <w:t>生活污水</w:t>
                  </w:r>
                  <w:r>
                    <w:rPr>
                      <w:rFonts w:hint="eastAsia"/>
                      <w:szCs w:val="21"/>
                      <w:highlight w:val="none"/>
                      <w:lang w:val="en-US" w:eastAsia="zh-CN"/>
                    </w:rPr>
                    <w:t>1200</w:t>
                  </w:r>
                  <w:r>
                    <w:rPr>
                      <w:szCs w:val="21"/>
                      <w:highlight w:val="none"/>
                    </w:rPr>
                    <w:t>t/a；</w:t>
                  </w:r>
                  <w:r>
                    <w:rPr>
                      <w:rFonts w:hint="eastAsia"/>
                      <w:szCs w:val="21"/>
                      <w:highlight w:val="none"/>
                      <w:lang w:eastAsia="zh-CN"/>
                    </w:rPr>
                    <w:t>冷却</w:t>
                  </w:r>
                  <w:r>
                    <w:rPr>
                      <w:szCs w:val="21"/>
                      <w:highlight w:val="none"/>
                    </w:rPr>
                    <w:t>废水</w:t>
                  </w:r>
                  <w:r>
                    <w:rPr>
                      <w:rFonts w:hint="eastAsia"/>
                      <w:szCs w:val="21"/>
                      <w:highlight w:val="none"/>
                      <w:lang w:val="en-US" w:eastAsia="zh-CN"/>
                    </w:rPr>
                    <w:t>720</w:t>
                  </w:r>
                  <w:r>
                    <w:rPr>
                      <w:szCs w:val="21"/>
                      <w:highlight w:val="none"/>
                    </w:rPr>
                    <w:t>t/a</w:t>
                  </w:r>
                </w:p>
              </w:tc>
              <w:tc>
                <w:tcPr>
                  <w:tcW w:w="2921" w:type="dxa"/>
                  <w:vAlign w:val="center"/>
                </w:tcPr>
                <w:p>
                  <w:pPr>
                    <w:jc w:val="center"/>
                    <w:rPr>
                      <w:szCs w:val="21"/>
                      <w:highlight w:val="none"/>
                    </w:rPr>
                  </w:pPr>
                  <w:r>
                    <w:rPr>
                      <w:rFonts w:hint="eastAsia"/>
                      <w:szCs w:val="21"/>
                      <w:highlight w:val="none"/>
                    </w:rPr>
                    <w:t>市政污水管网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6" w:type="dxa"/>
                  <w:vMerge w:val="continue"/>
                  <w:vAlign w:val="center"/>
                </w:tcPr>
                <w:p>
                  <w:pPr>
                    <w:jc w:val="center"/>
                    <w:rPr>
                      <w:szCs w:val="21"/>
                      <w:highlight w:val="none"/>
                    </w:rPr>
                  </w:pPr>
                </w:p>
              </w:tc>
              <w:tc>
                <w:tcPr>
                  <w:tcW w:w="1412" w:type="dxa"/>
                  <w:vAlign w:val="center"/>
                </w:tcPr>
                <w:p>
                  <w:pPr>
                    <w:jc w:val="center"/>
                    <w:rPr>
                      <w:szCs w:val="21"/>
                      <w:highlight w:val="none"/>
                    </w:rPr>
                  </w:pPr>
                  <w:r>
                    <w:rPr>
                      <w:szCs w:val="21"/>
                      <w:highlight w:val="none"/>
                    </w:rPr>
                    <w:t>供电</w:t>
                  </w:r>
                </w:p>
              </w:tc>
              <w:tc>
                <w:tcPr>
                  <w:tcW w:w="2982" w:type="dxa"/>
                  <w:vAlign w:val="center"/>
                </w:tcPr>
                <w:p>
                  <w:pPr>
                    <w:jc w:val="center"/>
                    <w:rPr>
                      <w:szCs w:val="21"/>
                      <w:highlight w:val="none"/>
                    </w:rPr>
                  </w:pPr>
                  <w:r>
                    <w:rPr>
                      <w:rFonts w:hint="eastAsia"/>
                      <w:szCs w:val="21"/>
                      <w:highlight w:val="none"/>
                      <w:lang w:val="en-US" w:eastAsia="zh-CN"/>
                    </w:rPr>
                    <w:t>100</w:t>
                  </w:r>
                  <w:r>
                    <w:rPr>
                      <w:szCs w:val="21"/>
                      <w:highlight w:val="none"/>
                    </w:rPr>
                    <w:t>万度</w:t>
                  </w:r>
                </w:p>
              </w:tc>
              <w:tc>
                <w:tcPr>
                  <w:tcW w:w="2921" w:type="dxa"/>
                  <w:vAlign w:val="center"/>
                </w:tcPr>
                <w:p>
                  <w:pPr>
                    <w:jc w:val="center"/>
                    <w:rPr>
                      <w:szCs w:val="21"/>
                      <w:highlight w:val="none"/>
                    </w:rPr>
                  </w:pPr>
                  <w:r>
                    <w:rPr>
                      <w:rFonts w:hint="eastAsia"/>
                      <w:szCs w:val="21"/>
                      <w:highlight w:val="none"/>
                    </w:rPr>
                    <w:t>依托产业园供电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86" w:type="dxa"/>
                  <w:vMerge w:val="restart"/>
                  <w:vAlign w:val="center"/>
                </w:tcPr>
                <w:p>
                  <w:pPr>
                    <w:jc w:val="center"/>
                    <w:rPr>
                      <w:rFonts w:hint="eastAsia"/>
                      <w:szCs w:val="21"/>
                      <w:highlight w:val="none"/>
                    </w:rPr>
                  </w:pPr>
                  <w:r>
                    <w:rPr>
                      <w:rFonts w:hint="eastAsia"/>
                      <w:szCs w:val="21"/>
                      <w:highlight w:val="none"/>
                    </w:rPr>
                    <w:t>贮运</w:t>
                  </w:r>
                </w:p>
                <w:p>
                  <w:pPr>
                    <w:jc w:val="center"/>
                    <w:rPr>
                      <w:szCs w:val="21"/>
                      <w:highlight w:val="none"/>
                    </w:rPr>
                  </w:pPr>
                  <w:r>
                    <w:rPr>
                      <w:rFonts w:hint="eastAsia"/>
                      <w:szCs w:val="21"/>
                      <w:highlight w:val="none"/>
                    </w:rPr>
                    <w:t>工程</w:t>
                  </w:r>
                </w:p>
              </w:tc>
              <w:tc>
                <w:tcPr>
                  <w:tcW w:w="1412" w:type="dxa"/>
                  <w:vAlign w:val="center"/>
                </w:tcPr>
                <w:p>
                  <w:pPr>
                    <w:jc w:val="center"/>
                    <w:rPr>
                      <w:szCs w:val="21"/>
                      <w:highlight w:val="none"/>
                    </w:rPr>
                  </w:pPr>
                  <w:r>
                    <w:rPr>
                      <w:rFonts w:hint="eastAsia"/>
                      <w:szCs w:val="21"/>
                      <w:highlight w:val="none"/>
                    </w:rPr>
                    <w:t xml:space="preserve">原材料仓库 </w:t>
                  </w:r>
                </w:p>
              </w:tc>
              <w:tc>
                <w:tcPr>
                  <w:tcW w:w="2982" w:type="dxa"/>
                  <w:vAlign w:val="center"/>
                </w:tcPr>
                <w:p>
                  <w:pPr>
                    <w:jc w:val="center"/>
                    <w:rPr>
                      <w:rFonts w:hint="default" w:eastAsia="宋体"/>
                      <w:szCs w:val="21"/>
                      <w:highlight w:val="none"/>
                      <w:lang w:val="en-US" w:eastAsia="zh-CN"/>
                    </w:rPr>
                  </w:pPr>
                  <w:r>
                    <w:rPr>
                      <w:rFonts w:hint="eastAsia"/>
                      <w:szCs w:val="21"/>
                      <w:highlight w:val="none"/>
                      <w:lang w:val="en-US" w:eastAsia="zh-CN"/>
                    </w:rPr>
                    <w:t>500m</w:t>
                  </w:r>
                  <w:r>
                    <w:rPr>
                      <w:rFonts w:hint="eastAsia"/>
                      <w:szCs w:val="21"/>
                      <w:highlight w:val="none"/>
                      <w:vertAlign w:val="superscript"/>
                      <w:lang w:val="en-US" w:eastAsia="zh-CN"/>
                    </w:rPr>
                    <w:t>2</w:t>
                  </w:r>
                </w:p>
              </w:tc>
              <w:tc>
                <w:tcPr>
                  <w:tcW w:w="2921" w:type="dxa"/>
                  <w:vAlign w:val="center"/>
                </w:tcPr>
                <w:p>
                  <w:pPr>
                    <w:jc w:val="center"/>
                    <w:rPr>
                      <w:rFonts w:hint="eastAsia"/>
                      <w:szCs w:val="21"/>
                      <w:highlight w:val="none"/>
                    </w:rPr>
                  </w:pPr>
                  <w:r>
                    <w:rPr>
                      <w:rFonts w:hint="eastAsia"/>
                      <w:szCs w:val="21"/>
                      <w:highlight w:val="none"/>
                      <w:lang w:eastAsia="zh-CN"/>
                    </w:rPr>
                    <w:t>位于五楼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86" w:type="dxa"/>
                  <w:vMerge w:val="continue"/>
                  <w:vAlign w:val="center"/>
                </w:tcPr>
                <w:p>
                  <w:pPr>
                    <w:jc w:val="center"/>
                    <w:rPr>
                      <w:szCs w:val="21"/>
                      <w:highlight w:val="none"/>
                    </w:rPr>
                  </w:pPr>
                </w:p>
              </w:tc>
              <w:tc>
                <w:tcPr>
                  <w:tcW w:w="1412" w:type="dxa"/>
                  <w:vAlign w:val="center"/>
                </w:tcPr>
                <w:p>
                  <w:pPr>
                    <w:jc w:val="center"/>
                    <w:rPr>
                      <w:szCs w:val="21"/>
                      <w:highlight w:val="none"/>
                    </w:rPr>
                  </w:pPr>
                  <w:r>
                    <w:rPr>
                      <w:rFonts w:hint="eastAsia"/>
                      <w:szCs w:val="21"/>
                      <w:highlight w:val="none"/>
                    </w:rPr>
                    <w:t>成品仓库</w:t>
                  </w:r>
                </w:p>
              </w:tc>
              <w:tc>
                <w:tcPr>
                  <w:tcW w:w="2982" w:type="dxa"/>
                  <w:vAlign w:val="center"/>
                </w:tcPr>
                <w:p>
                  <w:pPr>
                    <w:jc w:val="center"/>
                    <w:rPr>
                      <w:szCs w:val="21"/>
                      <w:highlight w:val="none"/>
                    </w:rPr>
                  </w:pPr>
                  <w:r>
                    <w:rPr>
                      <w:rFonts w:hint="eastAsia"/>
                      <w:szCs w:val="21"/>
                      <w:highlight w:val="none"/>
                      <w:lang w:val="en-US" w:eastAsia="zh-CN"/>
                    </w:rPr>
                    <w:t>400m</w:t>
                  </w:r>
                  <w:r>
                    <w:rPr>
                      <w:rFonts w:hint="eastAsia"/>
                      <w:szCs w:val="21"/>
                      <w:highlight w:val="none"/>
                      <w:vertAlign w:val="superscript"/>
                      <w:lang w:val="en-US" w:eastAsia="zh-CN"/>
                    </w:rPr>
                    <w:t>2</w:t>
                  </w:r>
                </w:p>
              </w:tc>
              <w:tc>
                <w:tcPr>
                  <w:tcW w:w="2921" w:type="dxa"/>
                  <w:vAlign w:val="center"/>
                </w:tcPr>
                <w:p>
                  <w:pPr>
                    <w:jc w:val="center"/>
                    <w:rPr>
                      <w:rFonts w:hint="eastAsia"/>
                      <w:szCs w:val="21"/>
                      <w:highlight w:val="none"/>
                    </w:rPr>
                  </w:pPr>
                  <w:r>
                    <w:rPr>
                      <w:rFonts w:hint="eastAsia"/>
                      <w:szCs w:val="21"/>
                      <w:highlight w:val="none"/>
                      <w:lang w:eastAsia="zh-CN"/>
                    </w:rPr>
                    <w:t>位于五楼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86" w:type="dxa"/>
                  <w:vMerge w:val="continue"/>
                  <w:vAlign w:val="center"/>
                </w:tcPr>
                <w:p>
                  <w:pPr>
                    <w:jc w:val="center"/>
                    <w:rPr>
                      <w:szCs w:val="21"/>
                      <w:highlight w:val="none"/>
                    </w:rPr>
                  </w:pPr>
                </w:p>
              </w:tc>
              <w:tc>
                <w:tcPr>
                  <w:tcW w:w="1412" w:type="dxa"/>
                  <w:vAlign w:val="center"/>
                </w:tcPr>
                <w:p>
                  <w:pPr>
                    <w:jc w:val="center"/>
                    <w:rPr>
                      <w:szCs w:val="21"/>
                      <w:highlight w:val="none"/>
                    </w:rPr>
                  </w:pPr>
                  <w:r>
                    <w:rPr>
                      <w:rFonts w:hint="eastAsia"/>
                      <w:szCs w:val="21"/>
                      <w:highlight w:val="none"/>
                    </w:rPr>
                    <w:t>不合格品区</w:t>
                  </w:r>
                </w:p>
              </w:tc>
              <w:tc>
                <w:tcPr>
                  <w:tcW w:w="2982" w:type="dxa"/>
                  <w:vAlign w:val="center"/>
                </w:tcPr>
                <w:p>
                  <w:pPr>
                    <w:jc w:val="center"/>
                    <w:rPr>
                      <w:rFonts w:hint="default" w:eastAsia="宋体"/>
                      <w:szCs w:val="21"/>
                      <w:highlight w:val="none"/>
                      <w:lang w:val="en-US" w:eastAsia="zh-CN"/>
                    </w:rPr>
                  </w:pPr>
                  <w:r>
                    <w:rPr>
                      <w:rFonts w:hint="eastAsia"/>
                      <w:szCs w:val="21"/>
                      <w:highlight w:val="none"/>
                      <w:lang w:val="en-US" w:eastAsia="zh-CN"/>
                    </w:rPr>
                    <w:t>100m</w:t>
                  </w:r>
                  <w:r>
                    <w:rPr>
                      <w:rFonts w:hint="eastAsia"/>
                      <w:szCs w:val="21"/>
                      <w:highlight w:val="none"/>
                      <w:vertAlign w:val="superscript"/>
                      <w:lang w:val="en-US" w:eastAsia="zh-CN"/>
                    </w:rPr>
                    <w:t>2</w:t>
                  </w:r>
                </w:p>
              </w:tc>
              <w:tc>
                <w:tcPr>
                  <w:tcW w:w="2921" w:type="dxa"/>
                  <w:vAlign w:val="center"/>
                </w:tcPr>
                <w:p>
                  <w:pPr>
                    <w:jc w:val="center"/>
                    <w:rPr>
                      <w:rFonts w:hint="eastAsia"/>
                      <w:szCs w:val="21"/>
                      <w:highlight w:val="none"/>
                    </w:rPr>
                  </w:pPr>
                  <w:r>
                    <w:rPr>
                      <w:rFonts w:hint="eastAsia"/>
                      <w:szCs w:val="21"/>
                      <w:highlight w:val="none"/>
                      <w:lang w:eastAsia="zh-CN"/>
                    </w:rPr>
                    <w:t>位于五楼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86" w:type="dxa"/>
                  <w:vMerge w:val="continue"/>
                  <w:vAlign w:val="center"/>
                </w:tcPr>
                <w:p>
                  <w:pPr>
                    <w:jc w:val="center"/>
                    <w:rPr>
                      <w:szCs w:val="21"/>
                      <w:highlight w:val="none"/>
                    </w:rPr>
                  </w:pPr>
                </w:p>
              </w:tc>
              <w:tc>
                <w:tcPr>
                  <w:tcW w:w="1412" w:type="dxa"/>
                  <w:vAlign w:val="center"/>
                </w:tcPr>
                <w:p>
                  <w:pPr>
                    <w:jc w:val="center"/>
                    <w:rPr>
                      <w:szCs w:val="21"/>
                      <w:highlight w:val="none"/>
                    </w:rPr>
                  </w:pPr>
                  <w:r>
                    <w:rPr>
                      <w:rFonts w:hint="eastAsia"/>
                      <w:szCs w:val="21"/>
                      <w:highlight w:val="none"/>
                    </w:rPr>
                    <w:t>危废仓库</w:t>
                  </w:r>
                </w:p>
              </w:tc>
              <w:tc>
                <w:tcPr>
                  <w:tcW w:w="2982" w:type="dxa"/>
                  <w:vAlign w:val="center"/>
                </w:tcPr>
                <w:p>
                  <w:pPr>
                    <w:jc w:val="center"/>
                    <w:rPr>
                      <w:rFonts w:hint="default" w:eastAsia="宋体"/>
                      <w:szCs w:val="21"/>
                      <w:highlight w:val="none"/>
                      <w:lang w:val="en-US" w:eastAsia="zh-CN"/>
                    </w:rPr>
                  </w:pPr>
                  <w:r>
                    <w:rPr>
                      <w:rFonts w:hint="eastAsia"/>
                      <w:szCs w:val="21"/>
                      <w:highlight w:val="none"/>
                      <w:lang w:val="en-US" w:eastAsia="zh-CN"/>
                    </w:rPr>
                    <w:t>10m</w:t>
                  </w:r>
                  <w:r>
                    <w:rPr>
                      <w:rFonts w:hint="eastAsia"/>
                      <w:szCs w:val="21"/>
                      <w:highlight w:val="none"/>
                      <w:vertAlign w:val="superscript"/>
                      <w:lang w:val="en-US" w:eastAsia="zh-CN"/>
                    </w:rPr>
                    <w:t>2</w:t>
                  </w:r>
                </w:p>
              </w:tc>
              <w:tc>
                <w:tcPr>
                  <w:tcW w:w="2921" w:type="dxa"/>
                  <w:vAlign w:val="center"/>
                </w:tcPr>
                <w:p>
                  <w:pPr>
                    <w:jc w:val="center"/>
                    <w:rPr>
                      <w:rFonts w:hint="eastAsia" w:eastAsia="宋体"/>
                      <w:szCs w:val="21"/>
                      <w:highlight w:val="none"/>
                      <w:lang w:eastAsia="zh-CN"/>
                    </w:rPr>
                  </w:pPr>
                  <w:r>
                    <w:rPr>
                      <w:rFonts w:hint="eastAsia"/>
                      <w:szCs w:val="21"/>
                      <w:highlight w:val="none"/>
                      <w:lang w:eastAsia="zh-CN"/>
                    </w:rPr>
                    <w:t>位于五楼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86" w:type="dxa"/>
                  <w:vMerge w:val="restart"/>
                  <w:vAlign w:val="center"/>
                </w:tcPr>
                <w:p>
                  <w:pPr>
                    <w:jc w:val="center"/>
                    <w:rPr>
                      <w:szCs w:val="21"/>
                      <w:highlight w:val="none"/>
                    </w:rPr>
                  </w:pPr>
                  <w:r>
                    <w:rPr>
                      <w:szCs w:val="21"/>
                      <w:highlight w:val="none"/>
                    </w:rPr>
                    <w:t>环保工程</w:t>
                  </w:r>
                </w:p>
              </w:tc>
              <w:tc>
                <w:tcPr>
                  <w:tcW w:w="1412" w:type="dxa"/>
                  <w:vAlign w:val="center"/>
                </w:tcPr>
                <w:p>
                  <w:pPr>
                    <w:jc w:val="center"/>
                    <w:rPr>
                      <w:rFonts w:hint="eastAsia" w:eastAsia="宋体"/>
                      <w:szCs w:val="21"/>
                      <w:highlight w:val="none"/>
                      <w:lang w:eastAsia="zh-CN"/>
                    </w:rPr>
                  </w:pPr>
                  <w:r>
                    <w:rPr>
                      <w:rFonts w:hint="eastAsia"/>
                      <w:szCs w:val="21"/>
                      <w:highlight w:val="none"/>
                      <w:lang w:eastAsia="zh-CN"/>
                    </w:rPr>
                    <w:t>废气收集</w:t>
                  </w:r>
                </w:p>
              </w:tc>
              <w:tc>
                <w:tcPr>
                  <w:tcW w:w="2982" w:type="dxa"/>
                  <w:vAlign w:val="center"/>
                </w:tcPr>
                <w:p>
                  <w:pPr>
                    <w:jc w:val="center"/>
                    <w:rPr>
                      <w:szCs w:val="21"/>
                      <w:highlight w:val="none"/>
                    </w:rPr>
                  </w:pPr>
                  <w:r>
                    <w:rPr>
                      <w:rFonts w:hint="eastAsia"/>
                      <w:szCs w:val="21"/>
                      <w:highlight w:val="none"/>
                    </w:rPr>
                    <w:t>有组织废气经设备</w:t>
                  </w:r>
                  <w:r>
                    <w:rPr>
                      <w:rFonts w:hint="eastAsia"/>
                      <w:szCs w:val="21"/>
                      <w:highlight w:val="none"/>
                      <w:lang w:eastAsia="zh-CN"/>
                    </w:rPr>
                    <w:t>收集</w:t>
                  </w:r>
                  <w:r>
                    <w:rPr>
                      <w:rFonts w:hint="eastAsia"/>
                      <w:szCs w:val="21"/>
                      <w:highlight w:val="none"/>
                    </w:rPr>
                    <w:t>后通过1根15m高排气筒排放</w:t>
                  </w:r>
                </w:p>
              </w:tc>
              <w:tc>
                <w:tcPr>
                  <w:tcW w:w="2921" w:type="dxa"/>
                  <w:vAlign w:val="center"/>
                </w:tcPr>
                <w:p>
                  <w:pPr>
                    <w:jc w:val="center"/>
                    <w:rPr>
                      <w:rFonts w:hint="eastAsia"/>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86" w:type="dxa"/>
                  <w:vMerge w:val="continue"/>
                  <w:vAlign w:val="center"/>
                </w:tcPr>
                <w:p>
                  <w:pPr>
                    <w:jc w:val="center"/>
                    <w:rPr>
                      <w:szCs w:val="21"/>
                      <w:highlight w:val="none"/>
                    </w:rPr>
                  </w:pPr>
                </w:p>
              </w:tc>
              <w:tc>
                <w:tcPr>
                  <w:tcW w:w="1412" w:type="dxa"/>
                  <w:vAlign w:val="center"/>
                </w:tcPr>
                <w:p>
                  <w:pPr>
                    <w:jc w:val="center"/>
                    <w:rPr>
                      <w:szCs w:val="21"/>
                      <w:highlight w:val="none"/>
                    </w:rPr>
                  </w:pPr>
                  <w:r>
                    <w:rPr>
                      <w:szCs w:val="21"/>
                      <w:highlight w:val="none"/>
                    </w:rPr>
                    <w:t>废水收集</w:t>
                  </w:r>
                </w:p>
              </w:tc>
              <w:tc>
                <w:tcPr>
                  <w:tcW w:w="2982" w:type="dxa"/>
                  <w:vAlign w:val="center"/>
                </w:tcPr>
                <w:p>
                  <w:pPr>
                    <w:jc w:val="center"/>
                    <w:rPr>
                      <w:szCs w:val="21"/>
                      <w:highlight w:val="none"/>
                    </w:rPr>
                  </w:pPr>
                  <w:r>
                    <w:rPr>
                      <w:szCs w:val="21"/>
                      <w:highlight w:val="none"/>
                    </w:rPr>
                    <w:t>生活污水</w:t>
                  </w:r>
                  <w:r>
                    <w:rPr>
                      <w:rFonts w:hint="eastAsia"/>
                      <w:szCs w:val="21"/>
                      <w:highlight w:val="none"/>
                      <w:lang w:val="en-US" w:eastAsia="zh-CN"/>
                    </w:rPr>
                    <w:t>1200</w:t>
                  </w:r>
                  <w:r>
                    <w:rPr>
                      <w:szCs w:val="21"/>
                      <w:highlight w:val="none"/>
                    </w:rPr>
                    <w:t>t/a；</w:t>
                  </w:r>
                  <w:r>
                    <w:rPr>
                      <w:rFonts w:hint="eastAsia"/>
                      <w:szCs w:val="21"/>
                      <w:highlight w:val="none"/>
                      <w:lang w:eastAsia="zh-CN"/>
                    </w:rPr>
                    <w:t>冷却</w:t>
                  </w:r>
                  <w:r>
                    <w:rPr>
                      <w:szCs w:val="21"/>
                      <w:highlight w:val="none"/>
                    </w:rPr>
                    <w:t>废水</w:t>
                  </w:r>
                  <w:r>
                    <w:rPr>
                      <w:rFonts w:hint="eastAsia"/>
                      <w:szCs w:val="21"/>
                      <w:highlight w:val="none"/>
                      <w:lang w:val="en-US" w:eastAsia="zh-CN"/>
                    </w:rPr>
                    <w:t>720</w:t>
                  </w:r>
                  <w:r>
                    <w:rPr>
                      <w:szCs w:val="21"/>
                      <w:highlight w:val="none"/>
                    </w:rPr>
                    <w:t>t/a</w:t>
                  </w:r>
                </w:p>
              </w:tc>
              <w:tc>
                <w:tcPr>
                  <w:tcW w:w="2921" w:type="dxa"/>
                  <w:vAlign w:val="center"/>
                </w:tcPr>
                <w:p>
                  <w:pPr>
                    <w:jc w:val="center"/>
                    <w:rPr>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86" w:type="dxa"/>
                  <w:vMerge w:val="continue"/>
                  <w:vAlign w:val="center"/>
                </w:tcPr>
                <w:p>
                  <w:pPr>
                    <w:jc w:val="center"/>
                    <w:rPr>
                      <w:szCs w:val="21"/>
                      <w:highlight w:val="none"/>
                    </w:rPr>
                  </w:pPr>
                </w:p>
              </w:tc>
              <w:tc>
                <w:tcPr>
                  <w:tcW w:w="1412" w:type="dxa"/>
                  <w:vAlign w:val="center"/>
                </w:tcPr>
                <w:p>
                  <w:pPr>
                    <w:jc w:val="center"/>
                    <w:rPr>
                      <w:szCs w:val="21"/>
                      <w:highlight w:val="none"/>
                    </w:rPr>
                  </w:pPr>
                  <w:r>
                    <w:rPr>
                      <w:szCs w:val="21"/>
                      <w:highlight w:val="none"/>
                    </w:rPr>
                    <w:t>噪声治理</w:t>
                  </w:r>
                </w:p>
              </w:tc>
              <w:tc>
                <w:tcPr>
                  <w:tcW w:w="2982" w:type="dxa"/>
                  <w:vAlign w:val="center"/>
                </w:tcPr>
                <w:p>
                  <w:pPr>
                    <w:jc w:val="center"/>
                    <w:rPr>
                      <w:szCs w:val="21"/>
                      <w:highlight w:val="none"/>
                    </w:rPr>
                  </w:pPr>
                  <w:r>
                    <w:rPr>
                      <w:rFonts w:hint="eastAsia"/>
                      <w:szCs w:val="21"/>
                      <w:highlight w:val="none"/>
                    </w:rPr>
                    <w:t>通过采取减振、隔声等措施后达标排放</w:t>
                  </w:r>
                </w:p>
              </w:tc>
              <w:tc>
                <w:tcPr>
                  <w:tcW w:w="2921" w:type="dxa"/>
                  <w:vAlign w:val="center"/>
                </w:tcPr>
                <w:p>
                  <w:pPr>
                    <w:jc w:val="center"/>
                    <w:rPr>
                      <w:szCs w:val="21"/>
                      <w:highlight w:val="none"/>
                    </w:rPr>
                  </w:pPr>
                  <w:r>
                    <w:rPr>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86" w:type="dxa"/>
                  <w:vMerge w:val="continue"/>
                  <w:vAlign w:val="center"/>
                </w:tcPr>
                <w:p>
                  <w:pPr>
                    <w:jc w:val="center"/>
                    <w:rPr>
                      <w:szCs w:val="21"/>
                      <w:highlight w:val="none"/>
                    </w:rPr>
                  </w:pPr>
                </w:p>
              </w:tc>
              <w:tc>
                <w:tcPr>
                  <w:tcW w:w="1412" w:type="dxa"/>
                  <w:vAlign w:val="center"/>
                </w:tcPr>
                <w:p>
                  <w:pPr>
                    <w:jc w:val="center"/>
                    <w:rPr>
                      <w:szCs w:val="21"/>
                      <w:highlight w:val="none"/>
                    </w:rPr>
                  </w:pPr>
                  <w:r>
                    <w:rPr>
                      <w:szCs w:val="21"/>
                      <w:highlight w:val="none"/>
                    </w:rPr>
                    <w:t>固废治理</w:t>
                  </w:r>
                </w:p>
              </w:tc>
              <w:tc>
                <w:tcPr>
                  <w:tcW w:w="2982" w:type="dxa"/>
                  <w:vAlign w:val="center"/>
                </w:tcPr>
                <w:p>
                  <w:pPr>
                    <w:jc w:val="center"/>
                    <w:rPr>
                      <w:szCs w:val="21"/>
                      <w:highlight w:val="none"/>
                    </w:rPr>
                  </w:pPr>
                  <w:r>
                    <w:rPr>
                      <w:rFonts w:hint="eastAsia"/>
                      <w:szCs w:val="21"/>
                      <w:highlight w:val="none"/>
                    </w:rPr>
                    <w:t>一般固废仓库 10m</w:t>
                  </w:r>
                  <w:r>
                    <w:rPr>
                      <w:rFonts w:hint="eastAsia"/>
                      <w:szCs w:val="21"/>
                      <w:highlight w:val="none"/>
                      <w:vertAlign w:val="superscript"/>
                    </w:rPr>
                    <w:t xml:space="preserve"> 2</w:t>
                  </w:r>
                  <w:r>
                    <w:rPr>
                      <w:rFonts w:hint="eastAsia"/>
                      <w:szCs w:val="21"/>
                      <w:highlight w:val="none"/>
                    </w:rPr>
                    <w:t xml:space="preserve"> ，生活垃圾由环卫部门统一清运，一般固废统一收集外售，危险废物由有资质单位统一收集处理</w:t>
                  </w:r>
                </w:p>
              </w:tc>
              <w:tc>
                <w:tcPr>
                  <w:tcW w:w="2921" w:type="dxa"/>
                  <w:vAlign w:val="center"/>
                </w:tcPr>
                <w:p>
                  <w:pPr>
                    <w:jc w:val="center"/>
                    <w:rPr>
                      <w:szCs w:val="21"/>
                      <w:highlight w:val="none"/>
                    </w:rPr>
                  </w:pPr>
                  <w:r>
                    <w:rPr>
                      <w:szCs w:val="21"/>
                      <w:highlight w:val="none"/>
                    </w:rPr>
                    <w:t>/</w:t>
                  </w:r>
                </w:p>
              </w:tc>
            </w:tr>
          </w:tbl>
          <w:p>
            <w:pPr>
              <w:spacing w:line="360" w:lineRule="auto"/>
              <w:rPr>
                <w:b/>
                <w:bCs/>
                <w:sz w:val="24"/>
                <w:highlight w:val="none"/>
              </w:rPr>
            </w:pPr>
            <w:r>
              <w:rPr>
                <w:b/>
                <w:bCs/>
                <w:sz w:val="24"/>
                <w:highlight w:val="none"/>
              </w:rPr>
              <w:t>3、</w:t>
            </w:r>
            <w:r>
              <w:rPr>
                <w:rFonts w:hint="eastAsia"/>
                <w:b/>
                <w:bCs/>
                <w:sz w:val="24"/>
                <w:highlight w:val="none"/>
              </w:rPr>
              <w:t>主要设施及设施参数</w:t>
            </w:r>
          </w:p>
          <w:p>
            <w:pPr>
              <w:snapToGrid w:val="0"/>
              <w:jc w:val="center"/>
              <w:rPr>
                <w:b/>
                <w:bCs/>
                <w:sz w:val="24"/>
                <w:highlight w:val="none"/>
              </w:rPr>
            </w:pPr>
            <w:r>
              <w:rPr>
                <w:b/>
                <w:bCs/>
                <w:sz w:val="24"/>
                <w:highlight w:val="none"/>
              </w:rPr>
              <w:t>表</w:t>
            </w:r>
            <w:r>
              <w:rPr>
                <w:rFonts w:hint="eastAsia"/>
                <w:b/>
                <w:bCs/>
                <w:sz w:val="24"/>
                <w:highlight w:val="none"/>
              </w:rPr>
              <w:t>2-</w:t>
            </w:r>
            <w:r>
              <w:rPr>
                <w:b/>
                <w:bCs/>
                <w:sz w:val="24"/>
                <w:highlight w:val="none"/>
              </w:rPr>
              <w:t>2  主要设备一览表</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242"/>
              <w:gridCol w:w="3013"/>
              <w:gridCol w:w="2046"/>
              <w:gridCol w:w="8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3" w:hRule="atLeast"/>
                <w:tblHeader/>
              </w:trPr>
              <w:tc>
                <w:tcPr>
                  <w:tcW w:w="1375" w:type="pct"/>
                  <w:vAlign w:val="center"/>
                </w:tcPr>
                <w:p>
                  <w:pPr>
                    <w:pStyle w:val="54"/>
                    <w:spacing w:before="35"/>
                    <w:ind w:right="114"/>
                    <w:jc w:val="center"/>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rPr>
                    <w:t>名称</w:t>
                  </w:r>
                </w:p>
              </w:tc>
              <w:tc>
                <w:tcPr>
                  <w:tcW w:w="1848" w:type="pct"/>
                  <w:vAlign w:val="center"/>
                </w:tcPr>
                <w:p>
                  <w:pPr>
                    <w:spacing w:line="300" w:lineRule="atLeast"/>
                    <w:jc w:val="center"/>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rPr>
                    <w:t>规模型号</w:t>
                  </w:r>
                </w:p>
              </w:tc>
              <w:tc>
                <w:tcPr>
                  <w:tcW w:w="1255" w:type="pct"/>
                  <w:vAlign w:val="center"/>
                </w:tcPr>
                <w:p>
                  <w:pPr>
                    <w:spacing w:line="300" w:lineRule="atLeast"/>
                    <w:jc w:val="center"/>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rPr>
                    <w:t>数量（台/套）</w:t>
                  </w:r>
                </w:p>
              </w:tc>
              <w:tc>
                <w:tcPr>
                  <w:tcW w:w="520" w:type="pct"/>
                  <w:vAlign w:val="center"/>
                </w:tcPr>
                <w:p>
                  <w:pPr>
                    <w:spacing w:line="300" w:lineRule="atLeast"/>
                    <w:jc w:val="center"/>
                    <w:rPr>
                      <w:b/>
                      <w:szCs w:val="21"/>
                      <w:highlight w:val="none"/>
                    </w:rPr>
                  </w:pPr>
                  <w:r>
                    <w:rPr>
                      <w:b/>
                      <w:szCs w:val="21"/>
                      <w:highlight w:val="non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1" w:hRule="atLeast"/>
              </w:trPr>
              <w:tc>
                <w:tcPr>
                  <w:tcW w:w="1375" w:type="pct"/>
                  <w:vMerge w:val="restart"/>
                  <w:vAlign w:val="center"/>
                </w:tcPr>
                <w:p>
                  <w:pPr>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rPr>
                    <w:t>塑料注塑机</w:t>
                  </w:r>
                </w:p>
              </w:tc>
              <w:tc>
                <w:tcPr>
                  <w:tcW w:w="1848" w:type="pct"/>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ENGL恩格尔 V200/80</w:t>
                  </w:r>
                </w:p>
              </w:tc>
              <w:tc>
                <w:tcPr>
                  <w:tcW w:w="1255" w:type="pct"/>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13台</w:t>
                  </w:r>
                </w:p>
              </w:tc>
              <w:tc>
                <w:tcPr>
                  <w:tcW w:w="520" w:type="pct"/>
                  <w:vMerge w:val="restart"/>
                  <w:vAlign w:val="center"/>
                </w:tcPr>
                <w:p>
                  <w:pPr>
                    <w:jc w:val="center"/>
                    <w:rPr>
                      <w:rFonts w:hint="eastAsia" w:eastAsia="宋体"/>
                      <w:szCs w:val="21"/>
                      <w:highlight w:val="yellow"/>
                      <w:lang w:eastAsia="zh-CN"/>
                    </w:rPr>
                  </w:pPr>
                  <w:r>
                    <w:rPr>
                      <w:rFonts w:hint="eastAsia" w:ascii="Times New Roman" w:hAnsi="Times New Roman" w:cs="Times New Roman"/>
                      <w:sz w:val="21"/>
                      <w:szCs w:val="21"/>
                      <w:highlight w:val="none"/>
                      <w:lang w:eastAsia="zh-CN"/>
                    </w:rPr>
                    <w:t>生产设备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1" w:hRule="atLeast"/>
              </w:trPr>
              <w:tc>
                <w:tcPr>
                  <w:tcW w:w="1375" w:type="pct"/>
                  <w:vMerge w:val="continue"/>
                  <w:vAlign w:val="center"/>
                </w:tcPr>
                <w:p>
                  <w:pPr>
                    <w:jc w:val="center"/>
                    <w:rPr>
                      <w:rFonts w:hint="default" w:ascii="Times New Roman" w:hAnsi="Times New Roman" w:cs="Times New Roman"/>
                      <w:sz w:val="21"/>
                      <w:szCs w:val="21"/>
                      <w:highlight w:val="none"/>
                    </w:rPr>
                  </w:pPr>
                </w:p>
              </w:tc>
              <w:tc>
                <w:tcPr>
                  <w:tcW w:w="1848" w:type="pct"/>
                  <w:vAlign w:val="center"/>
                </w:tcPr>
                <w:p>
                  <w:pPr>
                    <w:jc w:val="center"/>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深圳德润85T</w:t>
                  </w:r>
                </w:p>
              </w:tc>
              <w:tc>
                <w:tcPr>
                  <w:tcW w:w="1255" w:type="pct"/>
                  <w:vAlign w:val="center"/>
                </w:tcPr>
                <w:p>
                  <w:pPr>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3台</w:t>
                  </w:r>
                </w:p>
              </w:tc>
              <w:tc>
                <w:tcPr>
                  <w:tcW w:w="520" w:type="pct"/>
                  <w:vMerge w:val="continue"/>
                  <w:vAlign w:val="center"/>
                </w:tcPr>
                <w:p>
                  <w:pPr>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1" w:hRule="atLeast"/>
              </w:trPr>
              <w:tc>
                <w:tcPr>
                  <w:tcW w:w="1375" w:type="pct"/>
                  <w:vMerge w:val="continue"/>
                  <w:vAlign w:val="center"/>
                </w:tcPr>
                <w:p>
                  <w:pPr>
                    <w:jc w:val="center"/>
                    <w:rPr>
                      <w:rFonts w:hint="default" w:ascii="Times New Roman" w:hAnsi="Times New Roman" w:cs="Times New Roman"/>
                      <w:sz w:val="21"/>
                      <w:szCs w:val="21"/>
                      <w:highlight w:val="none"/>
                    </w:rPr>
                  </w:pPr>
                </w:p>
              </w:tc>
              <w:tc>
                <w:tcPr>
                  <w:tcW w:w="1848" w:type="pct"/>
                  <w:vAlign w:val="center"/>
                </w:tcPr>
                <w:p>
                  <w:pPr>
                    <w:jc w:val="center"/>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深圳德润25T</w:t>
                  </w:r>
                </w:p>
              </w:tc>
              <w:tc>
                <w:tcPr>
                  <w:tcW w:w="1255" w:type="pct"/>
                  <w:vAlign w:val="center"/>
                </w:tcPr>
                <w:p>
                  <w:pPr>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1台</w:t>
                  </w:r>
                </w:p>
              </w:tc>
              <w:tc>
                <w:tcPr>
                  <w:tcW w:w="520" w:type="pct"/>
                  <w:vMerge w:val="continue"/>
                  <w:vAlign w:val="center"/>
                </w:tcPr>
                <w:p>
                  <w:pPr>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1" w:hRule="atLeast"/>
              </w:trPr>
              <w:tc>
                <w:tcPr>
                  <w:tcW w:w="1375" w:type="pct"/>
                  <w:vMerge w:val="continue"/>
                  <w:vAlign w:val="center"/>
                </w:tcPr>
                <w:p>
                  <w:pPr>
                    <w:jc w:val="center"/>
                    <w:rPr>
                      <w:rFonts w:hint="default" w:ascii="Times New Roman" w:hAnsi="Times New Roman" w:cs="Times New Roman"/>
                      <w:sz w:val="21"/>
                      <w:szCs w:val="21"/>
                      <w:highlight w:val="none"/>
                    </w:rPr>
                  </w:pPr>
                </w:p>
              </w:tc>
              <w:tc>
                <w:tcPr>
                  <w:tcW w:w="1848" w:type="pct"/>
                  <w:vAlign w:val="center"/>
                </w:tcPr>
                <w:p>
                  <w:pPr>
                    <w:jc w:val="center"/>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海天MA900Ⅲ/280</w:t>
                  </w:r>
                </w:p>
              </w:tc>
              <w:tc>
                <w:tcPr>
                  <w:tcW w:w="1255" w:type="pct"/>
                  <w:vAlign w:val="center"/>
                </w:tcPr>
                <w:p>
                  <w:pPr>
                    <w:jc w:val="center"/>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lang w:val="en-US" w:eastAsia="zh-CN"/>
                    </w:rPr>
                    <w:t>1台</w:t>
                  </w:r>
                </w:p>
              </w:tc>
              <w:tc>
                <w:tcPr>
                  <w:tcW w:w="520" w:type="pct"/>
                  <w:vMerge w:val="continue"/>
                  <w:vAlign w:val="center"/>
                </w:tcPr>
                <w:p>
                  <w:pPr>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1" w:hRule="atLeast"/>
              </w:trPr>
              <w:tc>
                <w:tcPr>
                  <w:tcW w:w="1375" w:type="pct"/>
                  <w:vMerge w:val="continue"/>
                  <w:vAlign w:val="center"/>
                </w:tcPr>
                <w:p>
                  <w:pPr>
                    <w:jc w:val="center"/>
                    <w:rPr>
                      <w:rFonts w:hint="default" w:ascii="Times New Roman" w:hAnsi="Times New Roman" w:cs="Times New Roman"/>
                      <w:sz w:val="21"/>
                      <w:szCs w:val="21"/>
                      <w:highlight w:val="none"/>
                    </w:rPr>
                  </w:pPr>
                </w:p>
              </w:tc>
              <w:tc>
                <w:tcPr>
                  <w:tcW w:w="1848" w:type="pct"/>
                  <w:vAlign w:val="center"/>
                </w:tcPr>
                <w:p>
                  <w:pPr>
                    <w:jc w:val="center"/>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海</w:t>
                  </w:r>
                  <w:r>
                    <w:rPr>
                      <w:rFonts w:hint="default" w:ascii="Times New Roman" w:hAnsi="Times New Roman" w:cs="Times New Roman"/>
                      <w:sz w:val="21"/>
                      <w:szCs w:val="21"/>
                      <w:highlight w:val="none"/>
                    </w:rPr>
                    <w:t>天</w:t>
                  </w:r>
                  <w:r>
                    <w:rPr>
                      <w:rFonts w:hint="eastAsia" w:ascii="Times New Roman" w:hAnsi="Times New Roman" w:cs="Times New Roman"/>
                      <w:sz w:val="21"/>
                      <w:szCs w:val="21"/>
                      <w:highlight w:val="none"/>
                    </w:rPr>
                    <w:t>MA1600Ⅲ/570-DE</w:t>
                  </w:r>
                </w:p>
              </w:tc>
              <w:tc>
                <w:tcPr>
                  <w:tcW w:w="1255" w:type="pct"/>
                  <w:vAlign w:val="center"/>
                </w:tcPr>
                <w:p>
                  <w:pPr>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3台</w:t>
                  </w:r>
                </w:p>
              </w:tc>
              <w:tc>
                <w:tcPr>
                  <w:tcW w:w="520" w:type="pct"/>
                  <w:vMerge w:val="continue"/>
                  <w:vAlign w:val="center"/>
                </w:tcPr>
                <w:p>
                  <w:pPr>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1" w:hRule="atLeast"/>
              </w:trPr>
              <w:tc>
                <w:tcPr>
                  <w:tcW w:w="1375" w:type="pct"/>
                  <w:vMerge w:val="continue"/>
                  <w:vAlign w:val="center"/>
                </w:tcPr>
                <w:p>
                  <w:pPr>
                    <w:jc w:val="center"/>
                    <w:rPr>
                      <w:rFonts w:hint="default" w:ascii="Times New Roman" w:hAnsi="Times New Roman" w:cs="Times New Roman"/>
                      <w:sz w:val="21"/>
                      <w:szCs w:val="21"/>
                      <w:highlight w:val="none"/>
                    </w:rPr>
                  </w:pPr>
                </w:p>
              </w:tc>
              <w:tc>
                <w:tcPr>
                  <w:tcW w:w="1848" w:type="pct"/>
                  <w:vAlign w:val="center"/>
                </w:tcPr>
                <w:p>
                  <w:pPr>
                    <w:jc w:val="center"/>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海天MA2000Ⅲ/750</w:t>
                  </w:r>
                </w:p>
              </w:tc>
              <w:tc>
                <w:tcPr>
                  <w:tcW w:w="1255" w:type="pct"/>
                  <w:vAlign w:val="center"/>
                </w:tcPr>
                <w:p>
                  <w:pPr>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2台</w:t>
                  </w:r>
                </w:p>
              </w:tc>
              <w:tc>
                <w:tcPr>
                  <w:tcW w:w="520" w:type="pct"/>
                  <w:vMerge w:val="continue"/>
                  <w:vAlign w:val="center"/>
                </w:tcPr>
                <w:p>
                  <w:pPr>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9" w:hRule="atLeast"/>
              </w:trPr>
              <w:tc>
                <w:tcPr>
                  <w:tcW w:w="1375" w:type="pct"/>
                  <w:vAlign w:val="center"/>
                </w:tcPr>
                <w:p>
                  <w:pPr>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rPr>
                    <w:t>硅胶注塑机</w:t>
                  </w:r>
                </w:p>
              </w:tc>
              <w:tc>
                <w:tcPr>
                  <w:tcW w:w="1848" w:type="pct"/>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ENGL恩格尔E-V50/80</w:t>
                  </w:r>
                </w:p>
              </w:tc>
              <w:tc>
                <w:tcPr>
                  <w:tcW w:w="1255" w:type="pct"/>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7台</w:t>
                  </w:r>
                </w:p>
              </w:tc>
              <w:tc>
                <w:tcPr>
                  <w:tcW w:w="520" w:type="pct"/>
                  <w:vMerge w:val="continue"/>
                  <w:vAlign w:val="center"/>
                </w:tcPr>
                <w:p>
                  <w:pPr>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9" w:hRule="atLeast"/>
              </w:trPr>
              <w:tc>
                <w:tcPr>
                  <w:tcW w:w="1375" w:type="pct"/>
                  <w:vAlign w:val="center"/>
                </w:tcPr>
                <w:p>
                  <w:pPr>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rPr>
                    <w:t>烤箱</w:t>
                  </w:r>
                </w:p>
              </w:tc>
              <w:tc>
                <w:tcPr>
                  <w:tcW w:w="1848" w:type="pct"/>
                  <w:vAlign w:val="center"/>
                </w:tcPr>
                <w:p>
                  <w:pPr>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rPr>
                    <w:t xml:space="preserve">博新宇 </w:t>
                  </w:r>
                  <w:r>
                    <w:rPr>
                      <w:rFonts w:hint="default" w:ascii="Times New Roman" w:hAnsi="Times New Roman" w:cs="Times New Roman"/>
                      <w:sz w:val="21"/>
                      <w:szCs w:val="21"/>
                      <w:highlight w:val="none"/>
                    </w:rPr>
                    <w:t>84Y-9</w:t>
                  </w:r>
                </w:p>
              </w:tc>
              <w:tc>
                <w:tcPr>
                  <w:tcW w:w="1255" w:type="pct"/>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2台</w:t>
                  </w:r>
                </w:p>
              </w:tc>
              <w:tc>
                <w:tcPr>
                  <w:tcW w:w="520" w:type="pct"/>
                  <w:vMerge w:val="continue"/>
                  <w:vAlign w:val="center"/>
                </w:tcPr>
                <w:p>
                  <w:pPr>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9" w:hRule="atLeast"/>
              </w:trPr>
              <w:tc>
                <w:tcPr>
                  <w:tcW w:w="1375" w:type="pct"/>
                  <w:vAlign w:val="center"/>
                </w:tcPr>
                <w:p>
                  <w:pPr>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rPr>
                    <w:t>冷却塔</w:t>
                  </w:r>
                </w:p>
              </w:tc>
              <w:tc>
                <w:tcPr>
                  <w:tcW w:w="1848" w:type="pct"/>
                  <w:vAlign w:val="center"/>
                </w:tcPr>
                <w:p>
                  <w:pPr>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rPr>
                    <w:t xml:space="preserve">泰创制冷 </w:t>
                  </w:r>
                  <w:r>
                    <w:rPr>
                      <w:rFonts w:hint="default" w:ascii="Times New Roman" w:hAnsi="Times New Roman" w:cs="Times New Roman"/>
                      <w:sz w:val="21"/>
                      <w:szCs w:val="21"/>
                      <w:highlight w:val="none"/>
                    </w:rPr>
                    <w:t>GHM-350</w:t>
                  </w:r>
                </w:p>
              </w:tc>
              <w:tc>
                <w:tcPr>
                  <w:tcW w:w="1255" w:type="pct"/>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1台</w:t>
                  </w:r>
                </w:p>
              </w:tc>
              <w:tc>
                <w:tcPr>
                  <w:tcW w:w="520" w:type="pct"/>
                  <w:vMerge w:val="continue"/>
                  <w:vAlign w:val="center"/>
                </w:tcPr>
                <w:p>
                  <w:pPr>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9" w:hRule="atLeast"/>
              </w:trPr>
              <w:tc>
                <w:tcPr>
                  <w:tcW w:w="1375" w:type="pct"/>
                  <w:vAlign w:val="center"/>
                </w:tcPr>
                <w:p>
                  <w:pPr>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rPr>
                    <w:t>空压机</w:t>
                  </w:r>
                </w:p>
              </w:tc>
              <w:tc>
                <w:tcPr>
                  <w:tcW w:w="1848" w:type="pct"/>
                  <w:vAlign w:val="center"/>
                </w:tcPr>
                <w:p>
                  <w:pPr>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rPr>
                    <w:t xml:space="preserve">台湾捷豹 </w:t>
                  </w:r>
                  <w:r>
                    <w:rPr>
                      <w:rFonts w:hint="default" w:ascii="Times New Roman" w:hAnsi="Times New Roman" w:cs="Times New Roman"/>
                      <w:sz w:val="21"/>
                      <w:szCs w:val="21"/>
                      <w:highlight w:val="none"/>
                    </w:rPr>
                    <w:t>ZLS20HI/15KW</w:t>
                  </w:r>
                </w:p>
              </w:tc>
              <w:tc>
                <w:tcPr>
                  <w:tcW w:w="1255" w:type="pct"/>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1台</w:t>
                  </w:r>
                </w:p>
              </w:tc>
              <w:tc>
                <w:tcPr>
                  <w:tcW w:w="520" w:type="pct"/>
                  <w:vMerge w:val="continue"/>
                  <w:vAlign w:val="center"/>
                </w:tcPr>
                <w:p>
                  <w:pPr>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9" w:hRule="atLeast"/>
              </w:trPr>
              <w:tc>
                <w:tcPr>
                  <w:tcW w:w="1375" w:type="pct"/>
                  <w:vAlign w:val="center"/>
                </w:tcPr>
                <w:p>
                  <w:pPr>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rPr>
                    <w:t>粉碎机</w:t>
                  </w:r>
                </w:p>
              </w:tc>
              <w:tc>
                <w:tcPr>
                  <w:tcW w:w="1848" w:type="pct"/>
                  <w:vAlign w:val="center"/>
                </w:tcPr>
                <w:p>
                  <w:pPr>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rPr>
                    <w:t>利欣特 300</w:t>
                  </w:r>
                </w:p>
              </w:tc>
              <w:tc>
                <w:tcPr>
                  <w:tcW w:w="1255" w:type="pct"/>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2台</w:t>
                  </w:r>
                </w:p>
              </w:tc>
              <w:tc>
                <w:tcPr>
                  <w:tcW w:w="520" w:type="pct"/>
                  <w:vMerge w:val="continue"/>
                  <w:vAlign w:val="center"/>
                </w:tcPr>
                <w:p>
                  <w:pPr>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9" w:hRule="atLeast"/>
              </w:trPr>
              <w:tc>
                <w:tcPr>
                  <w:tcW w:w="1375" w:type="pct"/>
                  <w:vAlign w:val="center"/>
                </w:tcPr>
                <w:p>
                  <w:pPr>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rPr>
                    <w:t>拌料机</w:t>
                  </w:r>
                </w:p>
              </w:tc>
              <w:tc>
                <w:tcPr>
                  <w:tcW w:w="1848" w:type="pct"/>
                  <w:vAlign w:val="center"/>
                </w:tcPr>
                <w:p>
                  <w:pPr>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rPr>
                    <w:t>利欣特 YH50</w:t>
                  </w:r>
                </w:p>
              </w:tc>
              <w:tc>
                <w:tcPr>
                  <w:tcW w:w="1255" w:type="pct"/>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2台</w:t>
                  </w:r>
                </w:p>
              </w:tc>
              <w:tc>
                <w:tcPr>
                  <w:tcW w:w="520" w:type="pct"/>
                  <w:vMerge w:val="continue"/>
                  <w:vAlign w:val="center"/>
                </w:tcPr>
                <w:p>
                  <w:pPr>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9" w:hRule="atLeast"/>
              </w:trPr>
              <w:tc>
                <w:tcPr>
                  <w:tcW w:w="1375" w:type="pct"/>
                  <w:vAlign w:val="center"/>
                </w:tcPr>
                <w:p>
                  <w:pPr>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rPr>
                    <w:t>放电穿孔机</w:t>
                  </w:r>
                </w:p>
              </w:tc>
              <w:tc>
                <w:tcPr>
                  <w:tcW w:w="1848" w:type="pct"/>
                  <w:vAlign w:val="center"/>
                </w:tcPr>
                <w:p>
                  <w:pPr>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rPr>
                    <w:t xml:space="preserve">苏州中谷 </w:t>
                  </w:r>
                  <w:r>
                    <w:rPr>
                      <w:rFonts w:hint="default" w:ascii="Times New Roman" w:hAnsi="Times New Roman" w:cs="Times New Roman"/>
                      <w:sz w:val="21"/>
                      <w:szCs w:val="21"/>
                      <w:highlight w:val="none"/>
                    </w:rPr>
                    <w:t>ZGDC303</w:t>
                  </w:r>
                </w:p>
              </w:tc>
              <w:tc>
                <w:tcPr>
                  <w:tcW w:w="1255" w:type="pct"/>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1台</w:t>
                  </w:r>
                </w:p>
              </w:tc>
              <w:tc>
                <w:tcPr>
                  <w:tcW w:w="520" w:type="pct"/>
                  <w:vMerge w:val="continue"/>
                  <w:vAlign w:val="center"/>
                </w:tcPr>
                <w:p>
                  <w:pPr>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9" w:hRule="atLeast"/>
              </w:trPr>
              <w:tc>
                <w:tcPr>
                  <w:tcW w:w="1375" w:type="pct"/>
                  <w:vAlign w:val="center"/>
                </w:tcPr>
                <w:p>
                  <w:pPr>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rPr>
                    <w:t>慢走丝线切割</w:t>
                  </w:r>
                </w:p>
              </w:tc>
              <w:tc>
                <w:tcPr>
                  <w:tcW w:w="1848" w:type="pct"/>
                  <w:vAlign w:val="center"/>
                </w:tcPr>
                <w:p>
                  <w:pPr>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rPr>
                    <w:t>Sodick</w:t>
                  </w:r>
                  <w:r>
                    <w:rPr>
                      <w:rFonts w:hint="eastAsia" w:ascii="Times New Roman" w:hAnsi="Times New Roman" w:cs="Times New Roman"/>
                      <w:sz w:val="21"/>
                      <w:szCs w:val="21"/>
                      <w:highlight w:val="none"/>
                    </w:rPr>
                    <w:t xml:space="preserve">沙迪克 </w:t>
                  </w:r>
                  <w:r>
                    <w:rPr>
                      <w:rFonts w:hint="default" w:ascii="Times New Roman" w:hAnsi="Times New Roman" w:cs="Times New Roman"/>
                      <w:sz w:val="21"/>
                      <w:szCs w:val="21"/>
                      <w:highlight w:val="none"/>
                    </w:rPr>
                    <w:t>SPWQ400</w:t>
                  </w:r>
                </w:p>
              </w:tc>
              <w:tc>
                <w:tcPr>
                  <w:tcW w:w="1255" w:type="pct"/>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5台</w:t>
                  </w:r>
                </w:p>
              </w:tc>
              <w:tc>
                <w:tcPr>
                  <w:tcW w:w="520" w:type="pct"/>
                  <w:vMerge w:val="continue"/>
                  <w:vAlign w:val="center"/>
                </w:tcPr>
                <w:p>
                  <w:pPr>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9" w:hRule="atLeast"/>
              </w:trPr>
              <w:tc>
                <w:tcPr>
                  <w:tcW w:w="1375" w:type="pct"/>
                  <w:vAlign w:val="center"/>
                </w:tcPr>
                <w:p>
                  <w:pPr>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rPr>
                    <w:t>CNC数控机</w:t>
                  </w:r>
                </w:p>
              </w:tc>
              <w:tc>
                <w:tcPr>
                  <w:tcW w:w="1848" w:type="pct"/>
                  <w:vAlign w:val="center"/>
                </w:tcPr>
                <w:p>
                  <w:pPr>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rPr>
                    <w:t>牧野 Makino</w:t>
                  </w:r>
                  <w:r>
                    <w:rPr>
                      <w:rFonts w:hint="default" w:ascii="Times New Roman" w:hAnsi="Times New Roman" w:cs="Times New Roman"/>
                      <w:sz w:val="21"/>
                      <w:szCs w:val="21"/>
                      <w:highlight w:val="none"/>
                    </w:rPr>
                    <w:t xml:space="preserve"> V33e</w:t>
                  </w:r>
                </w:p>
              </w:tc>
              <w:tc>
                <w:tcPr>
                  <w:tcW w:w="1255" w:type="pct"/>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3台</w:t>
                  </w:r>
                </w:p>
              </w:tc>
              <w:tc>
                <w:tcPr>
                  <w:tcW w:w="520" w:type="pct"/>
                  <w:vMerge w:val="continue"/>
                  <w:vAlign w:val="center"/>
                </w:tcPr>
                <w:p>
                  <w:pPr>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9" w:hRule="atLeast"/>
              </w:trPr>
              <w:tc>
                <w:tcPr>
                  <w:tcW w:w="1375" w:type="pct"/>
                  <w:vAlign w:val="center"/>
                </w:tcPr>
                <w:p>
                  <w:pPr>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rPr>
                    <w:t>铣床</w:t>
                  </w:r>
                </w:p>
              </w:tc>
              <w:tc>
                <w:tcPr>
                  <w:tcW w:w="1848" w:type="pct"/>
                  <w:vAlign w:val="center"/>
                </w:tcPr>
                <w:p>
                  <w:pPr>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rPr>
                    <w:t>Yalita BHC</w:t>
                  </w:r>
                </w:p>
              </w:tc>
              <w:tc>
                <w:tcPr>
                  <w:tcW w:w="1255" w:type="pct"/>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2台</w:t>
                  </w:r>
                </w:p>
              </w:tc>
              <w:tc>
                <w:tcPr>
                  <w:tcW w:w="520" w:type="pct"/>
                  <w:vMerge w:val="continue"/>
                  <w:vAlign w:val="center"/>
                </w:tcPr>
                <w:p>
                  <w:pPr>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9" w:hRule="atLeast"/>
              </w:trPr>
              <w:tc>
                <w:tcPr>
                  <w:tcW w:w="1375" w:type="pct"/>
                  <w:vAlign w:val="center"/>
                </w:tcPr>
                <w:p>
                  <w:pPr>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rPr>
                    <w:t>磨床</w:t>
                  </w:r>
                </w:p>
              </w:tc>
              <w:tc>
                <w:tcPr>
                  <w:tcW w:w="1848" w:type="pct"/>
                  <w:vAlign w:val="center"/>
                </w:tcPr>
                <w:p>
                  <w:pPr>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rPr>
                    <w:t>黑田 450</w:t>
                  </w:r>
                </w:p>
              </w:tc>
              <w:tc>
                <w:tcPr>
                  <w:tcW w:w="1255" w:type="pct"/>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w:t>
                  </w:r>
                  <w:r>
                    <w:rPr>
                      <w:rFonts w:hint="eastAsia" w:ascii="Times New Roman" w:hAnsi="Times New Roman" w:cs="Times New Roman"/>
                      <w:sz w:val="21"/>
                      <w:szCs w:val="21"/>
                      <w:highlight w:val="none"/>
                    </w:rPr>
                    <w:t>台</w:t>
                  </w:r>
                </w:p>
              </w:tc>
              <w:tc>
                <w:tcPr>
                  <w:tcW w:w="520" w:type="pct"/>
                  <w:vMerge w:val="continue"/>
                  <w:vAlign w:val="center"/>
                </w:tcPr>
                <w:p>
                  <w:pPr>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9" w:hRule="atLeast"/>
              </w:trPr>
              <w:tc>
                <w:tcPr>
                  <w:tcW w:w="1375" w:type="pct"/>
                  <w:vAlign w:val="center"/>
                </w:tcPr>
                <w:p>
                  <w:pPr>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rPr>
                    <w:t>印刷机</w:t>
                  </w:r>
                </w:p>
              </w:tc>
              <w:tc>
                <w:tcPr>
                  <w:tcW w:w="1848" w:type="pct"/>
                  <w:vAlign w:val="center"/>
                </w:tcPr>
                <w:p>
                  <w:pPr>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rPr>
                    <w:t>忠</w:t>
                  </w:r>
                  <w:r>
                    <w:rPr>
                      <w:rFonts w:hint="default" w:ascii="Times New Roman" w:hAnsi="Times New Roman" w:cs="Times New Roman"/>
                      <w:sz w:val="21"/>
                      <w:szCs w:val="21"/>
                      <w:highlight w:val="none"/>
                    </w:rPr>
                    <w:t>科</w:t>
                  </w:r>
                  <w:r>
                    <w:rPr>
                      <w:rFonts w:hint="eastAsia" w:ascii="Times New Roman" w:hAnsi="Times New Roman" w:cs="Times New Roman"/>
                      <w:sz w:val="21"/>
                      <w:szCs w:val="21"/>
                      <w:highlight w:val="none"/>
                    </w:rPr>
                    <w:t>A-M2S</w:t>
                  </w:r>
                </w:p>
              </w:tc>
              <w:tc>
                <w:tcPr>
                  <w:tcW w:w="1255" w:type="pct"/>
                  <w:vAlign w:val="center"/>
                </w:tcPr>
                <w:p>
                  <w:pPr>
                    <w:jc w:val="center"/>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2台</w:t>
                  </w:r>
                </w:p>
              </w:tc>
              <w:tc>
                <w:tcPr>
                  <w:tcW w:w="520" w:type="pct"/>
                  <w:vMerge w:val="continue"/>
                  <w:vAlign w:val="center"/>
                </w:tcPr>
                <w:p>
                  <w:pPr>
                    <w:jc w:val="center"/>
                    <w:rPr>
                      <w:szCs w:val="21"/>
                      <w:highlight w:val="yellow"/>
                    </w:rPr>
                  </w:pPr>
                </w:p>
              </w:tc>
            </w:tr>
          </w:tbl>
          <w:p>
            <w:pPr>
              <w:snapToGrid w:val="0"/>
              <w:jc w:val="center"/>
              <w:rPr>
                <w:b/>
                <w:bCs/>
                <w:sz w:val="24"/>
                <w:highlight w:val="yellow"/>
              </w:rPr>
            </w:pPr>
          </w:p>
          <w:p>
            <w:pPr>
              <w:spacing w:line="360" w:lineRule="auto"/>
              <w:rPr>
                <w:b/>
                <w:bCs/>
                <w:sz w:val="24"/>
                <w:highlight w:val="none"/>
              </w:rPr>
            </w:pPr>
            <w:r>
              <w:rPr>
                <w:b/>
                <w:bCs/>
                <w:sz w:val="24"/>
                <w:highlight w:val="none"/>
              </w:rPr>
              <w:t>4</w:t>
            </w:r>
            <w:r>
              <w:rPr>
                <w:rFonts w:hint="eastAsia"/>
                <w:b/>
                <w:bCs/>
                <w:sz w:val="24"/>
                <w:highlight w:val="none"/>
              </w:rPr>
              <w:t>、</w:t>
            </w:r>
            <w:r>
              <w:rPr>
                <w:b/>
                <w:bCs/>
                <w:sz w:val="24"/>
                <w:highlight w:val="none"/>
              </w:rPr>
              <w:t>原辅材料</w:t>
            </w:r>
            <w:r>
              <w:rPr>
                <w:rFonts w:hint="eastAsia"/>
                <w:b/>
                <w:bCs/>
                <w:sz w:val="24"/>
                <w:highlight w:val="none"/>
              </w:rPr>
              <w:t>及燃料</w:t>
            </w:r>
            <w:r>
              <w:rPr>
                <w:b/>
                <w:bCs/>
                <w:sz w:val="24"/>
                <w:highlight w:val="none"/>
              </w:rPr>
              <w:t>（包括名称、用量）</w:t>
            </w:r>
          </w:p>
          <w:p>
            <w:pPr>
              <w:spacing w:line="360" w:lineRule="auto"/>
              <w:ind w:firstLine="480" w:firstLineChars="200"/>
              <w:rPr>
                <w:sz w:val="24"/>
                <w:highlight w:val="none"/>
              </w:rPr>
            </w:pPr>
            <w:r>
              <w:rPr>
                <w:rFonts w:hint="eastAsia"/>
                <w:sz w:val="24"/>
                <w:highlight w:val="none"/>
              </w:rPr>
              <w:t>本项目主要原辅料如表2-</w:t>
            </w:r>
            <w:r>
              <w:rPr>
                <w:sz w:val="24"/>
                <w:highlight w:val="none"/>
              </w:rPr>
              <w:t>3</w:t>
            </w:r>
            <w:r>
              <w:rPr>
                <w:rFonts w:hint="eastAsia"/>
                <w:sz w:val="24"/>
                <w:highlight w:val="none"/>
              </w:rPr>
              <w:t>所示。</w:t>
            </w:r>
          </w:p>
          <w:p>
            <w:pPr>
              <w:snapToGrid w:val="0"/>
              <w:jc w:val="center"/>
              <w:rPr>
                <w:b/>
                <w:bCs/>
                <w:sz w:val="24"/>
                <w:highlight w:val="none"/>
              </w:rPr>
            </w:pPr>
            <w:r>
              <w:rPr>
                <w:b/>
                <w:bCs/>
                <w:sz w:val="24"/>
                <w:highlight w:val="none"/>
              </w:rPr>
              <w:t>表</w:t>
            </w:r>
            <w:r>
              <w:rPr>
                <w:rFonts w:hint="eastAsia"/>
                <w:b/>
                <w:bCs/>
                <w:sz w:val="24"/>
                <w:highlight w:val="none"/>
              </w:rPr>
              <w:t>2-</w:t>
            </w:r>
            <w:r>
              <w:rPr>
                <w:b/>
                <w:bCs/>
                <w:sz w:val="24"/>
                <w:highlight w:val="none"/>
              </w:rPr>
              <w:t>3  主要原辅料消耗表</w:t>
            </w:r>
          </w:p>
          <w:tbl>
            <w:tblPr>
              <w:tblStyle w:val="22"/>
              <w:tblW w:w="4995"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962"/>
              <w:gridCol w:w="1470"/>
              <w:gridCol w:w="1253"/>
              <w:gridCol w:w="1053"/>
              <w:gridCol w:w="1134"/>
              <w:gridCol w:w="100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77" w:type="pct"/>
                  <w:vAlign w:val="center"/>
                </w:tcPr>
                <w:p>
                  <w:pPr>
                    <w:jc w:val="center"/>
                    <w:rPr>
                      <w:b/>
                      <w:szCs w:val="21"/>
                      <w:highlight w:val="none"/>
                    </w:rPr>
                  </w:pPr>
                  <w:r>
                    <w:rPr>
                      <w:b/>
                      <w:szCs w:val="21"/>
                      <w:highlight w:val="none"/>
                    </w:rPr>
                    <w:t>物料名称</w:t>
                  </w:r>
                </w:p>
              </w:tc>
              <w:tc>
                <w:tcPr>
                  <w:tcW w:w="590" w:type="pct"/>
                  <w:vAlign w:val="center"/>
                </w:tcPr>
                <w:p>
                  <w:pPr>
                    <w:jc w:val="center"/>
                    <w:rPr>
                      <w:rFonts w:eastAsia="Calibri"/>
                      <w:b/>
                      <w:szCs w:val="21"/>
                      <w:highlight w:val="none"/>
                    </w:rPr>
                  </w:pPr>
                  <w:r>
                    <w:rPr>
                      <w:b/>
                      <w:szCs w:val="21"/>
                      <w:highlight w:val="none"/>
                    </w:rPr>
                    <w:t>组分/规格</w:t>
                  </w:r>
                </w:p>
              </w:tc>
              <w:tc>
                <w:tcPr>
                  <w:tcW w:w="902" w:type="pct"/>
                  <w:vAlign w:val="center"/>
                </w:tcPr>
                <w:p>
                  <w:pPr>
                    <w:jc w:val="center"/>
                    <w:rPr>
                      <w:b/>
                      <w:szCs w:val="21"/>
                      <w:highlight w:val="none"/>
                    </w:rPr>
                  </w:pPr>
                  <w:r>
                    <w:rPr>
                      <w:b/>
                      <w:szCs w:val="21"/>
                      <w:highlight w:val="none"/>
                    </w:rPr>
                    <w:t>年用量（t）</w:t>
                  </w:r>
                </w:p>
              </w:tc>
              <w:tc>
                <w:tcPr>
                  <w:tcW w:w="769" w:type="pct"/>
                  <w:vAlign w:val="center"/>
                </w:tcPr>
                <w:p>
                  <w:pPr>
                    <w:jc w:val="center"/>
                    <w:rPr>
                      <w:b/>
                      <w:szCs w:val="21"/>
                      <w:highlight w:val="none"/>
                    </w:rPr>
                  </w:pPr>
                  <w:r>
                    <w:rPr>
                      <w:b/>
                      <w:szCs w:val="21"/>
                      <w:highlight w:val="none"/>
                    </w:rPr>
                    <w:t>最大储存量（t）</w:t>
                  </w:r>
                </w:p>
              </w:tc>
              <w:tc>
                <w:tcPr>
                  <w:tcW w:w="646" w:type="pct"/>
                  <w:vAlign w:val="center"/>
                </w:tcPr>
                <w:p>
                  <w:pPr>
                    <w:jc w:val="center"/>
                    <w:rPr>
                      <w:b/>
                      <w:szCs w:val="21"/>
                      <w:highlight w:val="none"/>
                    </w:rPr>
                  </w:pPr>
                  <w:r>
                    <w:rPr>
                      <w:b/>
                      <w:szCs w:val="21"/>
                      <w:highlight w:val="none"/>
                    </w:rPr>
                    <w:t>包装及储存方式</w:t>
                  </w:r>
                </w:p>
              </w:tc>
              <w:tc>
                <w:tcPr>
                  <w:tcW w:w="696" w:type="pct"/>
                  <w:vAlign w:val="center"/>
                </w:tcPr>
                <w:p>
                  <w:pPr>
                    <w:jc w:val="center"/>
                    <w:rPr>
                      <w:b/>
                      <w:szCs w:val="21"/>
                      <w:highlight w:val="none"/>
                    </w:rPr>
                  </w:pPr>
                  <w:r>
                    <w:rPr>
                      <w:b/>
                      <w:szCs w:val="21"/>
                      <w:highlight w:val="none"/>
                    </w:rPr>
                    <w:t>储存场所</w:t>
                  </w:r>
                </w:p>
              </w:tc>
              <w:tc>
                <w:tcPr>
                  <w:tcW w:w="617" w:type="pct"/>
                  <w:vAlign w:val="center"/>
                </w:tcPr>
                <w:p>
                  <w:pPr>
                    <w:jc w:val="center"/>
                    <w:rPr>
                      <w:b/>
                      <w:szCs w:val="21"/>
                      <w:highlight w:val="none"/>
                    </w:rPr>
                  </w:pPr>
                  <w:r>
                    <w:rPr>
                      <w:b/>
                      <w:szCs w:val="21"/>
                      <w:highlight w:val="none"/>
                    </w:rPr>
                    <w:t>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77" w:type="pct"/>
                  <w:vAlign w:val="center"/>
                </w:tcPr>
                <w:p>
                  <w:pPr>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镍钛合金</w:t>
                  </w:r>
                </w:p>
              </w:tc>
              <w:tc>
                <w:tcPr>
                  <w:tcW w:w="590" w:type="pct"/>
                  <w:vAlign w:val="center"/>
                </w:tcPr>
                <w:p>
                  <w:pPr>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w:t>
                  </w:r>
                </w:p>
              </w:tc>
              <w:tc>
                <w:tcPr>
                  <w:tcW w:w="902" w:type="pct"/>
                  <w:vAlign w:val="center"/>
                </w:tcPr>
                <w:p>
                  <w:pPr>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500公斤</w:t>
                  </w:r>
                </w:p>
              </w:tc>
              <w:tc>
                <w:tcPr>
                  <w:tcW w:w="769" w:type="pct"/>
                  <w:vAlign w:val="center"/>
                </w:tcPr>
                <w:p>
                  <w:pPr>
                    <w:tabs>
                      <w:tab w:val="left" w:pos="15"/>
                    </w:tabs>
                    <w:jc w:val="center"/>
                    <w:rPr>
                      <w:rFonts w:hint="default" w:eastAsia="宋体"/>
                      <w:szCs w:val="21"/>
                      <w:highlight w:val="none"/>
                      <w:lang w:val="en-US" w:eastAsia="zh-CN"/>
                    </w:rPr>
                  </w:pPr>
                  <w:r>
                    <w:rPr>
                      <w:rFonts w:hint="eastAsia"/>
                      <w:szCs w:val="21"/>
                      <w:highlight w:val="none"/>
                      <w:lang w:val="en-US" w:eastAsia="zh-CN"/>
                    </w:rPr>
                    <w:t>100公斤</w:t>
                  </w:r>
                </w:p>
              </w:tc>
              <w:tc>
                <w:tcPr>
                  <w:tcW w:w="646" w:type="pct"/>
                  <w:vAlign w:val="center"/>
                </w:tcPr>
                <w:p>
                  <w:pPr>
                    <w:tabs>
                      <w:tab w:val="left" w:pos="15"/>
                    </w:tabs>
                    <w:jc w:val="center"/>
                    <w:rPr>
                      <w:rFonts w:hint="eastAsia" w:eastAsia="宋体"/>
                      <w:szCs w:val="21"/>
                      <w:highlight w:val="none"/>
                      <w:lang w:eastAsia="zh-CN"/>
                    </w:rPr>
                  </w:pPr>
                  <w:r>
                    <w:rPr>
                      <w:rFonts w:hint="eastAsia"/>
                      <w:szCs w:val="21"/>
                      <w:highlight w:val="none"/>
                      <w:lang w:eastAsia="zh-CN"/>
                    </w:rPr>
                    <w:t>堆放</w:t>
                  </w:r>
                </w:p>
              </w:tc>
              <w:tc>
                <w:tcPr>
                  <w:tcW w:w="696" w:type="pct"/>
                  <w:vMerge w:val="restart"/>
                  <w:vAlign w:val="center"/>
                </w:tcPr>
                <w:p>
                  <w:pPr>
                    <w:tabs>
                      <w:tab w:val="left" w:pos="15"/>
                    </w:tabs>
                    <w:jc w:val="center"/>
                    <w:rPr>
                      <w:rFonts w:hint="eastAsia" w:eastAsia="宋体"/>
                      <w:szCs w:val="21"/>
                      <w:highlight w:val="none"/>
                      <w:lang w:eastAsia="zh-CN"/>
                    </w:rPr>
                  </w:pPr>
                  <w:r>
                    <w:rPr>
                      <w:rFonts w:hint="eastAsia"/>
                      <w:szCs w:val="21"/>
                      <w:highlight w:val="none"/>
                      <w:lang w:eastAsia="zh-CN"/>
                    </w:rPr>
                    <w:t>原材料仓库</w:t>
                  </w:r>
                </w:p>
              </w:tc>
              <w:tc>
                <w:tcPr>
                  <w:tcW w:w="617" w:type="pct"/>
                  <w:vMerge w:val="restart"/>
                  <w:vAlign w:val="center"/>
                </w:tcPr>
                <w:p>
                  <w:pPr>
                    <w:tabs>
                      <w:tab w:val="left" w:pos="15"/>
                    </w:tabs>
                    <w:jc w:val="center"/>
                    <w:rPr>
                      <w:szCs w:val="21"/>
                      <w:highlight w:val="none"/>
                    </w:rPr>
                  </w:pPr>
                  <w:r>
                    <w:rPr>
                      <w:szCs w:val="21"/>
                      <w:highlight w:val="none"/>
                    </w:rPr>
                    <w:t>外购</w:t>
                  </w:r>
                </w:p>
                <w:p>
                  <w:pPr>
                    <w:tabs>
                      <w:tab w:val="left" w:pos="15"/>
                    </w:tabs>
                    <w:jc w:val="center"/>
                    <w:rPr>
                      <w:szCs w:val="21"/>
                      <w:highlight w:val="none"/>
                    </w:rPr>
                  </w:pPr>
                  <w:r>
                    <w:rPr>
                      <w:szCs w:val="21"/>
                      <w:highlight w:val="none"/>
                    </w:rPr>
                    <w:t>车运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77" w:type="pct"/>
                  <w:vAlign w:val="center"/>
                </w:tcPr>
                <w:p>
                  <w:pPr>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不锈钢</w:t>
                  </w:r>
                </w:p>
              </w:tc>
              <w:tc>
                <w:tcPr>
                  <w:tcW w:w="590" w:type="pct"/>
                  <w:vAlign w:val="center"/>
                </w:tcPr>
                <w:p>
                  <w:pPr>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w:t>
                  </w:r>
                </w:p>
              </w:tc>
              <w:tc>
                <w:tcPr>
                  <w:tcW w:w="902" w:type="pct"/>
                  <w:vAlign w:val="center"/>
                </w:tcPr>
                <w:p>
                  <w:pPr>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500公斤</w:t>
                  </w:r>
                </w:p>
              </w:tc>
              <w:tc>
                <w:tcPr>
                  <w:tcW w:w="769" w:type="pct"/>
                  <w:vAlign w:val="center"/>
                </w:tcPr>
                <w:p>
                  <w:pPr>
                    <w:tabs>
                      <w:tab w:val="left" w:pos="15"/>
                    </w:tabs>
                    <w:jc w:val="center"/>
                    <w:rPr>
                      <w:szCs w:val="21"/>
                      <w:highlight w:val="none"/>
                    </w:rPr>
                  </w:pPr>
                  <w:r>
                    <w:rPr>
                      <w:rFonts w:hint="eastAsia"/>
                      <w:szCs w:val="21"/>
                      <w:highlight w:val="none"/>
                      <w:lang w:val="en-US" w:eastAsia="zh-CN"/>
                    </w:rPr>
                    <w:t>100公斤</w:t>
                  </w:r>
                </w:p>
              </w:tc>
              <w:tc>
                <w:tcPr>
                  <w:tcW w:w="646" w:type="pct"/>
                  <w:vAlign w:val="center"/>
                </w:tcPr>
                <w:p>
                  <w:pPr>
                    <w:jc w:val="center"/>
                    <w:rPr>
                      <w:szCs w:val="21"/>
                      <w:highlight w:val="none"/>
                    </w:rPr>
                  </w:pPr>
                  <w:r>
                    <w:rPr>
                      <w:rFonts w:hint="eastAsia"/>
                      <w:szCs w:val="21"/>
                      <w:highlight w:val="none"/>
                      <w:lang w:eastAsia="zh-CN"/>
                    </w:rPr>
                    <w:t>堆放</w:t>
                  </w:r>
                </w:p>
              </w:tc>
              <w:tc>
                <w:tcPr>
                  <w:tcW w:w="696" w:type="pct"/>
                  <w:vMerge w:val="continue"/>
                  <w:vAlign w:val="center"/>
                </w:tcPr>
                <w:p>
                  <w:pPr>
                    <w:tabs>
                      <w:tab w:val="left" w:pos="15"/>
                    </w:tabs>
                    <w:jc w:val="center"/>
                    <w:rPr>
                      <w:szCs w:val="21"/>
                      <w:highlight w:val="yellow"/>
                    </w:rPr>
                  </w:pPr>
                </w:p>
              </w:tc>
              <w:tc>
                <w:tcPr>
                  <w:tcW w:w="617" w:type="pct"/>
                  <w:vMerge w:val="continue"/>
                  <w:vAlign w:val="center"/>
                </w:tcPr>
                <w:p>
                  <w:pPr>
                    <w:tabs>
                      <w:tab w:val="left" w:pos="15"/>
                    </w:tabs>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77" w:type="pct"/>
                  <w:vAlign w:val="center"/>
                </w:tcPr>
                <w:p>
                  <w:pPr>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（镍）钴铬钼合金</w:t>
                  </w:r>
                </w:p>
              </w:tc>
              <w:tc>
                <w:tcPr>
                  <w:tcW w:w="590" w:type="pct"/>
                  <w:vAlign w:val="center"/>
                </w:tcPr>
                <w:p>
                  <w:pPr>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w:t>
                  </w:r>
                </w:p>
              </w:tc>
              <w:tc>
                <w:tcPr>
                  <w:tcW w:w="902" w:type="pct"/>
                  <w:vAlign w:val="center"/>
                </w:tcPr>
                <w:p>
                  <w:pPr>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500公斤</w:t>
                  </w:r>
                </w:p>
              </w:tc>
              <w:tc>
                <w:tcPr>
                  <w:tcW w:w="769" w:type="pct"/>
                  <w:vAlign w:val="center"/>
                </w:tcPr>
                <w:p>
                  <w:pPr>
                    <w:tabs>
                      <w:tab w:val="left" w:pos="15"/>
                    </w:tabs>
                    <w:jc w:val="center"/>
                    <w:rPr>
                      <w:szCs w:val="21"/>
                      <w:highlight w:val="none"/>
                    </w:rPr>
                  </w:pPr>
                  <w:r>
                    <w:rPr>
                      <w:rFonts w:hint="eastAsia"/>
                      <w:szCs w:val="21"/>
                      <w:highlight w:val="none"/>
                      <w:lang w:val="en-US" w:eastAsia="zh-CN"/>
                    </w:rPr>
                    <w:t>100公斤</w:t>
                  </w:r>
                </w:p>
              </w:tc>
              <w:tc>
                <w:tcPr>
                  <w:tcW w:w="646" w:type="pct"/>
                  <w:vAlign w:val="center"/>
                </w:tcPr>
                <w:p>
                  <w:pPr>
                    <w:jc w:val="center"/>
                    <w:rPr>
                      <w:szCs w:val="21"/>
                      <w:highlight w:val="none"/>
                    </w:rPr>
                  </w:pPr>
                  <w:r>
                    <w:rPr>
                      <w:rFonts w:hint="eastAsia"/>
                      <w:szCs w:val="21"/>
                      <w:highlight w:val="none"/>
                      <w:lang w:eastAsia="zh-CN"/>
                    </w:rPr>
                    <w:t>堆放</w:t>
                  </w:r>
                </w:p>
              </w:tc>
              <w:tc>
                <w:tcPr>
                  <w:tcW w:w="696" w:type="pct"/>
                  <w:vMerge w:val="continue"/>
                  <w:vAlign w:val="center"/>
                </w:tcPr>
                <w:p>
                  <w:pPr>
                    <w:tabs>
                      <w:tab w:val="left" w:pos="15"/>
                    </w:tabs>
                    <w:jc w:val="center"/>
                    <w:rPr>
                      <w:szCs w:val="21"/>
                      <w:highlight w:val="yellow"/>
                    </w:rPr>
                  </w:pPr>
                </w:p>
              </w:tc>
              <w:tc>
                <w:tcPr>
                  <w:tcW w:w="617" w:type="pct"/>
                  <w:vMerge w:val="continue"/>
                  <w:vAlign w:val="center"/>
                </w:tcPr>
                <w:p>
                  <w:pPr>
                    <w:tabs>
                      <w:tab w:val="left" w:pos="15"/>
                    </w:tabs>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77" w:type="pct"/>
                  <w:vAlign w:val="center"/>
                </w:tcPr>
                <w:p>
                  <w:pPr>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钛合金</w:t>
                  </w:r>
                </w:p>
              </w:tc>
              <w:tc>
                <w:tcPr>
                  <w:tcW w:w="590" w:type="pct"/>
                  <w:vAlign w:val="center"/>
                </w:tcPr>
                <w:p>
                  <w:pPr>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w:t>
                  </w:r>
                </w:p>
              </w:tc>
              <w:tc>
                <w:tcPr>
                  <w:tcW w:w="902" w:type="pct"/>
                  <w:vAlign w:val="center"/>
                </w:tcPr>
                <w:p>
                  <w:pPr>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500公斤</w:t>
                  </w:r>
                </w:p>
              </w:tc>
              <w:tc>
                <w:tcPr>
                  <w:tcW w:w="769" w:type="pct"/>
                  <w:vAlign w:val="center"/>
                </w:tcPr>
                <w:p>
                  <w:pPr>
                    <w:tabs>
                      <w:tab w:val="left" w:pos="15"/>
                    </w:tabs>
                    <w:jc w:val="center"/>
                    <w:rPr>
                      <w:szCs w:val="21"/>
                      <w:highlight w:val="none"/>
                    </w:rPr>
                  </w:pPr>
                  <w:r>
                    <w:rPr>
                      <w:rFonts w:hint="eastAsia"/>
                      <w:szCs w:val="21"/>
                      <w:highlight w:val="none"/>
                      <w:lang w:val="en-US" w:eastAsia="zh-CN"/>
                    </w:rPr>
                    <w:t>100公斤</w:t>
                  </w:r>
                </w:p>
              </w:tc>
              <w:tc>
                <w:tcPr>
                  <w:tcW w:w="646" w:type="pct"/>
                  <w:vAlign w:val="center"/>
                </w:tcPr>
                <w:p>
                  <w:pPr>
                    <w:jc w:val="center"/>
                    <w:rPr>
                      <w:szCs w:val="21"/>
                      <w:highlight w:val="none"/>
                    </w:rPr>
                  </w:pPr>
                  <w:r>
                    <w:rPr>
                      <w:rFonts w:hint="eastAsia"/>
                      <w:szCs w:val="21"/>
                      <w:highlight w:val="none"/>
                      <w:lang w:eastAsia="zh-CN"/>
                    </w:rPr>
                    <w:t>堆放</w:t>
                  </w:r>
                </w:p>
              </w:tc>
              <w:tc>
                <w:tcPr>
                  <w:tcW w:w="696" w:type="pct"/>
                  <w:vMerge w:val="continue"/>
                  <w:vAlign w:val="center"/>
                </w:tcPr>
                <w:p>
                  <w:pPr>
                    <w:tabs>
                      <w:tab w:val="left" w:pos="15"/>
                    </w:tabs>
                    <w:jc w:val="center"/>
                    <w:rPr>
                      <w:szCs w:val="21"/>
                      <w:highlight w:val="yellow"/>
                    </w:rPr>
                  </w:pPr>
                </w:p>
              </w:tc>
              <w:tc>
                <w:tcPr>
                  <w:tcW w:w="617" w:type="pct"/>
                  <w:vMerge w:val="continue"/>
                  <w:vAlign w:val="center"/>
                </w:tcPr>
                <w:p>
                  <w:pPr>
                    <w:tabs>
                      <w:tab w:val="left" w:pos="15"/>
                    </w:tabs>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77" w:type="pct"/>
                  <w:vAlign w:val="center"/>
                </w:tcPr>
                <w:p>
                  <w:pPr>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COP</w:t>
                  </w:r>
                </w:p>
              </w:tc>
              <w:tc>
                <w:tcPr>
                  <w:tcW w:w="590" w:type="pct"/>
                  <w:vAlign w:val="center"/>
                </w:tcPr>
                <w:p>
                  <w:pPr>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w:t>
                  </w:r>
                </w:p>
              </w:tc>
              <w:tc>
                <w:tcPr>
                  <w:tcW w:w="902" w:type="pct"/>
                  <w:vAlign w:val="center"/>
                </w:tcPr>
                <w:p>
                  <w:pPr>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500公斤</w:t>
                  </w:r>
                </w:p>
              </w:tc>
              <w:tc>
                <w:tcPr>
                  <w:tcW w:w="769" w:type="pct"/>
                  <w:vAlign w:val="center"/>
                </w:tcPr>
                <w:p>
                  <w:pPr>
                    <w:tabs>
                      <w:tab w:val="left" w:pos="15"/>
                    </w:tabs>
                    <w:jc w:val="center"/>
                    <w:rPr>
                      <w:szCs w:val="21"/>
                      <w:highlight w:val="yellow"/>
                    </w:rPr>
                  </w:pPr>
                  <w:r>
                    <w:rPr>
                      <w:rFonts w:hint="eastAsia"/>
                      <w:szCs w:val="21"/>
                      <w:highlight w:val="none"/>
                      <w:lang w:val="en-US" w:eastAsia="zh-CN"/>
                    </w:rPr>
                    <w:t>100公斤</w:t>
                  </w:r>
                </w:p>
              </w:tc>
              <w:tc>
                <w:tcPr>
                  <w:tcW w:w="646" w:type="pct"/>
                  <w:vAlign w:val="center"/>
                </w:tcPr>
                <w:p>
                  <w:pPr>
                    <w:tabs>
                      <w:tab w:val="left" w:pos="15"/>
                    </w:tabs>
                    <w:jc w:val="center"/>
                    <w:rPr>
                      <w:rFonts w:hint="eastAsia" w:eastAsia="宋体"/>
                      <w:szCs w:val="21"/>
                      <w:highlight w:val="yellow"/>
                      <w:lang w:eastAsia="zh-CN"/>
                    </w:rPr>
                  </w:pPr>
                  <w:r>
                    <w:rPr>
                      <w:rFonts w:hint="eastAsia"/>
                      <w:szCs w:val="21"/>
                      <w:highlight w:val="none"/>
                      <w:lang w:eastAsia="zh-CN"/>
                    </w:rPr>
                    <w:t>袋装</w:t>
                  </w:r>
                </w:p>
              </w:tc>
              <w:tc>
                <w:tcPr>
                  <w:tcW w:w="696" w:type="pct"/>
                  <w:vMerge w:val="continue"/>
                  <w:vAlign w:val="center"/>
                </w:tcPr>
                <w:p>
                  <w:pPr>
                    <w:tabs>
                      <w:tab w:val="left" w:pos="15"/>
                    </w:tabs>
                    <w:jc w:val="center"/>
                    <w:rPr>
                      <w:szCs w:val="21"/>
                      <w:highlight w:val="yellow"/>
                    </w:rPr>
                  </w:pPr>
                </w:p>
              </w:tc>
              <w:tc>
                <w:tcPr>
                  <w:tcW w:w="617" w:type="pct"/>
                  <w:vMerge w:val="continue"/>
                  <w:vAlign w:val="center"/>
                </w:tcPr>
                <w:p>
                  <w:pPr>
                    <w:tabs>
                      <w:tab w:val="left" w:pos="15"/>
                    </w:tabs>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77" w:type="pct"/>
                  <w:vAlign w:val="center"/>
                </w:tcPr>
                <w:p>
                  <w:pPr>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PA</w:t>
                  </w:r>
                </w:p>
              </w:tc>
              <w:tc>
                <w:tcPr>
                  <w:tcW w:w="590" w:type="pct"/>
                  <w:vAlign w:val="center"/>
                </w:tcPr>
                <w:p>
                  <w:pPr>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w:t>
                  </w:r>
                </w:p>
              </w:tc>
              <w:tc>
                <w:tcPr>
                  <w:tcW w:w="902" w:type="pct"/>
                  <w:vAlign w:val="center"/>
                </w:tcPr>
                <w:p>
                  <w:pPr>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100吨</w:t>
                  </w:r>
                </w:p>
              </w:tc>
              <w:tc>
                <w:tcPr>
                  <w:tcW w:w="769" w:type="pct"/>
                  <w:vAlign w:val="center"/>
                </w:tcPr>
                <w:p>
                  <w:pPr>
                    <w:tabs>
                      <w:tab w:val="left" w:pos="15"/>
                    </w:tabs>
                    <w:jc w:val="center"/>
                    <w:rPr>
                      <w:rFonts w:hint="eastAsia" w:eastAsia="宋体"/>
                      <w:szCs w:val="21"/>
                      <w:highlight w:val="none"/>
                      <w:lang w:eastAsia="zh-CN"/>
                    </w:rPr>
                  </w:pPr>
                  <w:r>
                    <w:rPr>
                      <w:rFonts w:hint="eastAsia"/>
                      <w:szCs w:val="21"/>
                      <w:highlight w:val="none"/>
                    </w:rPr>
                    <w:t>10</w:t>
                  </w:r>
                  <w:r>
                    <w:rPr>
                      <w:rFonts w:hint="eastAsia"/>
                      <w:szCs w:val="21"/>
                      <w:highlight w:val="none"/>
                      <w:lang w:eastAsia="zh-CN"/>
                    </w:rPr>
                    <w:t>吨</w:t>
                  </w:r>
                </w:p>
              </w:tc>
              <w:tc>
                <w:tcPr>
                  <w:tcW w:w="646" w:type="pct"/>
                  <w:vAlign w:val="center"/>
                </w:tcPr>
                <w:p>
                  <w:pPr>
                    <w:jc w:val="center"/>
                    <w:rPr>
                      <w:szCs w:val="21"/>
                      <w:highlight w:val="yellow"/>
                    </w:rPr>
                  </w:pPr>
                  <w:r>
                    <w:rPr>
                      <w:rFonts w:hint="eastAsia"/>
                      <w:szCs w:val="21"/>
                      <w:highlight w:val="none"/>
                      <w:lang w:eastAsia="zh-CN"/>
                    </w:rPr>
                    <w:t>袋装</w:t>
                  </w:r>
                </w:p>
              </w:tc>
              <w:tc>
                <w:tcPr>
                  <w:tcW w:w="696" w:type="pct"/>
                  <w:vMerge w:val="continue"/>
                  <w:vAlign w:val="center"/>
                </w:tcPr>
                <w:p>
                  <w:pPr>
                    <w:tabs>
                      <w:tab w:val="left" w:pos="15"/>
                    </w:tabs>
                    <w:jc w:val="center"/>
                    <w:rPr>
                      <w:szCs w:val="21"/>
                      <w:highlight w:val="yellow"/>
                    </w:rPr>
                  </w:pPr>
                </w:p>
              </w:tc>
              <w:tc>
                <w:tcPr>
                  <w:tcW w:w="617" w:type="pct"/>
                  <w:vMerge w:val="continue"/>
                  <w:vAlign w:val="center"/>
                </w:tcPr>
                <w:p>
                  <w:pPr>
                    <w:tabs>
                      <w:tab w:val="left" w:pos="15"/>
                    </w:tabs>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7" w:type="pct"/>
                  <w:vAlign w:val="center"/>
                </w:tcPr>
                <w:p>
                  <w:pPr>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 xml:space="preserve">PC </w:t>
                  </w:r>
                </w:p>
              </w:tc>
              <w:tc>
                <w:tcPr>
                  <w:tcW w:w="590" w:type="pct"/>
                  <w:vAlign w:val="center"/>
                </w:tcPr>
                <w:p>
                  <w:pPr>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w:t>
                  </w:r>
                </w:p>
              </w:tc>
              <w:tc>
                <w:tcPr>
                  <w:tcW w:w="902" w:type="pct"/>
                  <w:vAlign w:val="center"/>
                </w:tcPr>
                <w:p>
                  <w:pPr>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250吨</w:t>
                  </w:r>
                </w:p>
              </w:tc>
              <w:tc>
                <w:tcPr>
                  <w:tcW w:w="769" w:type="pct"/>
                  <w:vAlign w:val="center"/>
                </w:tcPr>
                <w:p>
                  <w:pPr>
                    <w:jc w:val="center"/>
                    <w:rPr>
                      <w:rFonts w:hint="eastAsia" w:eastAsia="宋体"/>
                      <w:szCs w:val="21"/>
                      <w:highlight w:val="none"/>
                      <w:lang w:eastAsia="zh-CN"/>
                    </w:rPr>
                  </w:pPr>
                  <w:r>
                    <w:rPr>
                      <w:rFonts w:hint="eastAsia"/>
                      <w:szCs w:val="21"/>
                      <w:highlight w:val="none"/>
                      <w:lang w:val="en-US" w:eastAsia="zh-CN"/>
                    </w:rPr>
                    <w:t>50</w:t>
                  </w:r>
                  <w:r>
                    <w:rPr>
                      <w:rFonts w:hint="eastAsia"/>
                      <w:szCs w:val="21"/>
                      <w:highlight w:val="none"/>
                      <w:lang w:eastAsia="zh-CN"/>
                    </w:rPr>
                    <w:t>吨</w:t>
                  </w:r>
                </w:p>
              </w:tc>
              <w:tc>
                <w:tcPr>
                  <w:tcW w:w="646" w:type="pct"/>
                  <w:vAlign w:val="center"/>
                </w:tcPr>
                <w:p>
                  <w:pPr>
                    <w:jc w:val="center"/>
                    <w:rPr>
                      <w:szCs w:val="21"/>
                      <w:highlight w:val="yellow"/>
                    </w:rPr>
                  </w:pPr>
                  <w:r>
                    <w:rPr>
                      <w:rFonts w:hint="eastAsia"/>
                      <w:szCs w:val="21"/>
                      <w:highlight w:val="none"/>
                      <w:lang w:eastAsia="zh-CN"/>
                    </w:rPr>
                    <w:t>袋装</w:t>
                  </w:r>
                </w:p>
              </w:tc>
              <w:tc>
                <w:tcPr>
                  <w:tcW w:w="696" w:type="pct"/>
                  <w:vMerge w:val="continue"/>
                  <w:vAlign w:val="center"/>
                </w:tcPr>
                <w:p>
                  <w:pPr>
                    <w:jc w:val="center"/>
                    <w:rPr>
                      <w:szCs w:val="21"/>
                      <w:highlight w:val="yellow"/>
                    </w:rPr>
                  </w:pPr>
                </w:p>
              </w:tc>
              <w:tc>
                <w:tcPr>
                  <w:tcW w:w="617" w:type="pct"/>
                  <w:vMerge w:val="continue"/>
                  <w:vAlign w:val="center"/>
                </w:tcPr>
                <w:p>
                  <w:pPr>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7" w:type="pct"/>
                  <w:vAlign w:val="center"/>
                </w:tcPr>
                <w:p>
                  <w:pPr>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 xml:space="preserve">ABS </w:t>
                  </w:r>
                </w:p>
              </w:tc>
              <w:tc>
                <w:tcPr>
                  <w:tcW w:w="590" w:type="pct"/>
                  <w:vAlign w:val="center"/>
                </w:tcPr>
                <w:p>
                  <w:pPr>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w:t>
                  </w:r>
                </w:p>
              </w:tc>
              <w:tc>
                <w:tcPr>
                  <w:tcW w:w="902" w:type="pct"/>
                  <w:vAlign w:val="center"/>
                </w:tcPr>
                <w:p>
                  <w:pPr>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150吨</w:t>
                  </w:r>
                </w:p>
              </w:tc>
              <w:tc>
                <w:tcPr>
                  <w:tcW w:w="769" w:type="pct"/>
                  <w:vAlign w:val="center"/>
                </w:tcPr>
                <w:p>
                  <w:pPr>
                    <w:jc w:val="center"/>
                    <w:rPr>
                      <w:rFonts w:hint="default" w:eastAsia="宋体"/>
                      <w:szCs w:val="21"/>
                      <w:highlight w:val="none"/>
                      <w:lang w:val="en-US" w:eastAsia="zh-CN"/>
                    </w:rPr>
                  </w:pPr>
                  <w:r>
                    <w:rPr>
                      <w:rFonts w:hint="eastAsia"/>
                      <w:szCs w:val="21"/>
                      <w:highlight w:val="none"/>
                      <w:lang w:val="en-US" w:eastAsia="zh-CN"/>
                    </w:rPr>
                    <w:t>20吨</w:t>
                  </w:r>
                </w:p>
              </w:tc>
              <w:tc>
                <w:tcPr>
                  <w:tcW w:w="646" w:type="pct"/>
                  <w:vAlign w:val="center"/>
                </w:tcPr>
                <w:p>
                  <w:pPr>
                    <w:jc w:val="center"/>
                    <w:rPr>
                      <w:szCs w:val="21"/>
                      <w:highlight w:val="yellow"/>
                    </w:rPr>
                  </w:pPr>
                  <w:r>
                    <w:rPr>
                      <w:rFonts w:hint="eastAsia"/>
                      <w:szCs w:val="21"/>
                      <w:highlight w:val="none"/>
                      <w:lang w:eastAsia="zh-CN"/>
                    </w:rPr>
                    <w:t>袋装</w:t>
                  </w:r>
                </w:p>
              </w:tc>
              <w:tc>
                <w:tcPr>
                  <w:tcW w:w="696" w:type="pct"/>
                  <w:vMerge w:val="continue"/>
                  <w:vAlign w:val="center"/>
                </w:tcPr>
                <w:p>
                  <w:pPr>
                    <w:jc w:val="center"/>
                    <w:rPr>
                      <w:szCs w:val="21"/>
                      <w:highlight w:val="yellow"/>
                    </w:rPr>
                  </w:pPr>
                </w:p>
              </w:tc>
              <w:tc>
                <w:tcPr>
                  <w:tcW w:w="617" w:type="pct"/>
                  <w:vMerge w:val="continue"/>
                  <w:vAlign w:val="center"/>
                </w:tcPr>
                <w:p>
                  <w:pPr>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7" w:type="pct"/>
                  <w:vAlign w:val="center"/>
                </w:tcPr>
                <w:p>
                  <w:pPr>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 xml:space="preserve">PP </w:t>
                  </w:r>
                </w:p>
              </w:tc>
              <w:tc>
                <w:tcPr>
                  <w:tcW w:w="590" w:type="pct"/>
                  <w:vAlign w:val="center"/>
                </w:tcPr>
                <w:p>
                  <w:pPr>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w:t>
                  </w:r>
                </w:p>
              </w:tc>
              <w:tc>
                <w:tcPr>
                  <w:tcW w:w="902" w:type="pct"/>
                  <w:vAlign w:val="center"/>
                </w:tcPr>
                <w:p>
                  <w:pPr>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150吨</w:t>
                  </w:r>
                </w:p>
              </w:tc>
              <w:tc>
                <w:tcPr>
                  <w:tcW w:w="769" w:type="pct"/>
                  <w:vAlign w:val="center"/>
                </w:tcPr>
                <w:p>
                  <w:pPr>
                    <w:jc w:val="center"/>
                    <w:rPr>
                      <w:rFonts w:hint="eastAsia"/>
                      <w:szCs w:val="21"/>
                      <w:highlight w:val="yellow"/>
                    </w:rPr>
                  </w:pPr>
                  <w:r>
                    <w:rPr>
                      <w:rFonts w:hint="eastAsia"/>
                      <w:szCs w:val="21"/>
                      <w:highlight w:val="none"/>
                      <w:lang w:val="en-US" w:eastAsia="zh-CN"/>
                    </w:rPr>
                    <w:t>20吨</w:t>
                  </w:r>
                </w:p>
              </w:tc>
              <w:tc>
                <w:tcPr>
                  <w:tcW w:w="646" w:type="pct"/>
                  <w:vAlign w:val="center"/>
                </w:tcPr>
                <w:p>
                  <w:pPr>
                    <w:jc w:val="center"/>
                    <w:rPr>
                      <w:rFonts w:hint="eastAsia"/>
                      <w:szCs w:val="21"/>
                      <w:highlight w:val="yellow"/>
                    </w:rPr>
                  </w:pPr>
                  <w:r>
                    <w:rPr>
                      <w:rFonts w:hint="eastAsia"/>
                      <w:szCs w:val="21"/>
                      <w:highlight w:val="none"/>
                      <w:lang w:eastAsia="zh-CN"/>
                    </w:rPr>
                    <w:t>袋装</w:t>
                  </w:r>
                </w:p>
              </w:tc>
              <w:tc>
                <w:tcPr>
                  <w:tcW w:w="696" w:type="pct"/>
                  <w:vMerge w:val="continue"/>
                  <w:vAlign w:val="center"/>
                </w:tcPr>
                <w:p>
                  <w:pPr>
                    <w:jc w:val="center"/>
                    <w:rPr>
                      <w:szCs w:val="21"/>
                      <w:highlight w:val="yellow"/>
                    </w:rPr>
                  </w:pPr>
                </w:p>
              </w:tc>
              <w:tc>
                <w:tcPr>
                  <w:tcW w:w="617" w:type="pct"/>
                  <w:vMerge w:val="continue"/>
                  <w:vAlign w:val="center"/>
                </w:tcPr>
                <w:p>
                  <w:pPr>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7" w:type="pct"/>
                  <w:vAlign w:val="center"/>
                </w:tcPr>
                <w:p>
                  <w:pPr>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 xml:space="preserve">POM </w:t>
                  </w:r>
                </w:p>
              </w:tc>
              <w:tc>
                <w:tcPr>
                  <w:tcW w:w="590" w:type="pct"/>
                  <w:vAlign w:val="center"/>
                </w:tcPr>
                <w:p>
                  <w:pPr>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w:t>
                  </w:r>
                </w:p>
              </w:tc>
              <w:tc>
                <w:tcPr>
                  <w:tcW w:w="902" w:type="pct"/>
                  <w:vAlign w:val="center"/>
                </w:tcPr>
                <w:p>
                  <w:pPr>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150吨</w:t>
                  </w:r>
                </w:p>
              </w:tc>
              <w:tc>
                <w:tcPr>
                  <w:tcW w:w="769" w:type="pct"/>
                  <w:vAlign w:val="center"/>
                </w:tcPr>
                <w:p>
                  <w:pPr>
                    <w:jc w:val="center"/>
                    <w:rPr>
                      <w:rFonts w:hint="eastAsia"/>
                      <w:szCs w:val="21"/>
                      <w:highlight w:val="yellow"/>
                    </w:rPr>
                  </w:pPr>
                  <w:r>
                    <w:rPr>
                      <w:rFonts w:hint="eastAsia"/>
                      <w:szCs w:val="21"/>
                      <w:highlight w:val="none"/>
                      <w:lang w:val="en-US" w:eastAsia="zh-CN"/>
                    </w:rPr>
                    <w:t>20吨</w:t>
                  </w:r>
                </w:p>
              </w:tc>
              <w:tc>
                <w:tcPr>
                  <w:tcW w:w="646" w:type="pct"/>
                  <w:vAlign w:val="center"/>
                </w:tcPr>
                <w:p>
                  <w:pPr>
                    <w:jc w:val="center"/>
                    <w:rPr>
                      <w:rFonts w:hint="eastAsia"/>
                      <w:szCs w:val="21"/>
                      <w:highlight w:val="yellow"/>
                    </w:rPr>
                  </w:pPr>
                  <w:r>
                    <w:rPr>
                      <w:rFonts w:hint="eastAsia"/>
                      <w:szCs w:val="21"/>
                      <w:highlight w:val="none"/>
                      <w:lang w:eastAsia="zh-CN"/>
                    </w:rPr>
                    <w:t>袋装</w:t>
                  </w:r>
                </w:p>
              </w:tc>
              <w:tc>
                <w:tcPr>
                  <w:tcW w:w="696" w:type="pct"/>
                  <w:vMerge w:val="continue"/>
                  <w:vAlign w:val="center"/>
                </w:tcPr>
                <w:p>
                  <w:pPr>
                    <w:jc w:val="center"/>
                    <w:rPr>
                      <w:szCs w:val="21"/>
                      <w:highlight w:val="yellow"/>
                    </w:rPr>
                  </w:pPr>
                </w:p>
              </w:tc>
              <w:tc>
                <w:tcPr>
                  <w:tcW w:w="617" w:type="pct"/>
                  <w:vMerge w:val="continue"/>
                  <w:vAlign w:val="center"/>
                </w:tcPr>
                <w:p>
                  <w:pPr>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7" w:type="pct"/>
                  <w:vAlign w:val="center"/>
                </w:tcPr>
                <w:p>
                  <w:pPr>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PC/ABS</w:t>
                  </w:r>
                </w:p>
              </w:tc>
              <w:tc>
                <w:tcPr>
                  <w:tcW w:w="590" w:type="pct"/>
                  <w:vAlign w:val="center"/>
                </w:tcPr>
                <w:p>
                  <w:pPr>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w:t>
                  </w:r>
                </w:p>
              </w:tc>
              <w:tc>
                <w:tcPr>
                  <w:tcW w:w="902" w:type="pct"/>
                  <w:vAlign w:val="center"/>
                </w:tcPr>
                <w:p>
                  <w:pPr>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100吨</w:t>
                  </w:r>
                </w:p>
              </w:tc>
              <w:tc>
                <w:tcPr>
                  <w:tcW w:w="769" w:type="pct"/>
                  <w:vAlign w:val="center"/>
                </w:tcPr>
                <w:p>
                  <w:pPr>
                    <w:jc w:val="center"/>
                    <w:rPr>
                      <w:rFonts w:hint="default" w:eastAsia="宋体"/>
                      <w:szCs w:val="21"/>
                      <w:highlight w:val="yellow"/>
                      <w:lang w:val="en-US" w:eastAsia="zh-CN"/>
                    </w:rPr>
                  </w:pPr>
                  <w:r>
                    <w:rPr>
                      <w:rFonts w:hint="eastAsia"/>
                      <w:szCs w:val="21"/>
                      <w:highlight w:val="none"/>
                      <w:lang w:val="en-US" w:eastAsia="zh-CN"/>
                    </w:rPr>
                    <w:t>10吨</w:t>
                  </w:r>
                </w:p>
              </w:tc>
              <w:tc>
                <w:tcPr>
                  <w:tcW w:w="646" w:type="pct"/>
                  <w:vAlign w:val="center"/>
                </w:tcPr>
                <w:p>
                  <w:pPr>
                    <w:jc w:val="center"/>
                    <w:rPr>
                      <w:rFonts w:hint="eastAsia"/>
                      <w:szCs w:val="21"/>
                      <w:highlight w:val="yellow"/>
                    </w:rPr>
                  </w:pPr>
                  <w:r>
                    <w:rPr>
                      <w:rFonts w:hint="eastAsia"/>
                      <w:szCs w:val="21"/>
                      <w:highlight w:val="none"/>
                      <w:lang w:eastAsia="zh-CN"/>
                    </w:rPr>
                    <w:t>袋装</w:t>
                  </w:r>
                </w:p>
              </w:tc>
              <w:tc>
                <w:tcPr>
                  <w:tcW w:w="696" w:type="pct"/>
                  <w:vMerge w:val="continue"/>
                  <w:vAlign w:val="center"/>
                </w:tcPr>
                <w:p>
                  <w:pPr>
                    <w:jc w:val="center"/>
                    <w:rPr>
                      <w:szCs w:val="21"/>
                      <w:highlight w:val="yellow"/>
                    </w:rPr>
                  </w:pPr>
                </w:p>
              </w:tc>
              <w:tc>
                <w:tcPr>
                  <w:tcW w:w="617" w:type="pct"/>
                  <w:vMerge w:val="continue"/>
                  <w:vAlign w:val="center"/>
                </w:tcPr>
                <w:p>
                  <w:pPr>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7" w:type="pct"/>
                  <w:vAlign w:val="center"/>
                </w:tcPr>
                <w:p>
                  <w:pPr>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有机硅</w:t>
                  </w:r>
                </w:p>
              </w:tc>
              <w:tc>
                <w:tcPr>
                  <w:tcW w:w="590" w:type="pct"/>
                  <w:vAlign w:val="center"/>
                </w:tcPr>
                <w:p>
                  <w:pPr>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w:t>
                  </w:r>
                </w:p>
              </w:tc>
              <w:tc>
                <w:tcPr>
                  <w:tcW w:w="902" w:type="pct"/>
                  <w:vAlign w:val="center"/>
                </w:tcPr>
                <w:p>
                  <w:pPr>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150吨</w:t>
                  </w:r>
                </w:p>
              </w:tc>
              <w:tc>
                <w:tcPr>
                  <w:tcW w:w="769" w:type="pct"/>
                  <w:vAlign w:val="center"/>
                </w:tcPr>
                <w:p>
                  <w:pPr>
                    <w:jc w:val="center"/>
                    <w:rPr>
                      <w:rFonts w:hint="eastAsia"/>
                      <w:szCs w:val="21"/>
                      <w:highlight w:val="yellow"/>
                    </w:rPr>
                  </w:pPr>
                  <w:r>
                    <w:rPr>
                      <w:rFonts w:hint="eastAsia"/>
                      <w:szCs w:val="21"/>
                      <w:highlight w:val="none"/>
                      <w:lang w:val="en-US" w:eastAsia="zh-CN"/>
                    </w:rPr>
                    <w:t>20吨</w:t>
                  </w:r>
                </w:p>
              </w:tc>
              <w:tc>
                <w:tcPr>
                  <w:tcW w:w="646" w:type="pct"/>
                  <w:vAlign w:val="center"/>
                </w:tcPr>
                <w:p>
                  <w:pPr>
                    <w:jc w:val="center"/>
                    <w:rPr>
                      <w:rFonts w:hint="eastAsia"/>
                      <w:szCs w:val="21"/>
                      <w:highlight w:val="yellow"/>
                    </w:rPr>
                  </w:pPr>
                  <w:r>
                    <w:rPr>
                      <w:rFonts w:hint="eastAsia"/>
                      <w:szCs w:val="21"/>
                      <w:highlight w:val="none"/>
                      <w:lang w:eastAsia="zh-CN"/>
                    </w:rPr>
                    <w:t>袋装</w:t>
                  </w:r>
                </w:p>
              </w:tc>
              <w:tc>
                <w:tcPr>
                  <w:tcW w:w="696" w:type="pct"/>
                  <w:vMerge w:val="continue"/>
                  <w:vAlign w:val="center"/>
                </w:tcPr>
                <w:p>
                  <w:pPr>
                    <w:jc w:val="center"/>
                    <w:rPr>
                      <w:szCs w:val="21"/>
                      <w:highlight w:val="yellow"/>
                    </w:rPr>
                  </w:pPr>
                </w:p>
              </w:tc>
              <w:tc>
                <w:tcPr>
                  <w:tcW w:w="617" w:type="pct"/>
                  <w:vMerge w:val="continue"/>
                  <w:vAlign w:val="center"/>
                </w:tcPr>
                <w:p>
                  <w:pPr>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7" w:type="pct"/>
                  <w:vAlign w:val="center"/>
                </w:tcPr>
                <w:p>
                  <w:pPr>
                    <w:jc w:val="center"/>
                    <w:rPr>
                      <w:rFonts w:hint="eastAsia" w:ascii="Times New Roman" w:hAnsi="Times New Roman" w:eastAsia="宋体" w:cs="Times New Roman"/>
                      <w:sz w:val="21"/>
                      <w:szCs w:val="21"/>
                      <w:highlight w:val="none"/>
                      <w:lang w:eastAsia="zh-CN"/>
                    </w:rPr>
                  </w:pPr>
                  <w:r>
                    <w:rPr>
                      <w:rFonts w:hint="eastAsia" w:cs="Times New Roman"/>
                      <w:sz w:val="21"/>
                      <w:szCs w:val="21"/>
                      <w:highlight w:val="none"/>
                      <w:lang w:eastAsia="zh-CN"/>
                    </w:rPr>
                    <w:t>油墨</w:t>
                  </w:r>
                </w:p>
              </w:tc>
              <w:tc>
                <w:tcPr>
                  <w:tcW w:w="590" w:type="pct"/>
                  <w:vAlign w:val="center"/>
                </w:tcPr>
                <w:p>
                  <w:pPr>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w:t>
                  </w:r>
                </w:p>
              </w:tc>
              <w:tc>
                <w:tcPr>
                  <w:tcW w:w="902" w:type="pct"/>
                  <w:vAlign w:val="center"/>
                </w:tcPr>
                <w:p>
                  <w:pPr>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20KG</w:t>
                  </w:r>
                </w:p>
              </w:tc>
              <w:tc>
                <w:tcPr>
                  <w:tcW w:w="769" w:type="pct"/>
                  <w:vAlign w:val="center"/>
                </w:tcPr>
                <w:p>
                  <w:pPr>
                    <w:jc w:val="center"/>
                    <w:rPr>
                      <w:rFonts w:hint="default"/>
                      <w:szCs w:val="21"/>
                      <w:highlight w:val="none"/>
                      <w:lang w:val="en-US" w:eastAsia="zh-CN"/>
                    </w:rPr>
                  </w:pPr>
                  <w:r>
                    <w:rPr>
                      <w:rFonts w:hint="eastAsia"/>
                      <w:szCs w:val="21"/>
                      <w:highlight w:val="none"/>
                      <w:lang w:val="en-US" w:eastAsia="zh-CN"/>
                    </w:rPr>
                    <w:t>5KG</w:t>
                  </w:r>
                </w:p>
              </w:tc>
              <w:tc>
                <w:tcPr>
                  <w:tcW w:w="646" w:type="pct"/>
                  <w:vAlign w:val="center"/>
                </w:tcPr>
                <w:p>
                  <w:pPr>
                    <w:jc w:val="center"/>
                    <w:rPr>
                      <w:rFonts w:hint="eastAsia"/>
                      <w:szCs w:val="21"/>
                      <w:highlight w:val="none"/>
                      <w:lang w:eastAsia="zh-CN"/>
                    </w:rPr>
                  </w:pPr>
                  <w:r>
                    <w:rPr>
                      <w:rFonts w:hint="eastAsia"/>
                      <w:szCs w:val="21"/>
                      <w:highlight w:val="none"/>
                      <w:lang w:eastAsia="zh-CN"/>
                    </w:rPr>
                    <w:t>桶装</w:t>
                  </w:r>
                </w:p>
              </w:tc>
              <w:tc>
                <w:tcPr>
                  <w:tcW w:w="696" w:type="pct"/>
                  <w:vMerge w:val="continue"/>
                  <w:vAlign w:val="center"/>
                </w:tcPr>
                <w:p>
                  <w:pPr>
                    <w:jc w:val="center"/>
                    <w:rPr>
                      <w:szCs w:val="21"/>
                      <w:highlight w:val="yellow"/>
                    </w:rPr>
                  </w:pPr>
                </w:p>
              </w:tc>
              <w:tc>
                <w:tcPr>
                  <w:tcW w:w="617" w:type="pct"/>
                  <w:vMerge w:val="continue"/>
                  <w:vAlign w:val="center"/>
                </w:tcPr>
                <w:p>
                  <w:pPr>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7" w:type="pct"/>
                  <w:vAlign w:val="center"/>
                </w:tcPr>
                <w:p>
                  <w:pPr>
                    <w:jc w:val="center"/>
                    <w:rPr>
                      <w:rFonts w:hint="eastAsia" w:cs="Times New Roman"/>
                      <w:sz w:val="21"/>
                      <w:szCs w:val="21"/>
                      <w:highlight w:val="none"/>
                      <w:lang w:eastAsia="zh-CN"/>
                    </w:rPr>
                  </w:pPr>
                  <w:r>
                    <w:rPr>
                      <w:rFonts w:hint="eastAsia" w:cs="Times New Roman"/>
                      <w:sz w:val="21"/>
                      <w:szCs w:val="21"/>
                      <w:highlight w:val="none"/>
                      <w:lang w:eastAsia="zh-CN"/>
                    </w:rPr>
                    <w:t>切削液</w:t>
                  </w:r>
                </w:p>
              </w:tc>
              <w:tc>
                <w:tcPr>
                  <w:tcW w:w="590" w:type="pct"/>
                  <w:vAlign w:val="center"/>
                </w:tcPr>
                <w:p>
                  <w:pPr>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w:t>
                  </w:r>
                </w:p>
              </w:tc>
              <w:tc>
                <w:tcPr>
                  <w:tcW w:w="902" w:type="pct"/>
                  <w:vAlign w:val="center"/>
                </w:tcPr>
                <w:p>
                  <w:pPr>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40KG</w:t>
                  </w:r>
                </w:p>
              </w:tc>
              <w:tc>
                <w:tcPr>
                  <w:tcW w:w="769" w:type="pct"/>
                  <w:vAlign w:val="center"/>
                </w:tcPr>
                <w:p>
                  <w:pPr>
                    <w:jc w:val="center"/>
                    <w:rPr>
                      <w:rFonts w:hint="default"/>
                      <w:szCs w:val="21"/>
                      <w:highlight w:val="none"/>
                      <w:lang w:val="en-US" w:eastAsia="zh-CN"/>
                    </w:rPr>
                  </w:pPr>
                  <w:r>
                    <w:rPr>
                      <w:rFonts w:hint="eastAsia"/>
                      <w:szCs w:val="21"/>
                      <w:highlight w:val="none"/>
                      <w:lang w:val="en-US" w:eastAsia="zh-CN"/>
                    </w:rPr>
                    <w:t>10KG</w:t>
                  </w:r>
                </w:p>
              </w:tc>
              <w:tc>
                <w:tcPr>
                  <w:tcW w:w="646" w:type="pct"/>
                  <w:vAlign w:val="center"/>
                </w:tcPr>
                <w:p>
                  <w:pPr>
                    <w:jc w:val="center"/>
                    <w:rPr>
                      <w:rFonts w:hint="eastAsia"/>
                      <w:szCs w:val="21"/>
                      <w:highlight w:val="none"/>
                      <w:lang w:eastAsia="zh-CN"/>
                    </w:rPr>
                  </w:pPr>
                  <w:r>
                    <w:rPr>
                      <w:rFonts w:hint="eastAsia"/>
                      <w:szCs w:val="21"/>
                      <w:highlight w:val="none"/>
                      <w:lang w:eastAsia="zh-CN"/>
                    </w:rPr>
                    <w:t>桶装</w:t>
                  </w:r>
                </w:p>
              </w:tc>
              <w:tc>
                <w:tcPr>
                  <w:tcW w:w="696" w:type="pct"/>
                  <w:vMerge w:val="continue"/>
                  <w:vAlign w:val="center"/>
                </w:tcPr>
                <w:p>
                  <w:pPr>
                    <w:jc w:val="center"/>
                    <w:rPr>
                      <w:szCs w:val="21"/>
                      <w:highlight w:val="yellow"/>
                    </w:rPr>
                  </w:pPr>
                </w:p>
              </w:tc>
              <w:tc>
                <w:tcPr>
                  <w:tcW w:w="617" w:type="pct"/>
                  <w:vMerge w:val="continue"/>
                  <w:vAlign w:val="center"/>
                </w:tcPr>
                <w:p>
                  <w:pPr>
                    <w:jc w:val="center"/>
                    <w:rPr>
                      <w:szCs w:val="21"/>
                      <w:highlight w:val="yellow"/>
                    </w:rPr>
                  </w:pPr>
                </w:p>
              </w:tc>
            </w:tr>
          </w:tbl>
          <w:p>
            <w:pPr>
              <w:snapToGrid w:val="0"/>
              <w:jc w:val="center"/>
              <w:rPr>
                <w:b/>
                <w:bCs/>
                <w:sz w:val="24"/>
                <w:highlight w:val="yellow"/>
              </w:rPr>
            </w:pPr>
          </w:p>
          <w:p>
            <w:pPr>
              <w:tabs>
                <w:tab w:val="left" w:pos="7368"/>
              </w:tabs>
              <w:autoSpaceDE w:val="0"/>
              <w:autoSpaceDN w:val="0"/>
              <w:spacing w:line="360" w:lineRule="auto"/>
              <w:ind w:firstLine="480" w:firstLineChars="200"/>
              <w:rPr>
                <w:sz w:val="24"/>
                <w:highlight w:val="none"/>
              </w:rPr>
            </w:pPr>
            <w:r>
              <w:rPr>
                <w:rFonts w:hint="eastAsia"/>
                <w:sz w:val="24"/>
                <w:highlight w:val="none"/>
              </w:rPr>
              <w:t>对本项目原辅料中涉及大气污染物质和风险相关物质的理化性及危险类别进行分析。相关情况如下表所示。</w:t>
            </w:r>
          </w:p>
          <w:p>
            <w:pPr>
              <w:snapToGrid w:val="0"/>
              <w:jc w:val="center"/>
              <w:rPr>
                <w:b/>
                <w:bCs/>
                <w:sz w:val="24"/>
                <w:highlight w:val="none"/>
              </w:rPr>
            </w:pPr>
            <w:r>
              <w:rPr>
                <w:b/>
                <w:bCs/>
                <w:sz w:val="24"/>
                <w:highlight w:val="none"/>
              </w:rPr>
              <w:t>表</w:t>
            </w:r>
            <w:r>
              <w:rPr>
                <w:rFonts w:hint="eastAsia"/>
                <w:b/>
                <w:bCs/>
                <w:sz w:val="24"/>
                <w:highlight w:val="none"/>
              </w:rPr>
              <w:t>2-</w:t>
            </w:r>
            <w:r>
              <w:rPr>
                <w:b/>
                <w:bCs/>
                <w:sz w:val="24"/>
                <w:highlight w:val="none"/>
              </w:rPr>
              <w:t>4  主要原辅料、中间产品、产品理化特性、毒性毒理</w:t>
            </w:r>
          </w:p>
          <w:tbl>
            <w:tblPr>
              <w:tblStyle w:val="22"/>
              <w:tblW w:w="0" w:type="auto"/>
              <w:jc w:val="center"/>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Layout w:type="autofit"/>
              <w:tblCellMar>
                <w:top w:w="0" w:type="dxa"/>
                <w:left w:w="0" w:type="dxa"/>
                <w:bottom w:w="0" w:type="dxa"/>
                <w:right w:w="0" w:type="dxa"/>
              </w:tblCellMar>
            </w:tblPr>
            <w:tblGrid>
              <w:gridCol w:w="421"/>
              <w:gridCol w:w="890"/>
              <w:gridCol w:w="3335"/>
              <w:gridCol w:w="2852"/>
              <w:gridCol w:w="654"/>
            </w:tblGrid>
            <w:tr>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0" w:type="dxa"/>
                  <w:bottom w:w="0" w:type="dxa"/>
                  <w:right w:w="0" w:type="dxa"/>
                </w:tblCellMar>
              </w:tblPrEx>
              <w:trPr>
                <w:trHeight w:val="340" w:hRule="atLeast"/>
                <w:jc w:val="center"/>
              </w:trPr>
              <w:tc>
                <w:tcPr>
                  <w:tcW w:w="428" w:type="dxa"/>
                  <w:vAlign w:val="center"/>
                </w:tcPr>
                <w:p>
                  <w:pPr>
                    <w:jc w:val="center"/>
                    <w:rPr>
                      <w:b/>
                      <w:szCs w:val="21"/>
                      <w:highlight w:val="none"/>
                    </w:rPr>
                  </w:pPr>
                  <w:r>
                    <w:rPr>
                      <w:b/>
                      <w:szCs w:val="21"/>
                      <w:highlight w:val="none"/>
                    </w:rPr>
                    <w:t>序号</w:t>
                  </w:r>
                </w:p>
              </w:tc>
              <w:tc>
                <w:tcPr>
                  <w:tcW w:w="903" w:type="dxa"/>
                  <w:vAlign w:val="center"/>
                </w:tcPr>
                <w:p>
                  <w:pPr>
                    <w:jc w:val="center"/>
                    <w:rPr>
                      <w:b/>
                      <w:szCs w:val="21"/>
                      <w:highlight w:val="none"/>
                    </w:rPr>
                  </w:pPr>
                  <w:r>
                    <w:rPr>
                      <w:b/>
                      <w:szCs w:val="21"/>
                      <w:highlight w:val="none"/>
                    </w:rPr>
                    <w:t>原料名称</w:t>
                  </w:r>
                </w:p>
              </w:tc>
              <w:tc>
                <w:tcPr>
                  <w:tcW w:w="3395" w:type="dxa"/>
                  <w:vAlign w:val="center"/>
                </w:tcPr>
                <w:p>
                  <w:pPr>
                    <w:jc w:val="center"/>
                    <w:rPr>
                      <w:b/>
                      <w:szCs w:val="21"/>
                      <w:highlight w:val="none"/>
                    </w:rPr>
                  </w:pPr>
                  <w:r>
                    <w:rPr>
                      <w:rFonts w:hint="eastAsia"/>
                      <w:b/>
                      <w:szCs w:val="21"/>
                      <w:highlight w:val="none"/>
                    </w:rPr>
                    <w:t>理化性质</w:t>
                  </w:r>
                </w:p>
              </w:tc>
              <w:tc>
                <w:tcPr>
                  <w:tcW w:w="0" w:type="auto"/>
                  <w:vAlign w:val="center"/>
                </w:tcPr>
                <w:p>
                  <w:pPr>
                    <w:jc w:val="center"/>
                    <w:rPr>
                      <w:b/>
                      <w:szCs w:val="21"/>
                      <w:highlight w:val="none"/>
                    </w:rPr>
                  </w:pPr>
                  <w:r>
                    <w:rPr>
                      <w:b/>
                      <w:szCs w:val="21"/>
                      <w:highlight w:val="none"/>
                    </w:rPr>
                    <w:t>毒理性</w:t>
                  </w:r>
                </w:p>
              </w:tc>
              <w:tc>
                <w:tcPr>
                  <w:tcW w:w="0" w:type="auto"/>
                  <w:vAlign w:val="center"/>
                </w:tcPr>
                <w:p>
                  <w:pPr>
                    <w:jc w:val="center"/>
                    <w:rPr>
                      <w:b/>
                      <w:szCs w:val="21"/>
                      <w:highlight w:val="none"/>
                    </w:rPr>
                  </w:pPr>
                  <w:r>
                    <w:rPr>
                      <w:b/>
                      <w:szCs w:val="21"/>
                      <w:highlight w:val="none"/>
                    </w:rPr>
                    <w:t>危险特性</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0" w:type="dxa"/>
                  <w:bottom w:w="0" w:type="dxa"/>
                  <w:right w:w="0" w:type="dxa"/>
                </w:tblCellMar>
              </w:tblPrEx>
              <w:trPr>
                <w:trHeight w:val="545" w:hRule="atLeast"/>
                <w:jc w:val="center"/>
              </w:trPr>
              <w:tc>
                <w:tcPr>
                  <w:tcW w:w="428" w:type="dxa"/>
                  <w:vAlign w:val="center"/>
                </w:tcPr>
                <w:p>
                  <w:pPr>
                    <w:jc w:val="center"/>
                    <w:rPr>
                      <w:szCs w:val="21"/>
                      <w:highlight w:val="none"/>
                    </w:rPr>
                  </w:pPr>
                  <w:r>
                    <w:rPr>
                      <w:rFonts w:hint="eastAsia"/>
                      <w:szCs w:val="21"/>
                      <w:highlight w:val="none"/>
                    </w:rPr>
                    <w:t>1</w:t>
                  </w:r>
                </w:p>
              </w:tc>
              <w:tc>
                <w:tcPr>
                  <w:tcW w:w="903" w:type="dxa"/>
                  <w:vAlign w:val="center"/>
                </w:tcPr>
                <w:p>
                  <w:pPr>
                    <w:jc w:val="center"/>
                    <w:rPr>
                      <w:szCs w:val="21"/>
                      <w:highlight w:val="none"/>
                    </w:rPr>
                  </w:pPr>
                  <w:r>
                    <w:rPr>
                      <w:rFonts w:hint="eastAsia" w:ascii="Times New Roman" w:hAnsi="Times New Roman" w:cs="Times New Roman"/>
                      <w:sz w:val="21"/>
                      <w:szCs w:val="21"/>
                      <w:highlight w:val="none"/>
                    </w:rPr>
                    <w:t>PA</w:t>
                  </w:r>
                </w:p>
              </w:tc>
              <w:tc>
                <w:tcPr>
                  <w:tcW w:w="3395" w:type="dxa"/>
                  <w:vAlign w:val="center"/>
                </w:tcPr>
                <w:p>
                  <w:pPr>
                    <w:jc w:val="center"/>
                    <w:rPr>
                      <w:rFonts w:hint="eastAsia"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eastAsia="zh-CN"/>
                    </w:rPr>
                    <w:t>聚酰胺，是分子主链上含有重复酰胺基团—[NHCO]—的热塑性树脂总称，耐热性、耐磨损性、耐化学药品性和自润滑性良好。</w:t>
                  </w:r>
                </w:p>
              </w:tc>
              <w:tc>
                <w:tcPr>
                  <w:tcW w:w="2866" w:type="dxa"/>
                  <w:vAlign w:val="center"/>
                </w:tcPr>
                <w:p>
                  <w:pPr>
                    <w:jc w:val="center"/>
                    <w:rPr>
                      <w:rFonts w:hint="eastAsia"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zh-CN" w:eastAsia="zh-CN"/>
                    </w:rPr>
                    <w:t>无毒</w:t>
                  </w:r>
                </w:p>
              </w:tc>
              <w:tc>
                <w:tcPr>
                  <w:tcW w:w="668" w:type="dxa"/>
                  <w:vAlign w:val="center"/>
                </w:tcPr>
                <w:p>
                  <w:pPr>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0" w:type="dxa"/>
                  <w:bottom w:w="0" w:type="dxa"/>
                  <w:right w:w="0" w:type="dxa"/>
                </w:tblCellMar>
              </w:tblPrEx>
              <w:trPr>
                <w:trHeight w:val="545" w:hRule="atLeast"/>
                <w:jc w:val="center"/>
              </w:trPr>
              <w:tc>
                <w:tcPr>
                  <w:tcW w:w="428" w:type="dxa"/>
                  <w:vAlign w:val="center"/>
                </w:tcPr>
                <w:p>
                  <w:pPr>
                    <w:jc w:val="center"/>
                    <w:rPr>
                      <w:rFonts w:hint="eastAsia" w:eastAsia="宋体"/>
                      <w:szCs w:val="21"/>
                      <w:highlight w:val="none"/>
                      <w:lang w:val="en-US" w:eastAsia="zh-CN"/>
                    </w:rPr>
                  </w:pPr>
                  <w:r>
                    <w:rPr>
                      <w:rFonts w:hint="eastAsia"/>
                      <w:szCs w:val="21"/>
                      <w:highlight w:val="none"/>
                      <w:lang w:val="en-US" w:eastAsia="zh-CN"/>
                    </w:rPr>
                    <w:t>2</w:t>
                  </w:r>
                </w:p>
              </w:tc>
              <w:tc>
                <w:tcPr>
                  <w:tcW w:w="903" w:type="dxa"/>
                  <w:vAlign w:val="center"/>
                </w:tcPr>
                <w:p>
                  <w:pPr>
                    <w:jc w:val="center"/>
                    <w:rPr>
                      <w:rFonts w:hint="eastAsia"/>
                      <w:szCs w:val="21"/>
                      <w:highlight w:val="none"/>
                    </w:rPr>
                  </w:pPr>
                  <w:r>
                    <w:rPr>
                      <w:rFonts w:hint="eastAsia" w:ascii="Times New Roman" w:hAnsi="Times New Roman" w:cs="Times New Roman"/>
                      <w:sz w:val="21"/>
                      <w:szCs w:val="21"/>
                      <w:highlight w:val="none"/>
                    </w:rPr>
                    <w:t xml:space="preserve">PC </w:t>
                  </w:r>
                </w:p>
              </w:tc>
              <w:tc>
                <w:tcPr>
                  <w:tcW w:w="3395" w:type="dxa"/>
                  <w:vAlign w:val="center"/>
                </w:tcPr>
                <w:p>
                  <w:pPr>
                    <w:jc w:val="center"/>
                    <w:rPr>
                      <w:rFonts w:hint="eastAsia"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zh-CN" w:eastAsia="zh-CN"/>
                    </w:rPr>
                    <w:t>密度：1.18－1.22 g/cm3 线膨胀率：3.8×10^-5 cm/°C 热变形温度：135°C 低温-45°C，耐弱酸，耐</w:t>
                  </w:r>
                  <w:r>
                    <w:rPr>
                      <w:rFonts w:hint="default" w:ascii="Times New Roman" w:hAnsi="Times New Roman" w:eastAsia="宋体" w:cs="Times New Roman"/>
                      <w:sz w:val="21"/>
                      <w:szCs w:val="21"/>
                      <w:highlight w:val="none"/>
                      <w:lang w:val="en-US" w:eastAsia="zh-CN"/>
                    </w:rPr>
                    <w:fldChar w:fldCharType="begin"/>
                  </w:r>
                  <w:r>
                    <w:rPr>
                      <w:rFonts w:hint="default" w:ascii="Times New Roman" w:hAnsi="Times New Roman" w:eastAsia="宋体" w:cs="Times New Roman"/>
                      <w:sz w:val="21"/>
                      <w:szCs w:val="21"/>
                      <w:highlight w:val="none"/>
                      <w:lang w:val="en-US" w:eastAsia="zh-CN"/>
                    </w:rPr>
                    <w:instrText xml:space="preserve"> HYPERLINK "https://baike.baidu.com/item/%E5%BC%B1%E7%A2%B1" \t "https://baike.baidu.com/item/%E8%81%9A%E7%A2%B3%E9%85%B8%E9%85%AF/_blank" </w:instrText>
                  </w:r>
                  <w:r>
                    <w:rPr>
                      <w:rFonts w:hint="default" w:ascii="Times New Roman" w:hAnsi="Times New Roman" w:eastAsia="宋体" w:cs="Times New Roman"/>
                      <w:sz w:val="21"/>
                      <w:szCs w:val="21"/>
                      <w:highlight w:val="none"/>
                      <w:lang w:val="en-US" w:eastAsia="zh-CN"/>
                    </w:rPr>
                    <w:fldChar w:fldCharType="separate"/>
                  </w:r>
                  <w:r>
                    <w:rPr>
                      <w:rFonts w:hint="default" w:ascii="Times New Roman" w:hAnsi="Times New Roman" w:eastAsia="宋体" w:cs="Times New Roman"/>
                      <w:sz w:val="21"/>
                      <w:szCs w:val="21"/>
                      <w:highlight w:val="none"/>
                      <w:lang w:val="zh-CN" w:eastAsia="zh-CN"/>
                    </w:rPr>
                    <w:t>弱碱</w:t>
                  </w:r>
                  <w:r>
                    <w:rPr>
                      <w:rFonts w:hint="default" w:ascii="Times New Roman" w:hAnsi="Times New Roman" w:eastAsia="宋体" w:cs="Times New Roman"/>
                      <w:sz w:val="21"/>
                      <w:szCs w:val="21"/>
                      <w:highlight w:val="none"/>
                      <w:lang w:val="zh-CN" w:eastAsia="zh-CN"/>
                    </w:rPr>
                    <w:fldChar w:fldCharType="end"/>
                  </w:r>
                  <w:r>
                    <w:rPr>
                      <w:rFonts w:hint="default" w:ascii="Times New Roman" w:hAnsi="Times New Roman" w:eastAsia="宋体" w:cs="Times New Roman"/>
                      <w:sz w:val="21"/>
                      <w:szCs w:val="21"/>
                      <w:highlight w:val="none"/>
                      <w:lang w:val="zh-CN" w:eastAsia="zh-CN"/>
                    </w:rPr>
                    <w:t>，耐中性油</w:t>
                  </w:r>
                  <w:r>
                    <w:rPr>
                      <w:rFonts w:hint="eastAsia" w:ascii="Times New Roman" w:hAnsi="Times New Roman" w:eastAsia="宋体" w:cs="Times New Roman"/>
                      <w:sz w:val="21"/>
                      <w:szCs w:val="21"/>
                      <w:highlight w:val="none"/>
                      <w:lang w:val="zh-CN" w:eastAsia="zh-CN"/>
                    </w:rPr>
                    <w:t>，不耐紫外光，不耐</w:t>
                  </w:r>
                  <w:r>
                    <w:rPr>
                      <w:rFonts w:hint="default" w:ascii="Times New Roman" w:hAnsi="Times New Roman" w:eastAsia="宋体" w:cs="Times New Roman"/>
                      <w:sz w:val="21"/>
                      <w:szCs w:val="21"/>
                      <w:highlight w:val="none"/>
                      <w:lang w:val="en-US" w:eastAsia="zh-CN"/>
                    </w:rPr>
                    <w:fldChar w:fldCharType="begin"/>
                  </w:r>
                  <w:r>
                    <w:rPr>
                      <w:rFonts w:hint="default" w:ascii="Times New Roman" w:hAnsi="Times New Roman" w:eastAsia="宋体" w:cs="Times New Roman"/>
                      <w:sz w:val="21"/>
                      <w:szCs w:val="21"/>
                      <w:highlight w:val="none"/>
                      <w:lang w:val="en-US" w:eastAsia="zh-CN"/>
                    </w:rPr>
                    <w:instrText xml:space="preserve"> HYPERLINK "https://baike.baidu.com/item/%E5%BC%BA%E7%A2%B1" \t "https://baike.baidu.com/item/%E8%81%9A%E7%A2%B3%E9%85%B8%E9%85%AF/_blank" </w:instrText>
                  </w:r>
                  <w:r>
                    <w:rPr>
                      <w:rFonts w:hint="default" w:ascii="Times New Roman" w:hAnsi="Times New Roman" w:eastAsia="宋体" w:cs="Times New Roman"/>
                      <w:sz w:val="21"/>
                      <w:szCs w:val="21"/>
                      <w:highlight w:val="none"/>
                      <w:lang w:val="en-US" w:eastAsia="zh-CN"/>
                    </w:rPr>
                    <w:fldChar w:fldCharType="separate"/>
                  </w:r>
                  <w:r>
                    <w:rPr>
                      <w:rFonts w:hint="default" w:ascii="Times New Roman" w:hAnsi="Times New Roman" w:eastAsia="宋体" w:cs="Times New Roman"/>
                      <w:sz w:val="21"/>
                      <w:szCs w:val="21"/>
                      <w:highlight w:val="none"/>
                      <w:lang w:val="zh-CN" w:eastAsia="zh-CN"/>
                    </w:rPr>
                    <w:t>强碱</w:t>
                  </w:r>
                  <w:r>
                    <w:rPr>
                      <w:rFonts w:hint="default" w:ascii="Times New Roman" w:hAnsi="Times New Roman" w:eastAsia="宋体" w:cs="Times New Roman"/>
                      <w:sz w:val="21"/>
                      <w:szCs w:val="21"/>
                      <w:highlight w:val="none"/>
                      <w:lang w:val="zh-CN" w:eastAsia="zh-CN"/>
                    </w:rPr>
                    <w:fldChar w:fldCharType="end"/>
                  </w:r>
                  <w:r>
                    <w:rPr>
                      <w:rFonts w:hint="eastAsia" w:ascii="Times New Roman" w:hAnsi="Times New Roman" w:eastAsia="宋体" w:cs="Times New Roman"/>
                      <w:sz w:val="21"/>
                      <w:szCs w:val="21"/>
                      <w:highlight w:val="none"/>
                      <w:lang w:val="zh-CN" w:eastAsia="zh-CN"/>
                    </w:rPr>
                    <w:t>。</w:t>
                  </w:r>
                </w:p>
              </w:tc>
              <w:tc>
                <w:tcPr>
                  <w:tcW w:w="0" w:type="auto"/>
                  <w:vAlign w:val="center"/>
                </w:tcPr>
                <w:p>
                  <w:pPr>
                    <w:jc w:val="center"/>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无毒</w:t>
                  </w:r>
                </w:p>
              </w:tc>
              <w:tc>
                <w:tcPr>
                  <w:tcW w:w="0" w:type="auto"/>
                  <w:vAlign w:val="center"/>
                </w:tcPr>
                <w:p>
                  <w:pPr>
                    <w:jc w:val="center"/>
                    <w:rPr>
                      <w:rFonts w:hint="eastAsia"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0" w:type="dxa"/>
                  <w:bottom w:w="0" w:type="dxa"/>
                  <w:right w:w="0" w:type="dxa"/>
                </w:tblCellMar>
              </w:tblPrEx>
              <w:trPr>
                <w:trHeight w:val="545" w:hRule="atLeast"/>
                <w:jc w:val="center"/>
              </w:trPr>
              <w:tc>
                <w:tcPr>
                  <w:tcW w:w="428" w:type="dxa"/>
                  <w:vAlign w:val="center"/>
                </w:tcPr>
                <w:p>
                  <w:pPr>
                    <w:jc w:val="center"/>
                    <w:rPr>
                      <w:rFonts w:hint="eastAsia" w:eastAsia="宋体"/>
                      <w:szCs w:val="21"/>
                      <w:highlight w:val="none"/>
                      <w:lang w:val="en-US" w:eastAsia="zh-CN"/>
                    </w:rPr>
                  </w:pPr>
                  <w:r>
                    <w:rPr>
                      <w:rFonts w:hint="eastAsia"/>
                      <w:szCs w:val="21"/>
                      <w:highlight w:val="none"/>
                      <w:lang w:val="en-US" w:eastAsia="zh-CN"/>
                    </w:rPr>
                    <w:t>3</w:t>
                  </w:r>
                </w:p>
              </w:tc>
              <w:tc>
                <w:tcPr>
                  <w:tcW w:w="903" w:type="dxa"/>
                  <w:vAlign w:val="center"/>
                </w:tcPr>
                <w:p>
                  <w:pPr>
                    <w:jc w:val="center"/>
                    <w:rPr>
                      <w:rFonts w:hint="eastAsia"/>
                      <w:szCs w:val="21"/>
                      <w:highlight w:val="none"/>
                    </w:rPr>
                  </w:pPr>
                  <w:r>
                    <w:rPr>
                      <w:rFonts w:hint="eastAsia" w:ascii="Times New Roman" w:hAnsi="Times New Roman" w:cs="Times New Roman"/>
                      <w:sz w:val="21"/>
                      <w:szCs w:val="21"/>
                      <w:highlight w:val="none"/>
                    </w:rPr>
                    <w:t xml:space="preserve">ABS </w:t>
                  </w:r>
                </w:p>
              </w:tc>
              <w:tc>
                <w:tcPr>
                  <w:tcW w:w="3395" w:type="dxa"/>
                  <w:vAlign w:val="center"/>
                </w:tcPr>
                <w:p>
                  <w:pPr>
                    <w:jc w:val="center"/>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rPr>
                    <w:fldChar w:fldCharType="begin"/>
                  </w:r>
                  <w:r>
                    <w:rPr>
                      <w:rFonts w:hint="eastAsia" w:ascii="Times New Roman" w:hAnsi="Times New Roman" w:eastAsia="宋体" w:cs="Times New Roman"/>
                      <w:sz w:val="21"/>
                      <w:szCs w:val="21"/>
                      <w:highlight w:val="none"/>
                    </w:rPr>
                    <w:instrText xml:space="preserve"> HYPERLINK "https://baike.baidu.com/item/%E4%B8%99%E7%83%AF%E8%85%88/626447" \t "https://baike.baidu.com/item/_blank" </w:instrText>
                  </w:r>
                  <w:r>
                    <w:rPr>
                      <w:rFonts w:hint="eastAsia" w:ascii="Times New Roman" w:hAnsi="Times New Roman" w:eastAsia="宋体" w:cs="Times New Roman"/>
                      <w:sz w:val="21"/>
                      <w:szCs w:val="21"/>
                      <w:highlight w:val="none"/>
                    </w:rPr>
                    <w:fldChar w:fldCharType="separate"/>
                  </w:r>
                  <w:r>
                    <w:rPr>
                      <w:rFonts w:hint="default" w:ascii="Times New Roman" w:hAnsi="Times New Roman" w:eastAsia="宋体" w:cs="Times New Roman"/>
                      <w:sz w:val="21"/>
                      <w:szCs w:val="21"/>
                      <w:highlight w:val="none"/>
                    </w:rPr>
                    <w:t>丙烯腈</w:t>
                  </w:r>
                  <w:r>
                    <w:rPr>
                      <w:rFonts w:hint="default" w:ascii="Times New Roman" w:hAnsi="Times New Roman" w:eastAsia="宋体" w:cs="Times New Roman"/>
                      <w:sz w:val="21"/>
                      <w:szCs w:val="21"/>
                      <w:highlight w:val="none"/>
                    </w:rPr>
                    <w:fldChar w:fldCharType="end"/>
                  </w:r>
                  <w:r>
                    <w:rPr>
                      <w:rFonts w:hint="default" w:ascii="Times New Roman" w:hAnsi="Times New Roman" w:eastAsia="宋体" w:cs="Times New Roman"/>
                      <w:sz w:val="21"/>
                      <w:szCs w:val="21"/>
                      <w:highlight w:val="none"/>
                    </w:rPr>
                    <w:t>(A)、</w:t>
                  </w:r>
                  <w:r>
                    <w:rPr>
                      <w:rFonts w:hint="default" w:ascii="Times New Roman" w:hAnsi="Times New Roman" w:eastAsia="宋体" w:cs="Times New Roman"/>
                      <w:sz w:val="21"/>
                      <w:szCs w:val="21"/>
                      <w:highlight w:val="none"/>
                    </w:rPr>
                    <w:fldChar w:fldCharType="begin"/>
                  </w:r>
                  <w:r>
                    <w:rPr>
                      <w:rFonts w:hint="default" w:ascii="Times New Roman" w:hAnsi="Times New Roman" w:eastAsia="宋体" w:cs="Times New Roman"/>
                      <w:sz w:val="21"/>
                      <w:szCs w:val="21"/>
                      <w:highlight w:val="none"/>
                    </w:rPr>
                    <w:instrText xml:space="preserve"> HYPERLINK "https://baike.baidu.com/item/%E4%B8%81%E4%BA%8C%E7%83%AF/593484" \t "https://baike.baidu.com/item/_blank" </w:instrText>
                  </w:r>
                  <w:r>
                    <w:rPr>
                      <w:rFonts w:hint="default" w:ascii="Times New Roman" w:hAnsi="Times New Roman" w:eastAsia="宋体" w:cs="Times New Roman"/>
                      <w:sz w:val="21"/>
                      <w:szCs w:val="21"/>
                      <w:highlight w:val="none"/>
                    </w:rPr>
                    <w:fldChar w:fldCharType="separate"/>
                  </w:r>
                  <w:r>
                    <w:rPr>
                      <w:rFonts w:hint="default" w:ascii="Times New Roman" w:hAnsi="Times New Roman" w:eastAsia="宋体" w:cs="Times New Roman"/>
                      <w:sz w:val="21"/>
                      <w:szCs w:val="21"/>
                      <w:highlight w:val="none"/>
                    </w:rPr>
                    <w:t>丁二烯</w:t>
                  </w:r>
                  <w:r>
                    <w:rPr>
                      <w:rFonts w:hint="default" w:ascii="Times New Roman" w:hAnsi="Times New Roman" w:eastAsia="宋体" w:cs="Times New Roman"/>
                      <w:sz w:val="21"/>
                      <w:szCs w:val="21"/>
                      <w:highlight w:val="none"/>
                    </w:rPr>
                    <w:fldChar w:fldCharType="end"/>
                  </w:r>
                  <w:r>
                    <w:rPr>
                      <w:rFonts w:hint="default" w:ascii="Times New Roman" w:hAnsi="Times New Roman" w:eastAsia="宋体" w:cs="Times New Roman"/>
                      <w:sz w:val="21"/>
                      <w:szCs w:val="21"/>
                      <w:highlight w:val="none"/>
                    </w:rPr>
                    <w:t>(B)、</w:t>
                  </w:r>
                  <w:r>
                    <w:rPr>
                      <w:rFonts w:hint="default" w:ascii="Times New Roman" w:hAnsi="Times New Roman" w:eastAsia="宋体" w:cs="Times New Roman"/>
                      <w:sz w:val="21"/>
                      <w:szCs w:val="21"/>
                      <w:highlight w:val="none"/>
                    </w:rPr>
                    <w:fldChar w:fldCharType="begin"/>
                  </w:r>
                  <w:r>
                    <w:rPr>
                      <w:rFonts w:hint="default" w:ascii="Times New Roman" w:hAnsi="Times New Roman" w:eastAsia="宋体" w:cs="Times New Roman"/>
                      <w:sz w:val="21"/>
                      <w:szCs w:val="21"/>
                      <w:highlight w:val="none"/>
                    </w:rPr>
                    <w:instrText xml:space="preserve"> HYPERLINK "https://baike.baidu.com/item/%E8%8B%AF%E4%B9%99%E7%83%AF/2303438" \t "https://baike.baidu.com/item/_blank" </w:instrText>
                  </w:r>
                  <w:r>
                    <w:rPr>
                      <w:rFonts w:hint="default" w:ascii="Times New Roman" w:hAnsi="Times New Roman" w:eastAsia="宋体" w:cs="Times New Roman"/>
                      <w:sz w:val="21"/>
                      <w:szCs w:val="21"/>
                      <w:highlight w:val="none"/>
                    </w:rPr>
                    <w:fldChar w:fldCharType="separate"/>
                  </w:r>
                  <w:r>
                    <w:rPr>
                      <w:rFonts w:hint="default" w:ascii="Times New Roman" w:hAnsi="Times New Roman" w:eastAsia="宋体" w:cs="Times New Roman"/>
                      <w:sz w:val="21"/>
                      <w:szCs w:val="21"/>
                      <w:highlight w:val="none"/>
                    </w:rPr>
                    <w:t>苯乙烯</w:t>
                  </w:r>
                  <w:r>
                    <w:rPr>
                      <w:rFonts w:hint="default" w:ascii="Times New Roman" w:hAnsi="Times New Roman" w:eastAsia="宋体" w:cs="Times New Roman"/>
                      <w:sz w:val="21"/>
                      <w:szCs w:val="21"/>
                      <w:highlight w:val="none"/>
                    </w:rPr>
                    <w:fldChar w:fldCharType="end"/>
                  </w:r>
                  <w:r>
                    <w:rPr>
                      <w:rFonts w:hint="default" w:ascii="Times New Roman" w:hAnsi="Times New Roman" w:eastAsia="宋体" w:cs="Times New Roman"/>
                      <w:sz w:val="21"/>
                      <w:szCs w:val="21"/>
                      <w:highlight w:val="none"/>
                    </w:rPr>
                    <w:t>(S)三种单体的三元共聚物</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不透明呈象牙色的粒料</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属易燃聚合物，火焰呈黄色，有黑烟，烧焦但不滴落，并发出特殊的肉桂味。热变形温度为70—107℃（85左右）</w:t>
                  </w:r>
                </w:p>
              </w:tc>
              <w:tc>
                <w:tcPr>
                  <w:tcW w:w="0" w:type="auto"/>
                  <w:vAlign w:val="center"/>
                </w:tcPr>
                <w:p>
                  <w:pPr>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eastAsia="zh-CN"/>
                    </w:rPr>
                    <w:t>无毒</w:t>
                  </w:r>
                </w:p>
              </w:tc>
              <w:tc>
                <w:tcPr>
                  <w:tcW w:w="0" w:type="auto"/>
                  <w:vAlign w:val="center"/>
                </w:tcPr>
                <w:p>
                  <w:pPr>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0" w:type="dxa"/>
                  <w:bottom w:w="0" w:type="dxa"/>
                  <w:right w:w="0" w:type="dxa"/>
                </w:tblCellMar>
              </w:tblPrEx>
              <w:trPr>
                <w:trHeight w:val="545" w:hRule="atLeast"/>
                <w:jc w:val="center"/>
              </w:trPr>
              <w:tc>
                <w:tcPr>
                  <w:tcW w:w="428" w:type="dxa"/>
                  <w:vAlign w:val="center"/>
                </w:tcPr>
                <w:p>
                  <w:pPr>
                    <w:jc w:val="center"/>
                    <w:rPr>
                      <w:rFonts w:hint="eastAsia" w:eastAsia="宋体"/>
                      <w:szCs w:val="21"/>
                      <w:highlight w:val="none"/>
                      <w:lang w:val="en-US" w:eastAsia="zh-CN"/>
                    </w:rPr>
                  </w:pPr>
                  <w:r>
                    <w:rPr>
                      <w:rFonts w:hint="eastAsia"/>
                      <w:szCs w:val="21"/>
                      <w:highlight w:val="none"/>
                      <w:lang w:val="en-US" w:eastAsia="zh-CN"/>
                    </w:rPr>
                    <w:t>4</w:t>
                  </w:r>
                </w:p>
              </w:tc>
              <w:tc>
                <w:tcPr>
                  <w:tcW w:w="903" w:type="dxa"/>
                  <w:vAlign w:val="center"/>
                </w:tcPr>
                <w:p>
                  <w:pPr>
                    <w:jc w:val="center"/>
                    <w:rPr>
                      <w:rFonts w:hint="eastAsia"/>
                      <w:szCs w:val="21"/>
                      <w:highlight w:val="none"/>
                    </w:rPr>
                  </w:pPr>
                  <w:r>
                    <w:rPr>
                      <w:rFonts w:hint="eastAsia" w:ascii="Times New Roman" w:hAnsi="Times New Roman" w:cs="Times New Roman"/>
                      <w:sz w:val="21"/>
                      <w:szCs w:val="21"/>
                      <w:highlight w:val="none"/>
                    </w:rPr>
                    <w:t xml:space="preserve">PP </w:t>
                  </w:r>
                </w:p>
              </w:tc>
              <w:tc>
                <w:tcPr>
                  <w:tcW w:w="3395" w:type="dxa"/>
                  <w:vAlign w:val="center"/>
                </w:tcPr>
                <w:p>
                  <w:pPr>
                    <w:jc w:val="center"/>
                    <w:rPr>
                      <w:rFonts w:hint="eastAsia"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是由丙烯聚合而制得的一种热塑性树脂，通常为半透明无色固体；熔点165~170℃；密度0.9~0.91g/cm</w:t>
                  </w:r>
                  <w:r>
                    <w:rPr>
                      <w:rFonts w:hint="default" w:ascii="Times New Roman" w:hAnsi="Times New Roman" w:eastAsia="宋体" w:cs="Times New Roman"/>
                      <w:sz w:val="21"/>
                      <w:szCs w:val="21"/>
                      <w:highlight w:val="none"/>
                      <w:vertAlign w:val="superscript"/>
                      <w:lang w:val="en-US" w:eastAsia="zh-CN"/>
                    </w:rPr>
                    <w:t>3</w:t>
                  </w:r>
                  <w:r>
                    <w:rPr>
                      <w:rFonts w:hint="default" w:ascii="Times New Roman" w:hAnsi="Times New Roman" w:eastAsia="宋体" w:cs="Times New Roman"/>
                      <w:sz w:val="21"/>
                      <w:szCs w:val="21"/>
                      <w:highlight w:val="none"/>
                      <w:lang w:val="en-US" w:eastAsia="zh-CN"/>
                    </w:rPr>
                    <w:t>；成型收缩率为1.0~2.5%；成型温度160~220℃；分解温度为300℃。</w:t>
                  </w:r>
                </w:p>
              </w:tc>
              <w:tc>
                <w:tcPr>
                  <w:tcW w:w="0" w:type="auto"/>
                  <w:vAlign w:val="center"/>
                </w:tcPr>
                <w:p>
                  <w:pPr>
                    <w:jc w:val="center"/>
                    <w:rPr>
                      <w:rFonts w:hint="eastAsia"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LD50＞110g//kg（小鼠经腹腔）</w:t>
                  </w:r>
                </w:p>
              </w:tc>
              <w:tc>
                <w:tcPr>
                  <w:tcW w:w="0" w:type="auto"/>
                  <w:vAlign w:val="center"/>
                </w:tcPr>
                <w:p>
                  <w:pPr>
                    <w:jc w:val="center"/>
                    <w:rPr>
                      <w:rFonts w:hint="eastAsia"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0" w:type="dxa"/>
                  <w:bottom w:w="0" w:type="dxa"/>
                  <w:right w:w="0" w:type="dxa"/>
                </w:tblCellMar>
              </w:tblPrEx>
              <w:trPr>
                <w:trHeight w:val="545" w:hRule="atLeast"/>
                <w:jc w:val="center"/>
              </w:trPr>
              <w:tc>
                <w:tcPr>
                  <w:tcW w:w="428" w:type="dxa"/>
                  <w:vAlign w:val="center"/>
                </w:tcPr>
                <w:p>
                  <w:pPr>
                    <w:jc w:val="center"/>
                    <w:rPr>
                      <w:rFonts w:hint="default"/>
                      <w:szCs w:val="21"/>
                      <w:highlight w:val="none"/>
                      <w:lang w:val="en-US" w:eastAsia="zh-CN"/>
                    </w:rPr>
                  </w:pPr>
                  <w:r>
                    <w:rPr>
                      <w:rFonts w:hint="eastAsia"/>
                      <w:szCs w:val="21"/>
                      <w:highlight w:val="none"/>
                      <w:lang w:val="en-US" w:eastAsia="zh-CN"/>
                    </w:rPr>
                    <w:t>5</w:t>
                  </w:r>
                </w:p>
              </w:tc>
              <w:tc>
                <w:tcPr>
                  <w:tcW w:w="903" w:type="dxa"/>
                  <w:vAlign w:val="center"/>
                </w:tcPr>
                <w:p>
                  <w:pPr>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 xml:space="preserve">POM </w:t>
                  </w:r>
                </w:p>
              </w:tc>
              <w:tc>
                <w:tcPr>
                  <w:tcW w:w="3395" w:type="dxa"/>
                  <w:vAlign w:val="center"/>
                </w:tcPr>
                <w:p>
                  <w:pPr>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是一种没有侧链、高密度、高结晶性的</w:t>
                  </w:r>
                  <w:r>
                    <w:rPr>
                      <w:rFonts w:hint="default" w:ascii="Times New Roman" w:hAnsi="Times New Roman" w:eastAsia="宋体" w:cs="Times New Roman"/>
                      <w:sz w:val="21"/>
                      <w:szCs w:val="21"/>
                      <w:highlight w:val="none"/>
                      <w:lang w:val="en-US" w:eastAsia="zh-CN"/>
                    </w:rPr>
                    <w:fldChar w:fldCharType="begin"/>
                  </w:r>
                  <w:r>
                    <w:rPr>
                      <w:rFonts w:hint="default" w:ascii="Times New Roman" w:hAnsi="Times New Roman" w:eastAsia="宋体" w:cs="Times New Roman"/>
                      <w:sz w:val="21"/>
                      <w:szCs w:val="21"/>
                      <w:highlight w:val="none"/>
                      <w:lang w:val="en-US" w:eastAsia="zh-CN"/>
                    </w:rPr>
                    <w:instrText xml:space="preserve"> HYPERLINK "https://baike.baidu.com/item/%E7%BA%BF%E5%9E%8B%E8%81%9A%E5%90%88%E7%89%A9/9079231" \t "https://baike.baidu.com/item/_blank" </w:instrText>
                  </w:r>
                  <w:r>
                    <w:rPr>
                      <w:rFonts w:hint="default" w:ascii="Times New Roman" w:hAnsi="Times New Roman" w:eastAsia="宋体" w:cs="Times New Roman"/>
                      <w:sz w:val="21"/>
                      <w:szCs w:val="21"/>
                      <w:highlight w:val="none"/>
                      <w:lang w:val="en-US" w:eastAsia="zh-CN"/>
                    </w:rPr>
                    <w:fldChar w:fldCharType="separate"/>
                  </w:r>
                  <w:r>
                    <w:rPr>
                      <w:rFonts w:hint="default" w:ascii="Times New Roman" w:hAnsi="Times New Roman" w:eastAsia="宋体" w:cs="Times New Roman"/>
                      <w:sz w:val="21"/>
                      <w:szCs w:val="21"/>
                      <w:highlight w:val="none"/>
                      <w:lang w:val="en-US" w:eastAsia="zh-CN"/>
                    </w:rPr>
                    <w:t>线型聚合物</w:t>
                  </w:r>
                  <w:r>
                    <w:rPr>
                      <w:rFonts w:hint="default" w:ascii="Times New Roman" w:hAnsi="Times New Roman" w:eastAsia="宋体" w:cs="Times New Roman"/>
                      <w:sz w:val="21"/>
                      <w:szCs w:val="21"/>
                      <w:highlight w:val="none"/>
                      <w:lang w:val="en-US" w:eastAsia="zh-CN"/>
                    </w:rPr>
                    <w:fldChar w:fldCharType="end"/>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一种白色或黑色</w:t>
                  </w:r>
                  <w:r>
                    <w:rPr>
                      <w:rFonts w:hint="default" w:ascii="Times New Roman" w:hAnsi="Times New Roman" w:eastAsia="宋体" w:cs="Times New Roman"/>
                      <w:sz w:val="21"/>
                      <w:szCs w:val="21"/>
                      <w:highlight w:val="none"/>
                      <w:lang w:val="en-US" w:eastAsia="zh-CN"/>
                    </w:rPr>
                    <w:fldChar w:fldCharType="begin"/>
                  </w:r>
                  <w:r>
                    <w:rPr>
                      <w:rFonts w:hint="default" w:ascii="Times New Roman" w:hAnsi="Times New Roman" w:eastAsia="宋体" w:cs="Times New Roman"/>
                      <w:sz w:val="21"/>
                      <w:szCs w:val="21"/>
                      <w:highlight w:val="none"/>
                      <w:lang w:val="en-US" w:eastAsia="zh-CN"/>
                    </w:rPr>
                    <w:instrText xml:space="preserve"> HYPERLINK "https://baike.baidu.com/item/%E5%A1%91%E6%96%99%E9%A2%97%E7%B2%92/8572014" \t "https://baike.baidu.com/item/_blank" </w:instrText>
                  </w:r>
                  <w:r>
                    <w:rPr>
                      <w:rFonts w:hint="default" w:ascii="Times New Roman" w:hAnsi="Times New Roman" w:eastAsia="宋体" w:cs="Times New Roman"/>
                      <w:sz w:val="21"/>
                      <w:szCs w:val="21"/>
                      <w:highlight w:val="none"/>
                      <w:lang w:val="en-US" w:eastAsia="zh-CN"/>
                    </w:rPr>
                    <w:fldChar w:fldCharType="separate"/>
                  </w:r>
                  <w:r>
                    <w:rPr>
                      <w:rFonts w:hint="default" w:ascii="Times New Roman" w:hAnsi="Times New Roman" w:eastAsia="宋体" w:cs="Times New Roman"/>
                      <w:sz w:val="21"/>
                      <w:szCs w:val="21"/>
                      <w:highlight w:val="none"/>
                      <w:lang w:val="en-US" w:eastAsia="zh-CN"/>
                    </w:rPr>
                    <w:t>塑料颗粒</w:t>
                  </w:r>
                  <w:r>
                    <w:rPr>
                      <w:rFonts w:hint="default" w:ascii="Times New Roman" w:hAnsi="Times New Roman" w:eastAsia="宋体" w:cs="Times New Roman"/>
                      <w:sz w:val="21"/>
                      <w:szCs w:val="21"/>
                      <w:highlight w:val="none"/>
                      <w:lang w:val="en-US" w:eastAsia="zh-CN"/>
                    </w:rPr>
                    <w:fldChar w:fldCharType="end"/>
                  </w:r>
                  <w:r>
                    <w:rPr>
                      <w:rFonts w:hint="default" w:ascii="Times New Roman" w:hAnsi="Times New Roman" w:eastAsia="宋体" w:cs="Times New Roman"/>
                      <w:sz w:val="21"/>
                      <w:szCs w:val="21"/>
                      <w:highlight w:val="none"/>
                      <w:lang w:val="en-US" w:eastAsia="zh-CN"/>
                    </w:rPr>
                    <w:t>，具有高硬度、高钢性、高耐磨的特性</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结晶型塑料,密度为1.42g/cm3</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耐疲劳、耐蠕变、耐磨、耐热、耐冲击</w:t>
                  </w:r>
                </w:p>
              </w:tc>
              <w:tc>
                <w:tcPr>
                  <w:tcW w:w="0" w:type="auto"/>
                  <w:vAlign w:val="center"/>
                </w:tcPr>
                <w:p>
                  <w:pPr>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无毒</w:t>
                  </w:r>
                </w:p>
              </w:tc>
              <w:tc>
                <w:tcPr>
                  <w:tcW w:w="0" w:type="auto"/>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0" w:type="dxa"/>
                  <w:bottom w:w="0" w:type="dxa"/>
                  <w:right w:w="0" w:type="dxa"/>
                </w:tblCellMar>
              </w:tblPrEx>
              <w:trPr>
                <w:trHeight w:val="545" w:hRule="atLeast"/>
                <w:jc w:val="center"/>
              </w:trPr>
              <w:tc>
                <w:tcPr>
                  <w:tcW w:w="428" w:type="dxa"/>
                  <w:vAlign w:val="center"/>
                </w:tcPr>
                <w:p>
                  <w:pPr>
                    <w:jc w:val="center"/>
                    <w:rPr>
                      <w:rFonts w:hint="default"/>
                      <w:szCs w:val="21"/>
                      <w:highlight w:val="none"/>
                      <w:lang w:val="en-US" w:eastAsia="zh-CN"/>
                    </w:rPr>
                  </w:pPr>
                  <w:r>
                    <w:rPr>
                      <w:rFonts w:hint="eastAsia"/>
                      <w:szCs w:val="21"/>
                      <w:highlight w:val="none"/>
                      <w:lang w:val="en-US" w:eastAsia="zh-CN"/>
                    </w:rPr>
                    <w:t>6</w:t>
                  </w:r>
                </w:p>
              </w:tc>
              <w:tc>
                <w:tcPr>
                  <w:tcW w:w="903" w:type="dxa"/>
                  <w:vAlign w:val="center"/>
                </w:tcPr>
                <w:p>
                  <w:pPr>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zh-CN" w:eastAsia="zh-CN"/>
                    </w:rPr>
                    <w:t>切削液</w:t>
                  </w:r>
                </w:p>
              </w:tc>
              <w:tc>
                <w:tcPr>
                  <w:tcW w:w="3395" w:type="dxa"/>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99%矿物油，0.06%脂环烃，0.04%烷烃，本品为淡黄色至褐色油状液体，自带气味，不溶于水，不挥发。</w:t>
                  </w:r>
                </w:p>
              </w:tc>
              <w:tc>
                <w:tcPr>
                  <w:tcW w:w="0" w:type="auto"/>
                  <w:vAlign w:val="center"/>
                </w:tcPr>
                <w:p>
                  <w:pPr>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本品不燃</w:t>
                  </w:r>
                  <w:r>
                    <w:rPr>
                      <w:rFonts w:hint="eastAsia" w:ascii="Times New Roman" w:hAnsi="Times New Roman" w:eastAsia="宋体" w:cs="Times New Roman"/>
                      <w:sz w:val="21"/>
                      <w:szCs w:val="21"/>
                      <w:highlight w:val="none"/>
                      <w:lang w:val="en-US" w:eastAsia="zh-CN"/>
                    </w:rPr>
                    <w:t>，无毒</w:t>
                  </w:r>
                </w:p>
              </w:tc>
              <w:tc>
                <w:tcPr>
                  <w:tcW w:w="0" w:type="auto"/>
                  <w:vAlign w:val="center"/>
                </w:tcPr>
                <w:p>
                  <w:pPr>
                    <w:widowControl/>
                    <w:spacing w:line="240" w:lineRule="exact"/>
                    <w:jc w:val="center"/>
                    <w:textAlignment w:val="cente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w:t>
                  </w:r>
                </w:p>
              </w:tc>
            </w:tr>
          </w:tbl>
          <w:p>
            <w:pPr>
              <w:spacing w:line="360" w:lineRule="auto"/>
              <w:rPr>
                <w:b/>
                <w:bCs/>
                <w:sz w:val="24"/>
                <w:highlight w:val="none"/>
              </w:rPr>
            </w:pPr>
            <w:r>
              <w:rPr>
                <w:b/>
                <w:bCs/>
                <w:sz w:val="24"/>
                <w:highlight w:val="none"/>
              </w:rPr>
              <w:t>5</w:t>
            </w:r>
            <w:r>
              <w:rPr>
                <w:rFonts w:hint="eastAsia"/>
                <w:b/>
                <w:bCs/>
                <w:sz w:val="24"/>
                <w:highlight w:val="none"/>
              </w:rPr>
              <w:t>、水平衡</w:t>
            </w:r>
          </w:p>
          <w:p>
            <w:pPr>
              <w:spacing w:line="360" w:lineRule="auto"/>
              <w:jc w:val="center"/>
              <w:rPr>
                <w:sz w:val="24"/>
                <w:highlight w:val="none"/>
              </w:rPr>
            </w:pPr>
            <w:r>
              <w:rPr>
                <w:sz w:val="24"/>
                <w:highlight w:val="none"/>
              </w:rPr>
              <w:object>
                <v:shape id="_x0000_i1025" o:spt="75" type="#_x0000_t75" style="height:189.25pt;width:359.55pt;" o:ole="t" filled="f" o:preferrelative="t" stroked="f" coordsize="21600,21600">
                  <v:path/>
                  <v:fill on="f" focussize="0,0"/>
                  <v:stroke on="f"/>
                  <v:imagedata r:id="rId10" o:title=""/>
                  <o:lock v:ext="edit" aspectratio="f"/>
                  <w10:wrap type="none"/>
                  <w10:anchorlock/>
                </v:shape>
                <o:OLEObject Type="Embed" ProgID="Visio.Drawing.11" ShapeID="_x0000_i1025" DrawAspect="Content" ObjectID="_1468075725" r:id="rId9">
                  <o:LockedField>false</o:LockedField>
                </o:OLEObject>
              </w:object>
            </w:r>
          </w:p>
          <w:p>
            <w:pPr>
              <w:spacing w:line="360" w:lineRule="auto"/>
              <w:jc w:val="center"/>
              <w:rPr>
                <w:b/>
                <w:bCs/>
                <w:sz w:val="24"/>
                <w:highlight w:val="none"/>
              </w:rPr>
            </w:pPr>
            <w:r>
              <w:rPr>
                <w:b/>
                <w:bCs/>
                <w:sz w:val="24"/>
                <w:highlight w:val="none"/>
              </w:rPr>
              <w:t xml:space="preserve">图2-1   </w:t>
            </w:r>
            <w:r>
              <w:rPr>
                <w:rFonts w:hint="eastAsia"/>
                <w:b/>
                <w:bCs/>
                <w:sz w:val="24"/>
                <w:highlight w:val="none"/>
              </w:rPr>
              <w:t>本项目水平衡图</w:t>
            </w:r>
          </w:p>
          <w:p>
            <w:pPr>
              <w:spacing w:line="360" w:lineRule="auto"/>
              <w:rPr>
                <w:b/>
                <w:bCs/>
                <w:sz w:val="24"/>
                <w:highlight w:val="none"/>
              </w:rPr>
            </w:pPr>
            <w:r>
              <w:rPr>
                <w:b/>
                <w:bCs/>
                <w:sz w:val="24"/>
                <w:highlight w:val="none"/>
              </w:rPr>
              <w:t>6、劳动定员及工作制度</w:t>
            </w:r>
          </w:p>
          <w:p>
            <w:pPr>
              <w:spacing w:line="360" w:lineRule="auto"/>
              <w:ind w:firstLine="480" w:firstLineChars="200"/>
              <w:rPr>
                <w:sz w:val="24"/>
                <w:highlight w:val="none"/>
              </w:rPr>
            </w:pPr>
            <w:r>
              <w:rPr>
                <w:rFonts w:hint="eastAsia"/>
                <w:sz w:val="24"/>
                <w:highlight w:val="none"/>
              </w:rPr>
              <w:t>本项目职工</w:t>
            </w:r>
            <w:r>
              <w:rPr>
                <w:rFonts w:hint="eastAsia"/>
                <w:sz w:val="24"/>
                <w:highlight w:val="none"/>
                <w:lang w:val="en-US" w:eastAsia="zh-CN"/>
              </w:rPr>
              <w:t>50</w:t>
            </w:r>
            <w:r>
              <w:rPr>
                <w:rFonts w:hint="eastAsia"/>
                <w:sz w:val="24"/>
                <w:highlight w:val="none"/>
              </w:rPr>
              <w:t>人，年工作300天，每班</w:t>
            </w:r>
            <w:r>
              <w:rPr>
                <w:rFonts w:hint="eastAsia"/>
                <w:sz w:val="24"/>
                <w:highlight w:val="none"/>
                <w:lang w:val="en-US" w:eastAsia="zh-CN"/>
              </w:rPr>
              <w:t>24</w:t>
            </w:r>
            <w:r>
              <w:rPr>
                <w:rFonts w:hint="eastAsia"/>
                <w:sz w:val="24"/>
                <w:highlight w:val="none"/>
              </w:rPr>
              <w:t>小时，</w:t>
            </w:r>
            <w:r>
              <w:rPr>
                <w:rFonts w:hint="eastAsia"/>
                <w:sz w:val="24"/>
                <w:highlight w:val="none"/>
                <w:lang w:val="en-US" w:eastAsia="zh-CN"/>
              </w:rPr>
              <w:t>2</w:t>
            </w:r>
            <w:r>
              <w:rPr>
                <w:rFonts w:hint="eastAsia"/>
                <w:sz w:val="24"/>
                <w:highlight w:val="none"/>
              </w:rPr>
              <w:t>班制。</w:t>
            </w:r>
          </w:p>
          <w:p>
            <w:pPr>
              <w:spacing w:line="360" w:lineRule="auto"/>
              <w:rPr>
                <w:b/>
                <w:bCs/>
                <w:sz w:val="24"/>
                <w:highlight w:val="none"/>
              </w:rPr>
            </w:pPr>
            <w:r>
              <w:rPr>
                <w:b/>
                <w:bCs/>
                <w:sz w:val="24"/>
                <w:highlight w:val="none"/>
              </w:rPr>
              <w:t>7、地理位置及周围环境简况</w:t>
            </w:r>
          </w:p>
          <w:p>
            <w:pPr>
              <w:spacing w:line="360" w:lineRule="auto"/>
              <w:ind w:firstLine="480" w:firstLineChars="200"/>
              <w:rPr>
                <w:sz w:val="24"/>
                <w:highlight w:val="none"/>
              </w:rPr>
            </w:pPr>
            <w:r>
              <w:rPr>
                <w:rFonts w:hint="eastAsia"/>
                <w:sz w:val="24"/>
                <w:highlight w:val="none"/>
              </w:rPr>
              <w:t>项目</w:t>
            </w:r>
            <w:r>
              <w:rPr>
                <w:rFonts w:hint="eastAsia"/>
                <w:sz w:val="24"/>
                <w:highlight w:val="none"/>
                <w:lang w:eastAsia="zh-CN"/>
              </w:rPr>
              <w:t>东面</w:t>
            </w:r>
            <w:r>
              <w:rPr>
                <w:rFonts w:hint="eastAsia"/>
                <w:sz w:val="24"/>
                <w:highlight w:val="none"/>
              </w:rPr>
              <w:t>为</w:t>
            </w:r>
            <w:r>
              <w:rPr>
                <w:rFonts w:hint="eastAsia"/>
                <w:sz w:val="24"/>
                <w:highlight w:val="none"/>
                <w:lang w:eastAsia="zh-CN"/>
              </w:rPr>
              <w:t>锦峰路</w:t>
            </w:r>
            <w:r>
              <w:rPr>
                <w:rFonts w:hint="eastAsia"/>
                <w:sz w:val="24"/>
                <w:highlight w:val="none"/>
              </w:rPr>
              <w:t>，</w:t>
            </w:r>
            <w:r>
              <w:rPr>
                <w:rFonts w:hint="eastAsia"/>
                <w:sz w:val="24"/>
                <w:highlight w:val="none"/>
                <w:lang w:eastAsia="zh-CN"/>
              </w:rPr>
              <w:t>南面</w:t>
            </w:r>
            <w:r>
              <w:rPr>
                <w:rFonts w:hint="eastAsia"/>
                <w:sz w:val="24"/>
                <w:highlight w:val="none"/>
              </w:rPr>
              <w:t>为</w:t>
            </w:r>
            <w:r>
              <w:rPr>
                <w:rFonts w:hint="eastAsia"/>
                <w:sz w:val="24"/>
                <w:highlight w:val="none"/>
                <w:lang w:eastAsia="zh-CN"/>
              </w:rPr>
              <w:t>弘景路</w:t>
            </w:r>
            <w:r>
              <w:rPr>
                <w:rFonts w:hint="eastAsia"/>
                <w:sz w:val="24"/>
                <w:highlight w:val="none"/>
              </w:rPr>
              <w:t>，</w:t>
            </w:r>
            <w:r>
              <w:rPr>
                <w:rFonts w:hint="eastAsia"/>
                <w:sz w:val="24"/>
                <w:highlight w:val="none"/>
                <w:lang w:eastAsia="zh-CN"/>
              </w:rPr>
              <w:t>西面</w:t>
            </w:r>
            <w:r>
              <w:rPr>
                <w:rFonts w:hint="eastAsia"/>
                <w:sz w:val="24"/>
                <w:highlight w:val="none"/>
              </w:rPr>
              <w:t>为</w:t>
            </w:r>
            <w:r>
              <w:rPr>
                <w:rFonts w:hint="eastAsia"/>
                <w:sz w:val="24"/>
                <w:highlight w:val="none"/>
                <w:lang w:eastAsia="zh-CN"/>
              </w:rPr>
              <w:t>华佗路</w:t>
            </w:r>
            <w:r>
              <w:rPr>
                <w:rFonts w:hint="eastAsia"/>
                <w:sz w:val="24"/>
                <w:highlight w:val="none"/>
              </w:rPr>
              <w:t>，</w:t>
            </w:r>
            <w:r>
              <w:rPr>
                <w:rFonts w:hint="eastAsia"/>
                <w:sz w:val="24"/>
                <w:highlight w:val="none"/>
                <w:lang w:eastAsia="zh-CN"/>
              </w:rPr>
              <w:t>北面</w:t>
            </w:r>
            <w:r>
              <w:rPr>
                <w:rFonts w:hint="eastAsia"/>
                <w:sz w:val="24"/>
                <w:highlight w:val="none"/>
              </w:rPr>
              <w:t>为</w:t>
            </w:r>
            <w:r>
              <w:rPr>
                <w:rFonts w:hint="eastAsia"/>
                <w:sz w:val="24"/>
                <w:highlight w:val="none"/>
                <w:lang w:eastAsia="zh-CN"/>
              </w:rPr>
              <w:t>丹溪路</w:t>
            </w:r>
            <w:r>
              <w:rPr>
                <w:rFonts w:hint="eastAsia"/>
                <w:sz w:val="24"/>
                <w:highlight w:val="none"/>
              </w:rPr>
              <w:t>。距离本项目最近的敏感点为项目</w:t>
            </w:r>
            <w:r>
              <w:rPr>
                <w:rFonts w:hint="eastAsia"/>
                <w:sz w:val="24"/>
                <w:highlight w:val="none"/>
                <w:lang w:eastAsia="zh-CN"/>
              </w:rPr>
              <w:t>西</w:t>
            </w:r>
            <w:r>
              <w:rPr>
                <w:rFonts w:hint="eastAsia"/>
                <w:sz w:val="24"/>
                <w:highlight w:val="none"/>
              </w:rPr>
              <w:t>方向约</w:t>
            </w:r>
            <w:r>
              <w:rPr>
                <w:rFonts w:hint="eastAsia"/>
                <w:sz w:val="24"/>
                <w:highlight w:val="none"/>
                <w:lang w:val="en-US" w:eastAsia="zh-CN"/>
              </w:rPr>
              <w:t>56</w:t>
            </w:r>
            <w:r>
              <w:rPr>
                <w:rFonts w:hint="eastAsia"/>
                <w:sz w:val="24"/>
                <w:highlight w:val="none"/>
              </w:rPr>
              <w:t>m的</w:t>
            </w:r>
            <w:r>
              <w:rPr>
                <w:rFonts w:hint="eastAsia"/>
                <w:sz w:val="24"/>
                <w:highlight w:val="none"/>
                <w:lang w:eastAsia="zh-CN"/>
              </w:rPr>
              <w:t>前山澜庭</w:t>
            </w:r>
            <w:r>
              <w:rPr>
                <w:rFonts w:hint="eastAsia"/>
                <w:sz w:val="24"/>
                <w:highlight w:val="none"/>
              </w:rPr>
              <w:t>。建设项目周围用地概况见附图2。</w:t>
            </w:r>
          </w:p>
          <w:p>
            <w:pPr>
              <w:spacing w:line="360" w:lineRule="auto"/>
              <w:rPr>
                <w:b/>
                <w:bCs/>
                <w:sz w:val="24"/>
                <w:highlight w:val="none"/>
              </w:rPr>
            </w:pPr>
            <w:r>
              <w:rPr>
                <w:b/>
                <w:bCs/>
                <w:sz w:val="24"/>
                <w:highlight w:val="none"/>
              </w:rPr>
              <w:t>8、平面布置</w:t>
            </w:r>
          </w:p>
          <w:p>
            <w:pPr>
              <w:spacing w:line="360" w:lineRule="auto"/>
              <w:ind w:firstLine="480" w:firstLineChars="200"/>
              <w:rPr>
                <w:sz w:val="24"/>
                <w:highlight w:val="none"/>
              </w:rPr>
            </w:pPr>
            <w:r>
              <w:rPr>
                <w:rFonts w:hint="eastAsia"/>
                <w:sz w:val="24"/>
                <w:highlight w:val="none"/>
              </w:rPr>
              <w:t>具体平面布置图见附图3。</w:t>
            </w:r>
          </w:p>
          <w:p>
            <w:pPr>
              <w:spacing w:line="360" w:lineRule="auto"/>
              <w:ind w:firstLine="480" w:firstLineChars="200"/>
              <w:rPr>
                <w:sz w:val="24"/>
                <w:highlight w:val="yellow"/>
              </w:rPr>
            </w:pPr>
          </w:p>
          <w:p>
            <w:pPr>
              <w:spacing w:line="360" w:lineRule="auto"/>
              <w:ind w:firstLine="480" w:firstLineChars="200"/>
              <w:rPr>
                <w:sz w:val="24"/>
                <w:highlight w:val="yellow"/>
              </w:rPr>
            </w:pPr>
          </w:p>
          <w:p>
            <w:pPr>
              <w:rPr>
                <w:sz w:val="24"/>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38" w:hRule="atLeast"/>
          <w:jc w:val="center"/>
        </w:trPr>
        <w:tc>
          <w:tcPr>
            <w:tcW w:w="415" w:type="dxa"/>
            <w:tcBorders>
              <w:top w:val="single" w:color="000000" w:sz="2" w:space="0"/>
            </w:tcBorders>
            <w:vAlign w:val="center"/>
          </w:tcPr>
          <w:p>
            <w:pPr>
              <w:spacing w:line="360" w:lineRule="auto"/>
              <w:jc w:val="center"/>
              <w:rPr>
                <w:sz w:val="24"/>
                <w:highlight w:val="yellow"/>
              </w:rPr>
            </w:pPr>
            <w:r>
              <w:rPr>
                <w:b/>
                <w:bCs/>
                <w:sz w:val="24"/>
                <w:highlight w:val="none"/>
              </w:rPr>
              <w:t>工艺流程和产排污环节</w:t>
            </w:r>
          </w:p>
        </w:tc>
        <w:tc>
          <w:tcPr>
            <w:tcW w:w="8410" w:type="dxa"/>
            <w:tcBorders>
              <w:top w:val="single" w:color="000000" w:sz="2" w:space="0"/>
            </w:tcBorders>
            <w:vAlign w:val="center"/>
          </w:tcPr>
          <w:p>
            <w:pPr>
              <w:snapToGrid w:val="0"/>
              <w:spacing w:line="360" w:lineRule="auto"/>
              <w:ind w:firstLine="480" w:firstLineChars="200"/>
              <w:rPr>
                <w:bCs/>
                <w:sz w:val="24"/>
                <w:highlight w:val="none"/>
              </w:rPr>
            </w:pPr>
            <w:bookmarkStart w:id="5" w:name="_Hlk2760156"/>
            <w:r>
              <w:rPr>
                <w:rFonts w:hint="eastAsia"/>
                <w:bCs/>
                <w:sz w:val="24"/>
                <w:highlight w:val="none"/>
              </w:rPr>
              <w:t>本项目具体流程如下：</w:t>
            </w:r>
          </w:p>
          <w:p>
            <w:pPr>
              <w:snapToGrid w:val="0"/>
              <w:rPr>
                <w:b/>
                <w:bCs/>
                <w:sz w:val="24"/>
                <w:highlight w:val="none"/>
              </w:rPr>
            </w:pPr>
            <w:r>
              <w:rPr>
                <w:b/>
                <w:bCs/>
                <w:sz w:val="24"/>
                <w:highlight w:val="none"/>
              </w:rPr>
              <w:object>
                <v:shape id="_x0000_i1026" o:spt="75" type="#_x0000_t75" style="height:451.5pt;width:254.25pt;" o:ole="t" filled="f" o:preferrelative="t" stroked="f" coordsize="21600,21600">
                  <v:path/>
                  <v:fill on="f" focussize="0,0"/>
                  <v:stroke on="f"/>
                  <v:imagedata r:id="rId12" o:title=""/>
                  <o:lock v:ext="edit" aspectratio="f"/>
                  <w10:wrap type="none"/>
                  <w10:anchorlock/>
                </v:shape>
                <o:OLEObject Type="Embed" ProgID="Visio.Drawing.11" ShapeID="_x0000_i1026" DrawAspect="Content" ObjectID="_1468075726" r:id="rId11">
                  <o:LockedField>false</o:LockedField>
                </o:OLEObject>
              </w:object>
            </w:r>
          </w:p>
          <w:p>
            <w:pPr>
              <w:snapToGrid w:val="0"/>
              <w:ind w:firstLine="198"/>
              <w:jc w:val="center"/>
              <w:rPr>
                <w:b/>
                <w:bCs/>
                <w:sz w:val="24"/>
                <w:highlight w:val="none"/>
              </w:rPr>
            </w:pPr>
            <w:r>
              <w:rPr>
                <w:b/>
                <w:bCs/>
                <w:sz w:val="24"/>
                <w:highlight w:val="none"/>
              </w:rPr>
              <w:t>图</w:t>
            </w:r>
            <w:r>
              <w:rPr>
                <w:rFonts w:hint="eastAsia"/>
                <w:b/>
                <w:bCs/>
                <w:sz w:val="24"/>
                <w:highlight w:val="none"/>
              </w:rPr>
              <w:t>2</w:t>
            </w:r>
            <w:r>
              <w:rPr>
                <w:b/>
                <w:bCs/>
                <w:sz w:val="24"/>
                <w:highlight w:val="none"/>
              </w:rPr>
              <w:t xml:space="preserve">-2  </w:t>
            </w:r>
            <w:r>
              <w:rPr>
                <w:rFonts w:hint="eastAsia"/>
                <w:b/>
                <w:sz w:val="24"/>
                <w:highlight w:val="none"/>
              </w:rPr>
              <w:t>合金类植入零件机加工</w:t>
            </w:r>
            <w:r>
              <w:rPr>
                <w:b/>
                <w:sz w:val="24"/>
                <w:highlight w:val="none"/>
              </w:rPr>
              <w:t>工艺</w:t>
            </w:r>
            <w:r>
              <w:rPr>
                <w:b/>
                <w:bCs/>
                <w:sz w:val="24"/>
                <w:highlight w:val="none"/>
              </w:rPr>
              <w:t>生产工艺流程及产污节点图</w:t>
            </w:r>
          </w:p>
          <w:p>
            <w:pPr>
              <w:snapToGrid w:val="0"/>
              <w:spacing w:line="360" w:lineRule="auto"/>
              <w:ind w:firstLine="482" w:firstLineChars="200"/>
              <w:rPr>
                <w:b/>
                <w:sz w:val="24"/>
                <w:highlight w:val="none"/>
              </w:rPr>
            </w:pPr>
            <w:r>
              <w:rPr>
                <w:rFonts w:hint="eastAsia"/>
                <w:b/>
                <w:sz w:val="24"/>
                <w:highlight w:val="none"/>
              </w:rPr>
              <w:t>合金类植入零件机加工</w:t>
            </w:r>
            <w:r>
              <w:rPr>
                <w:b/>
                <w:sz w:val="24"/>
                <w:highlight w:val="none"/>
              </w:rPr>
              <w:t>工艺流程简述：</w:t>
            </w:r>
          </w:p>
          <w:p>
            <w:pPr>
              <w:adjustRightInd w:val="0"/>
              <w:spacing w:line="360" w:lineRule="auto"/>
              <w:ind w:firstLine="602" w:firstLineChars="250"/>
              <w:textAlignment w:val="baseline"/>
              <w:rPr>
                <w:rFonts w:hint="eastAsia"/>
                <w:sz w:val="24"/>
                <w:highlight w:val="none"/>
              </w:rPr>
            </w:pPr>
            <w:r>
              <w:rPr>
                <w:rFonts w:hint="eastAsia"/>
                <w:b/>
                <w:bCs/>
                <w:sz w:val="24"/>
                <w:highlight w:val="none"/>
                <w:lang w:eastAsia="zh-CN"/>
              </w:rPr>
              <w:t>打</w:t>
            </w:r>
            <w:r>
              <w:rPr>
                <w:rFonts w:hint="eastAsia"/>
                <w:b/>
                <w:bCs/>
                <w:sz w:val="24"/>
                <w:highlight w:val="none"/>
              </w:rPr>
              <w:t>磨</w:t>
            </w:r>
            <w:r>
              <w:rPr>
                <w:rFonts w:hint="eastAsia"/>
                <w:sz w:val="24"/>
                <w:highlight w:val="none"/>
              </w:rPr>
              <w:t>：技术人员将原材料按照标准要求</w:t>
            </w:r>
            <w:r>
              <w:rPr>
                <w:rFonts w:hint="eastAsia"/>
                <w:sz w:val="24"/>
                <w:highlight w:val="none"/>
                <w:lang w:eastAsia="zh-CN"/>
              </w:rPr>
              <w:t>打</w:t>
            </w:r>
            <w:r>
              <w:rPr>
                <w:rFonts w:hint="eastAsia"/>
                <w:sz w:val="24"/>
                <w:highlight w:val="none"/>
              </w:rPr>
              <w:t>磨至需要的外形尺寸，</w:t>
            </w:r>
            <w:r>
              <w:rPr>
                <w:rFonts w:hint="eastAsia"/>
                <w:sz w:val="24"/>
                <w:highlight w:val="none"/>
                <w:lang w:eastAsia="zh-CN"/>
              </w:rPr>
              <w:t>打</w:t>
            </w:r>
            <w:r>
              <w:rPr>
                <w:rFonts w:hint="eastAsia"/>
                <w:sz w:val="24"/>
                <w:highlight w:val="none"/>
              </w:rPr>
              <w:t>磨时砂轮磨损也材料表面被砂轮磨削，</w:t>
            </w:r>
            <w:r>
              <w:rPr>
                <w:rFonts w:hint="eastAsia"/>
                <w:sz w:val="24"/>
                <w:highlight w:val="none"/>
                <w:lang w:eastAsia="zh-CN"/>
              </w:rPr>
              <w:t>此过程</w:t>
            </w:r>
            <w:r>
              <w:rPr>
                <w:rFonts w:hint="eastAsia"/>
                <w:sz w:val="24"/>
                <w:highlight w:val="none"/>
              </w:rPr>
              <w:t>产生颗粒物粉尘</w:t>
            </w:r>
            <w:r>
              <w:rPr>
                <w:rFonts w:hint="eastAsia"/>
                <w:sz w:val="24"/>
                <w:highlight w:val="none"/>
                <w:lang w:val="en-US" w:eastAsia="zh-CN"/>
              </w:rPr>
              <w:t>G1</w:t>
            </w:r>
            <w:r>
              <w:rPr>
                <w:rFonts w:hint="eastAsia"/>
                <w:sz w:val="24"/>
                <w:highlight w:val="none"/>
              </w:rPr>
              <w:t>，大部分会被设备自带的风机吸入粉尘箱。</w:t>
            </w:r>
          </w:p>
          <w:p>
            <w:pPr>
              <w:adjustRightInd w:val="0"/>
              <w:spacing w:line="360" w:lineRule="auto"/>
              <w:ind w:firstLine="602" w:firstLineChars="250"/>
              <w:textAlignment w:val="baseline"/>
              <w:rPr>
                <w:rFonts w:hint="eastAsia"/>
                <w:sz w:val="24"/>
                <w:highlight w:val="none"/>
              </w:rPr>
            </w:pPr>
            <w:r>
              <w:rPr>
                <w:rFonts w:hint="eastAsia"/>
                <w:b/>
                <w:bCs/>
                <w:sz w:val="24"/>
                <w:highlight w:val="none"/>
              </w:rPr>
              <w:t>穿孔</w:t>
            </w:r>
            <w:r>
              <w:rPr>
                <w:rFonts w:hint="eastAsia"/>
                <w:sz w:val="24"/>
                <w:highlight w:val="none"/>
              </w:rPr>
              <w:t>：通过电离反应将材料钻出小孔。期间因为电离反应时会产生一定的温度，需要水来降温，在给工件降温的过程中会产生少量的水蒸气。</w:t>
            </w:r>
          </w:p>
          <w:p>
            <w:pPr>
              <w:adjustRightInd w:val="0"/>
              <w:spacing w:line="360" w:lineRule="auto"/>
              <w:ind w:firstLine="602" w:firstLineChars="250"/>
              <w:textAlignment w:val="baseline"/>
              <w:rPr>
                <w:rFonts w:hint="eastAsia"/>
                <w:sz w:val="24"/>
                <w:highlight w:val="none"/>
              </w:rPr>
            </w:pPr>
            <w:r>
              <w:rPr>
                <w:rFonts w:hint="eastAsia"/>
                <w:b/>
                <w:bCs/>
                <w:sz w:val="24"/>
                <w:highlight w:val="none"/>
              </w:rPr>
              <w:t>慢走丝线切割</w:t>
            </w:r>
            <w:r>
              <w:rPr>
                <w:rFonts w:hint="eastAsia"/>
                <w:sz w:val="24"/>
                <w:highlight w:val="none"/>
              </w:rPr>
              <w:t>：利用铜丝在金属表面产生电离反应将金属切割成需要的形状。在切割过程中使用循环的水为媒介给工件降温和润滑，期间流动的水在敞开的设备中会有少量的蒸发。</w:t>
            </w:r>
          </w:p>
          <w:p>
            <w:pPr>
              <w:adjustRightInd w:val="0"/>
              <w:spacing w:line="360" w:lineRule="auto"/>
              <w:ind w:firstLine="602" w:firstLineChars="250"/>
              <w:textAlignment w:val="baseline"/>
              <w:rPr>
                <w:rFonts w:hint="eastAsia"/>
                <w:sz w:val="24"/>
                <w:highlight w:val="none"/>
              </w:rPr>
            </w:pPr>
            <w:r>
              <w:rPr>
                <w:rFonts w:hint="eastAsia"/>
                <w:b/>
                <w:bCs/>
                <w:sz w:val="24"/>
                <w:highlight w:val="none"/>
              </w:rPr>
              <w:t>CNC数控加工</w:t>
            </w:r>
            <w:r>
              <w:rPr>
                <w:rFonts w:hint="eastAsia"/>
                <w:sz w:val="24"/>
                <w:highlight w:val="none"/>
              </w:rPr>
              <w:t>：设备在设定好的程序下使用刀具切除多余的材料。在加工过程中会使用水溶性切削液给工件、刀具进行降温和润滑，期间会有</w:t>
            </w:r>
            <w:r>
              <w:rPr>
                <w:rFonts w:hint="eastAsia"/>
                <w:sz w:val="24"/>
                <w:highlight w:val="none"/>
                <w:lang w:eastAsia="zh-CN"/>
              </w:rPr>
              <w:t>非甲烷总烃</w:t>
            </w:r>
            <w:r>
              <w:rPr>
                <w:rFonts w:hint="eastAsia"/>
                <w:sz w:val="24"/>
                <w:highlight w:val="none"/>
                <w:lang w:val="en-US" w:eastAsia="zh-CN"/>
              </w:rPr>
              <w:t>G2和废切削液S1</w:t>
            </w:r>
            <w:r>
              <w:rPr>
                <w:rFonts w:hint="eastAsia"/>
                <w:sz w:val="24"/>
                <w:highlight w:val="none"/>
              </w:rPr>
              <w:t>产生。</w:t>
            </w:r>
          </w:p>
          <w:p>
            <w:pPr>
              <w:adjustRightInd w:val="0"/>
              <w:spacing w:line="360" w:lineRule="auto"/>
              <w:ind w:firstLine="602" w:firstLineChars="250"/>
              <w:textAlignment w:val="baseline"/>
              <w:rPr>
                <w:rFonts w:hint="eastAsia"/>
                <w:sz w:val="24"/>
                <w:highlight w:val="none"/>
              </w:rPr>
            </w:pPr>
            <w:r>
              <w:rPr>
                <w:rFonts w:hint="eastAsia"/>
                <w:b/>
                <w:bCs/>
                <w:sz w:val="24"/>
                <w:highlight w:val="none"/>
              </w:rPr>
              <w:t>检验</w:t>
            </w:r>
            <w:r>
              <w:rPr>
                <w:rFonts w:hint="eastAsia"/>
                <w:sz w:val="24"/>
                <w:highlight w:val="none"/>
              </w:rPr>
              <w:t>：人工根据检验要求对产品进行外观和尺寸的检查。</w:t>
            </w:r>
          </w:p>
          <w:p>
            <w:pPr>
              <w:adjustRightInd w:val="0"/>
              <w:spacing w:line="360" w:lineRule="auto"/>
              <w:ind w:firstLine="602" w:firstLineChars="250"/>
              <w:textAlignment w:val="baseline"/>
              <w:rPr>
                <w:rFonts w:hint="eastAsia"/>
                <w:sz w:val="24"/>
                <w:highlight w:val="none"/>
              </w:rPr>
            </w:pPr>
            <w:r>
              <w:rPr>
                <w:rFonts w:hint="eastAsia"/>
                <w:b/>
                <w:bCs/>
                <w:sz w:val="24"/>
                <w:highlight w:val="none"/>
              </w:rPr>
              <w:t>包装入库</w:t>
            </w:r>
            <w:r>
              <w:rPr>
                <w:rFonts w:hint="eastAsia"/>
                <w:sz w:val="24"/>
                <w:highlight w:val="none"/>
              </w:rPr>
              <w:t>：检查合格后将产品按要求包装送入仓库。</w:t>
            </w:r>
          </w:p>
          <w:p>
            <w:pPr>
              <w:pStyle w:val="2"/>
              <w:rPr>
                <w:rFonts w:hint="eastAsia"/>
              </w:rPr>
            </w:pPr>
            <w:r>
              <w:rPr>
                <w:rFonts w:hint="eastAsia"/>
              </w:rPr>
              <w:object>
                <v:shape id="_x0000_i1027" o:spt="75" type="#_x0000_t75" style="height:382.6pt;width:371.1pt;" o:ole="t" filled="f" o:preferrelative="t" stroked="f" coordsize="21600,21600">
                  <v:path/>
                  <v:fill on="f" focussize="0,0"/>
                  <v:stroke on="f"/>
                  <v:imagedata r:id="rId14" o:title=""/>
                  <o:lock v:ext="edit" aspectratio="f"/>
                  <w10:wrap type="none"/>
                  <w10:anchorlock/>
                </v:shape>
                <o:OLEObject Type="Embed" ProgID="Visio.Drawing.11" ShapeID="_x0000_i1027" DrawAspect="Content" ObjectID="_1468075727" r:id="rId13">
                  <o:LockedField>false</o:LockedField>
                </o:OLEObject>
              </w:object>
            </w:r>
          </w:p>
          <w:p>
            <w:pPr>
              <w:adjustRightInd w:val="0"/>
              <w:spacing w:line="360" w:lineRule="auto"/>
              <w:ind w:firstLine="602" w:firstLineChars="250"/>
              <w:textAlignment w:val="baseline"/>
              <w:rPr>
                <w:b/>
                <w:bCs/>
                <w:sz w:val="24"/>
                <w:highlight w:val="yellow"/>
              </w:rPr>
            </w:pPr>
          </w:p>
          <w:p>
            <w:pPr>
              <w:snapToGrid w:val="0"/>
              <w:ind w:firstLine="198"/>
              <w:jc w:val="center"/>
              <w:rPr>
                <w:b/>
                <w:bCs/>
                <w:sz w:val="24"/>
                <w:highlight w:val="none"/>
              </w:rPr>
            </w:pPr>
            <w:r>
              <w:rPr>
                <w:b/>
                <w:bCs/>
                <w:sz w:val="24"/>
                <w:highlight w:val="none"/>
              </w:rPr>
              <w:t>图</w:t>
            </w:r>
            <w:r>
              <w:rPr>
                <w:rFonts w:hint="eastAsia"/>
                <w:b/>
                <w:bCs/>
                <w:sz w:val="24"/>
                <w:highlight w:val="none"/>
              </w:rPr>
              <w:t>2</w:t>
            </w:r>
            <w:r>
              <w:rPr>
                <w:rFonts w:hint="eastAsia"/>
                <w:b/>
                <w:bCs/>
                <w:sz w:val="24"/>
                <w:highlight w:val="none"/>
                <w:lang w:val="en-US" w:eastAsia="zh-CN"/>
              </w:rPr>
              <w:t>-3</w:t>
            </w:r>
            <w:r>
              <w:rPr>
                <w:b/>
                <w:bCs/>
                <w:sz w:val="24"/>
                <w:highlight w:val="none"/>
              </w:rPr>
              <w:t xml:space="preserve">  </w:t>
            </w:r>
            <w:r>
              <w:rPr>
                <w:rFonts w:hint="eastAsia"/>
                <w:b/>
                <w:bCs/>
                <w:sz w:val="24"/>
                <w:highlight w:val="none"/>
              </w:rPr>
              <w:t>塑料制品注塑</w:t>
            </w:r>
            <w:r>
              <w:rPr>
                <w:b/>
                <w:sz w:val="24"/>
                <w:highlight w:val="none"/>
              </w:rPr>
              <w:t>工艺</w:t>
            </w:r>
            <w:r>
              <w:rPr>
                <w:b/>
                <w:bCs/>
                <w:sz w:val="24"/>
                <w:highlight w:val="none"/>
              </w:rPr>
              <w:t>生产工艺流程及产污节点图</w:t>
            </w:r>
          </w:p>
          <w:p>
            <w:pPr>
              <w:snapToGrid w:val="0"/>
              <w:spacing w:line="360" w:lineRule="auto"/>
              <w:ind w:firstLine="482" w:firstLineChars="200"/>
              <w:rPr>
                <w:b/>
                <w:sz w:val="24"/>
                <w:highlight w:val="none"/>
              </w:rPr>
            </w:pPr>
            <w:r>
              <w:rPr>
                <w:rFonts w:hint="eastAsia"/>
                <w:b/>
                <w:bCs/>
                <w:sz w:val="24"/>
                <w:highlight w:val="none"/>
              </w:rPr>
              <w:t>塑料制品注塑</w:t>
            </w:r>
            <w:r>
              <w:rPr>
                <w:b/>
                <w:sz w:val="24"/>
                <w:highlight w:val="none"/>
              </w:rPr>
              <w:t>工艺</w:t>
            </w:r>
            <w:r>
              <w:rPr>
                <w:b/>
                <w:bCs/>
                <w:sz w:val="24"/>
                <w:highlight w:val="none"/>
              </w:rPr>
              <w:t>生产工艺</w:t>
            </w:r>
            <w:r>
              <w:rPr>
                <w:b/>
                <w:sz w:val="24"/>
                <w:highlight w:val="none"/>
              </w:rPr>
              <w:t>流程简述：</w:t>
            </w:r>
          </w:p>
          <w:p>
            <w:pPr>
              <w:adjustRightInd w:val="0"/>
              <w:spacing w:line="360" w:lineRule="auto"/>
              <w:ind w:firstLine="602" w:firstLineChars="250"/>
              <w:textAlignment w:val="baseline"/>
              <w:rPr>
                <w:rFonts w:hint="eastAsia"/>
                <w:sz w:val="24"/>
                <w:highlight w:val="none"/>
              </w:rPr>
            </w:pPr>
            <w:r>
              <w:rPr>
                <w:rFonts w:hint="eastAsia"/>
                <w:b/>
                <w:bCs/>
                <w:sz w:val="24"/>
                <w:highlight w:val="none"/>
              </w:rPr>
              <w:t>上料：</w:t>
            </w:r>
            <w:r>
              <w:rPr>
                <w:rFonts w:hint="eastAsia"/>
                <w:sz w:val="24"/>
                <w:highlight w:val="none"/>
              </w:rPr>
              <w:t>人工将袋装塑料粒子投加至注塑机储料桶中，注塑机自带吸料装置，通过密闭管道将储料桶内的塑料粒子吸入烘料桶，塑料粒子粒径为3～5mm，颗粒大，夹杂细微颗粒极少，因此上料工序无粉尘逸散。</w:t>
            </w:r>
          </w:p>
          <w:p>
            <w:pPr>
              <w:adjustRightInd w:val="0"/>
              <w:spacing w:line="360" w:lineRule="auto"/>
              <w:ind w:firstLine="602" w:firstLineChars="250"/>
              <w:textAlignment w:val="baseline"/>
              <w:rPr>
                <w:rFonts w:hint="eastAsia"/>
                <w:sz w:val="24"/>
                <w:highlight w:val="none"/>
              </w:rPr>
            </w:pPr>
            <w:r>
              <w:rPr>
                <w:rFonts w:hint="eastAsia"/>
                <w:b/>
                <w:bCs/>
                <w:sz w:val="24"/>
                <w:highlight w:val="none"/>
              </w:rPr>
              <w:t>烘料：</w:t>
            </w:r>
            <w:r>
              <w:rPr>
                <w:rFonts w:hint="eastAsia"/>
                <w:sz w:val="24"/>
                <w:highlight w:val="none"/>
              </w:rPr>
              <w:t>通过电加热对塑料粒子进行干燥，用以去除塑料粒子中的水分，干燥过程中有少量水蒸气产生。</w:t>
            </w:r>
          </w:p>
          <w:p>
            <w:pPr>
              <w:adjustRightInd w:val="0"/>
              <w:spacing w:line="360" w:lineRule="auto"/>
              <w:ind w:firstLine="602" w:firstLineChars="250"/>
              <w:textAlignment w:val="baseline"/>
              <w:rPr>
                <w:rFonts w:hint="eastAsia"/>
                <w:sz w:val="24"/>
                <w:highlight w:val="none"/>
              </w:rPr>
            </w:pPr>
            <w:r>
              <w:rPr>
                <w:rFonts w:hint="eastAsia"/>
                <w:b/>
                <w:bCs/>
                <w:sz w:val="24"/>
                <w:highlight w:val="none"/>
              </w:rPr>
              <w:t>加热熔融：</w:t>
            </w:r>
            <w:r>
              <w:rPr>
                <w:rFonts w:hint="eastAsia"/>
                <w:sz w:val="24"/>
                <w:highlight w:val="none"/>
              </w:rPr>
              <w:t>干燥后的塑料粒子进入注塑机螺杆套筒内，在螺杆旋转作用下，通过料筒内壁和螺杆表面摩擦剪切作用向前输送到加料段，在此松散固体向前输送同时被压实，同时在料筒外加热（电加热，加热温度分别为PP粒子200℃左右，ABS粒子200~230℃左右）和螺杆与料筒内壁摩擦剪切的作用下，料温升高开始熔融。塑料粒子熔融时未聚合游离单体随热气挥发产生</w:t>
            </w:r>
            <w:r>
              <w:rPr>
                <w:rFonts w:hint="eastAsia"/>
                <w:sz w:val="24"/>
                <w:highlight w:val="none"/>
                <w:lang w:eastAsia="zh-CN"/>
              </w:rPr>
              <w:t>非甲烷总烃</w:t>
            </w:r>
            <w:r>
              <w:rPr>
                <w:rFonts w:hint="eastAsia"/>
                <w:sz w:val="24"/>
                <w:highlight w:val="none"/>
                <w:lang w:val="en-US" w:eastAsia="zh-CN"/>
              </w:rPr>
              <w:t>G3、苯乙烯G4、丙烯腈G5</w:t>
            </w:r>
            <w:r>
              <w:rPr>
                <w:rFonts w:hint="eastAsia"/>
                <w:sz w:val="24"/>
                <w:highlight w:val="none"/>
              </w:rPr>
              <w:t>。</w:t>
            </w:r>
          </w:p>
          <w:p>
            <w:pPr>
              <w:adjustRightInd w:val="0"/>
              <w:spacing w:line="360" w:lineRule="auto"/>
              <w:ind w:firstLine="602" w:firstLineChars="250"/>
              <w:textAlignment w:val="baseline"/>
              <w:rPr>
                <w:rFonts w:hint="eastAsia"/>
                <w:sz w:val="24"/>
                <w:highlight w:val="none"/>
              </w:rPr>
            </w:pPr>
            <w:r>
              <w:rPr>
                <w:rFonts w:hint="eastAsia"/>
                <w:b/>
                <w:bCs/>
                <w:sz w:val="24"/>
                <w:highlight w:val="none"/>
              </w:rPr>
              <w:t>注塑成型：</w:t>
            </w:r>
            <w:r>
              <w:rPr>
                <w:rFonts w:hint="eastAsia"/>
                <w:sz w:val="24"/>
                <w:highlight w:val="none"/>
              </w:rPr>
              <w:t>塑化后的熔融态塑料经多孔滤板沿一定的</w:t>
            </w:r>
            <w:r>
              <w:rPr>
                <w:rFonts w:hint="eastAsia"/>
                <w:sz w:val="24"/>
                <w:highlight w:val="none"/>
              </w:rPr>
              <w:fldChar w:fldCharType="begin"/>
            </w:r>
            <w:r>
              <w:rPr>
                <w:rFonts w:hint="eastAsia"/>
                <w:sz w:val="24"/>
                <w:highlight w:val="none"/>
              </w:rPr>
              <w:instrText xml:space="preserve"> HYPERLINK "http://baike.baidu.com/view/1172621.htm" \t "http://baike.baidu.com/view/_blank" </w:instrText>
            </w:r>
            <w:r>
              <w:rPr>
                <w:rFonts w:hint="eastAsia"/>
                <w:sz w:val="24"/>
                <w:highlight w:val="none"/>
              </w:rPr>
              <w:fldChar w:fldCharType="separate"/>
            </w:r>
            <w:r>
              <w:rPr>
                <w:rFonts w:hint="eastAsia"/>
                <w:sz w:val="24"/>
                <w:highlight w:val="none"/>
              </w:rPr>
              <w:t>流道</w:t>
            </w:r>
            <w:r>
              <w:rPr>
                <w:rFonts w:hint="eastAsia"/>
                <w:sz w:val="24"/>
                <w:highlight w:val="none"/>
              </w:rPr>
              <w:fldChar w:fldCharType="end"/>
            </w:r>
            <w:r>
              <w:rPr>
                <w:rFonts w:hint="eastAsia"/>
                <w:sz w:val="24"/>
                <w:highlight w:val="none"/>
              </w:rPr>
              <w:t>通过机头流入机头配套的</w:t>
            </w:r>
            <w:r>
              <w:rPr>
                <w:rFonts w:hint="eastAsia"/>
                <w:sz w:val="24"/>
                <w:highlight w:val="none"/>
              </w:rPr>
              <w:fldChar w:fldCharType="begin"/>
            </w:r>
            <w:r>
              <w:rPr>
                <w:rFonts w:hint="eastAsia"/>
                <w:sz w:val="24"/>
                <w:highlight w:val="none"/>
              </w:rPr>
              <w:instrText xml:space="preserve"> HYPERLINK "http://baike.baidu.com/view/4256198.htm" \t "http://baike.baidu.com/view/_blank" </w:instrText>
            </w:r>
            <w:r>
              <w:rPr>
                <w:rFonts w:hint="eastAsia"/>
                <w:sz w:val="24"/>
                <w:highlight w:val="none"/>
              </w:rPr>
              <w:fldChar w:fldCharType="separate"/>
            </w:r>
            <w:r>
              <w:rPr>
                <w:rFonts w:hint="eastAsia"/>
                <w:sz w:val="24"/>
                <w:highlight w:val="none"/>
              </w:rPr>
              <w:t>成型模具</w:t>
            </w:r>
            <w:r>
              <w:rPr>
                <w:rFonts w:hint="eastAsia"/>
                <w:sz w:val="24"/>
                <w:highlight w:val="none"/>
              </w:rPr>
              <w:fldChar w:fldCharType="end"/>
            </w:r>
            <w:r>
              <w:rPr>
                <w:rFonts w:hint="eastAsia"/>
                <w:sz w:val="24"/>
                <w:highlight w:val="none"/>
              </w:rPr>
              <w:t>，模具适当配合，经过模具挤出塑料件。注射机加热机筒至模具全程密闭，无熔融塑胶的外溅。</w:t>
            </w:r>
          </w:p>
          <w:p>
            <w:pPr>
              <w:adjustRightInd w:val="0"/>
              <w:spacing w:line="360" w:lineRule="auto"/>
              <w:ind w:firstLine="602" w:firstLineChars="250"/>
              <w:textAlignment w:val="baseline"/>
              <w:rPr>
                <w:rFonts w:hint="eastAsia"/>
                <w:sz w:val="24"/>
                <w:highlight w:val="none"/>
              </w:rPr>
            </w:pPr>
            <w:r>
              <w:rPr>
                <w:rFonts w:hint="eastAsia"/>
                <w:b/>
                <w:bCs/>
                <w:sz w:val="24"/>
                <w:highlight w:val="none"/>
              </w:rPr>
              <w:t>冷却脱模：</w:t>
            </w:r>
            <w:r>
              <w:rPr>
                <w:rFonts w:hint="eastAsia"/>
                <w:sz w:val="24"/>
                <w:highlight w:val="none"/>
              </w:rPr>
              <w:t>模具上有冷却孔，可以通过冷却水使模具降温，从而使模具内的熔融塑料成型固化，采用间接水冷方式，冷却水循环使用，定期排放，</w:t>
            </w:r>
            <w:r>
              <w:rPr>
                <w:rFonts w:hint="eastAsia"/>
                <w:sz w:val="24"/>
                <w:highlight w:val="none"/>
                <w:lang w:eastAsia="zh-CN"/>
              </w:rPr>
              <w:t>此过程</w:t>
            </w:r>
            <w:r>
              <w:rPr>
                <w:rFonts w:hint="eastAsia"/>
                <w:sz w:val="24"/>
                <w:highlight w:val="none"/>
              </w:rPr>
              <w:t>产生冷却废水W1。冷却后，打开模具，成型机上顶出装置将杆顶出，推出塑料件，此产品即为塑料电器外壳。</w:t>
            </w:r>
          </w:p>
          <w:p>
            <w:pPr>
              <w:adjustRightInd w:val="0"/>
              <w:spacing w:line="360" w:lineRule="auto"/>
              <w:ind w:firstLine="602" w:firstLineChars="250"/>
              <w:textAlignment w:val="baseline"/>
              <w:rPr>
                <w:rFonts w:hint="eastAsia"/>
                <w:sz w:val="24"/>
                <w:highlight w:val="none"/>
                <w:lang w:val="en-US" w:eastAsia="zh-CN"/>
              </w:rPr>
            </w:pPr>
            <w:r>
              <w:rPr>
                <w:rFonts w:hint="eastAsia"/>
                <w:b/>
                <w:bCs/>
                <w:sz w:val="24"/>
                <w:highlight w:val="none"/>
                <w:lang w:val="en-US" w:eastAsia="zh-CN"/>
              </w:rPr>
              <w:t>检验修毛刺：</w:t>
            </w:r>
            <w:r>
              <w:rPr>
                <w:rFonts w:hint="eastAsia"/>
                <w:sz w:val="24"/>
                <w:highlight w:val="none"/>
                <w:lang w:val="en-US" w:eastAsia="zh-CN"/>
              </w:rPr>
              <w:t>脱模后对塑料件进行检验修毛刺。此工序产生的不合格品能粉碎成颗粒后用作原材料的则粉碎后回用，不能的则作为塑料废料S1外售处理，粉碎过程产生少量</w:t>
            </w:r>
            <w:r>
              <w:rPr>
                <w:rFonts w:hint="eastAsia"/>
                <w:sz w:val="24"/>
                <w:highlight w:val="none"/>
                <w:lang w:eastAsia="zh-CN"/>
              </w:rPr>
              <w:t>颗粒物</w:t>
            </w:r>
            <w:r>
              <w:rPr>
                <w:rFonts w:hint="eastAsia"/>
                <w:sz w:val="24"/>
                <w:highlight w:val="none"/>
                <w:lang w:val="en-US" w:eastAsia="zh-CN"/>
              </w:rPr>
              <w:t>粉尘G6。</w:t>
            </w:r>
          </w:p>
          <w:p>
            <w:pPr>
              <w:adjustRightInd w:val="0"/>
              <w:spacing w:line="360" w:lineRule="auto"/>
              <w:ind w:firstLine="602" w:firstLineChars="250"/>
              <w:textAlignment w:val="baseline"/>
              <w:rPr>
                <w:rFonts w:hint="default"/>
                <w:sz w:val="24"/>
                <w:highlight w:val="none"/>
                <w:lang w:val="en-US" w:eastAsia="zh-CN"/>
              </w:rPr>
            </w:pPr>
            <w:r>
              <w:rPr>
                <w:rFonts w:hint="eastAsia"/>
                <w:b/>
                <w:bCs/>
                <w:sz w:val="24"/>
                <w:highlight w:val="none"/>
                <w:lang w:val="en-US" w:eastAsia="zh-CN"/>
              </w:rPr>
              <w:t>印刷：</w:t>
            </w:r>
            <w:r>
              <w:rPr>
                <w:rFonts w:hint="eastAsia"/>
                <w:sz w:val="24"/>
                <w:highlight w:val="none"/>
                <w:lang w:val="en-US" w:eastAsia="zh-CN"/>
              </w:rPr>
              <w:t>将修过毛刺之后的塑料件表面通过印刷机进行表面印刷，该过程产生印刷废气G7和废油墨S2。</w:t>
            </w:r>
          </w:p>
          <w:p>
            <w:pPr>
              <w:adjustRightInd w:val="0"/>
              <w:spacing w:line="360" w:lineRule="auto"/>
              <w:ind w:firstLine="602" w:firstLineChars="250"/>
              <w:textAlignment w:val="baseline"/>
              <w:rPr>
                <w:rFonts w:hint="eastAsia"/>
                <w:sz w:val="24"/>
                <w:highlight w:val="none"/>
              </w:rPr>
            </w:pPr>
            <w:r>
              <w:rPr>
                <w:rFonts w:hint="eastAsia"/>
                <w:b/>
                <w:bCs/>
                <w:sz w:val="24"/>
                <w:highlight w:val="none"/>
              </w:rPr>
              <w:t>组装：</w:t>
            </w:r>
            <w:r>
              <w:rPr>
                <w:rFonts w:hint="eastAsia"/>
                <w:sz w:val="24"/>
                <w:highlight w:val="none"/>
              </w:rPr>
              <w:t>按照需要选取合适的零配件跟塑料电器外壳进行组装，使之成为最终的吸尘器和空气净化器产品。</w:t>
            </w:r>
          </w:p>
          <w:p>
            <w:pPr>
              <w:adjustRightInd w:val="0"/>
              <w:spacing w:line="360" w:lineRule="auto"/>
              <w:ind w:firstLine="602" w:firstLineChars="250"/>
              <w:textAlignment w:val="baseline"/>
              <w:rPr>
                <w:rFonts w:hint="eastAsia"/>
                <w:sz w:val="24"/>
                <w:highlight w:val="none"/>
              </w:rPr>
            </w:pPr>
            <w:r>
              <w:rPr>
                <w:rFonts w:hint="eastAsia"/>
                <w:b/>
                <w:bCs/>
                <w:sz w:val="24"/>
                <w:highlight w:val="none"/>
              </w:rPr>
              <w:t>包装入库：</w:t>
            </w:r>
            <w:r>
              <w:rPr>
                <w:rFonts w:hint="eastAsia"/>
                <w:sz w:val="24"/>
                <w:highlight w:val="none"/>
              </w:rPr>
              <w:t>产品经包装后送入成品仓库待售。</w:t>
            </w:r>
          </w:p>
          <w:p>
            <w:pPr>
              <w:pStyle w:val="2"/>
            </w:pPr>
            <w:r>
              <w:object>
                <v:shape id="_x0000_i1028" o:spt="75" type="#_x0000_t75" style="height:487.1pt;width:357.45pt;" o:ole="t" filled="f" o:preferrelative="t" stroked="f" coordsize="21600,21600">
                  <v:path/>
                  <v:fill on="f" focussize="0,0"/>
                  <v:stroke on="f"/>
                  <v:imagedata r:id="rId16" o:title=""/>
                  <o:lock v:ext="edit" aspectratio="f"/>
                  <w10:wrap type="none"/>
                  <w10:anchorlock/>
                </v:shape>
                <o:OLEObject Type="Embed" ProgID="Visio.Drawing.11" ShapeID="_x0000_i1028" DrawAspect="Content" ObjectID="_1468075728" r:id="rId15">
                  <o:LockedField>false</o:LockedField>
                </o:OLEObject>
              </w:object>
            </w:r>
          </w:p>
          <w:p>
            <w:pPr>
              <w:jc w:val="center"/>
            </w:pPr>
            <w:r>
              <w:rPr>
                <w:b/>
                <w:bCs/>
                <w:sz w:val="24"/>
                <w:highlight w:val="none"/>
              </w:rPr>
              <w:t>图</w:t>
            </w:r>
            <w:r>
              <w:rPr>
                <w:rFonts w:hint="eastAsia"/>
                <w:b/>
                <w:bCs/>
                <w:sz w:val="24"/>
                <w:highlight w:val="none"/>
              </w:rPr>
              <w:t>2</w:t>
            </w:r>
            <w:r>
              <w:rPr>
                <w:rFonts w:hint="eastAsia"/>
                <w:b/>
                <w:bCs/>
                <w:sz w:val="24"/>
                <w:highlight w:val="none"/>
                <w:lang w:val="en-US" w:eastAsia="zh-CN"/>
              </w:rPr>
              <w:t>-4</w:t>
            </w:r>
            <w:r>
              <w:rPr>
                <w:b/>
                <w:bCs/>
                <w:sz w:val="24"/>
                <w:highlight w:val="none"/>
              </w:rPr>
              <w:t xml:space="preserve">  </w:t>
            </w:r>
            <w:r>
              <w:rPr>
                <w:rFonts w:hint="eastAsia"/>
                <w:b/>
                <w:bCs/>
                <w:sz w:val="24"/>
                <w:highlight w:val="none"/>
              </w:rPr>
              <w:t>液态硅胶注塑</w:t>
            </w:r>
            <w:r>
              <w:rPr>
                <w:b/>
                <w:sz w:val="24"/>
                <w:highlight w:val="none"/>
              </w:rPr>
              <w:t>工艺</w:t>
            </w:r>
            <w:r>
              <w:rPr>
                <w:b/>
                <w:bCs/>
                <w:sz w:val="24"/>
                <w:highlight w:val="none"/>
              </w:rPr>
              <w:t>生产工艺流程及产污节点图</w:t>
            </w:r>
          </w:p>
          <w:p>
            <w:pPr>
              <w:snapToGrid w:val="0"/>
              <w:spacing w:line="360" w:lineRule="auto"/>
              <w:ind w:firstLine="482" w:firstLineChars="200"/>
              <w:rPr>
                <w:b/>
                <w:sz w:val="24"/>
                <w:highlight w:val="none"/>
              </w:rPr>
            </w:pPr>
            <w:r>
              <w:rPr>
                <w:rFonts w:hint="eastAsia"/>
                <w:b/>
                <w:bCs/>
                <w:sz w:val="24"/>
                <w:highlight w:val="none"/>
              </w:rPr>
              <w:t>液态硅胶注塑</w:t>
            </w:r>
            <w:r>
              <w:rPr>
                <w:b/>
                <w:sz w:val="24"/>
                <w:highlight w:val="none"/>
              </w:rPr>
              <w:t>工艺</w:t>
            </w:r>
            <w:r>
              <w:rPr>
                <w:b/>
                <w:bCs/>
                <w:sz w:val="24"/>
                <w:highlight w:val="none"/>
              </w:rPr>
              <w:t>生产工艺</w:t>
            </w:r>
            <w:r>
              <w:rPr>
                <w:b/>
                <w:sz w:val="24"/>
                <w:highlight w:val="none"/>
              </w:rPr>
              <w:t>流程简述：</w:t>
            </w:r>
          </w:p>
          <w:p>
            <w:pPr>
              <w:adjustRightInd w:val="0"/>
              <w:spacing w:line="360" w:lineRule="auto"/>
              <w:ind w:firstLine="602" w:firstLineChars="250"/>
              <w:textAlignment w:val="baseline"/>
              <w:rPr>
                <w:rFonts w:hint="eastAsia"/>
                <w:sz w:val="24"/>
                <w:highlight w:val="none"/>
                <w:lang w:val="en-US" w:eastAsia="zh-CN"/>
              </w:rPr>
            </w:pPr>
            <w:r>
              <w:rPr>
                <w:rFonts w:hint="eastAsia"/>
                <w:b/>
                <w:bCs/>
                <w:sz w:val="24"/>
                <w:highlight w:val="none"/>
                <w:lang w:val="en-US" w:eastAsia="zh-CN"/>
              </w:rPr>
              <w:t>上料：</w:t>
            </w:r>
            <w:r>
              <w:rPr>
                <w:rFonts w:hint="eastAsia"/>
                <w:sz w:val="24"/>
                <w:highlight w:val="none"/>
                <w:lang w:val="en-US" w:eastAsia="zh-CN"/>
              </w:rPr>
              <w:t>人工A、B双组份的有机液态硅筒按要求安放到专用上料机上，调整位置将上料机的压盘压入原材料桶中，设置好上料机，使其能够自动将硅胶通过密闭管道送到下一步。</w:t>
            </w:r>
          </w:p>
          <w:p>
            <w:pPr>
              <w:adjustRightInd w:val="0"/>
              <w:spacing w:line="360" w:lineRule="auto"/>
              <w:ind w:firstLine="602" w:firstLineChars="250"/>
              <w:textAlignment w:val="baseline"/>
              <w:rPr>
                <w:rFonts w:hint="eastAsia"/>
                <w:sz w:val="24"/>
                <w:highlight w:val="none"/>
                <w:lang w:val="en-US" w:eastAsia="zh-CN"/>
              </w:rPr>
            </w:pPr>
            <w:r>
              <w:rPr>
                <w:rFonts w:hint="eastAsia"/>
                <w:b/>
                <w:bCs/>
                <w:sz w:val="24"/>
                <w:highlight w:val="none"/>
                <w:lang w:val="en-US" w:eastAsia="zh-CN"/>
              </w:rPr>
              <w:t>混合拌料：</w:t>
            </w:r>
            <w:r>
              <w:rPr>
                <w:rFonts w:hint="eastAsia"/>
                <w:sz w:val="24"/>
                <w:highlight w:val="none"/>
                <w:lang w:val="en-US" w:eastAsia="zh-CN"/>
              </w:rPr>
              <w:t>双组份的液态硅胶经过管道压力的作用到达静态混合器充分被搅拌均匀，后流入注塑机炮筒入料口。</w:t>
            </w:r>
          </w:p>
          <w:p>
            <w:pPr>
              <w:adjustRightInd w:val="0"/>
              <w:spacing w:line="360" w:lineRule="auto"/>
              <w:ind w:firstLine="602" w:firstLineChars="250"/>
              <w:textAlignment w:val="baseline"/>
              <w:rPr>
                <w:rFonts w:hint="default"/>
                <w:sz w:val="24"/>
                <w:highlight w:val="none"/>
                <w:lang w:val="en-US" w:eastAsia="zh-CN"/>
              </w:rPr>
            </w:pPr>
            <w:r>
              <w:rPr>
                <w:rFonts w:hint="eastAsia"/>
                <w:b/>
                <w:bCs/>
                <w:sz w:val="24"/>
                <w:highlight w:val="none"/>
                <w:lang w:val="en-US" w:eastAsia="zh-CN"/>
              </w:rPr>
              <w:t>注塑：</w:t>
            </w:r>
            <w:r>
              <w:rPr>
                <w:rFonts w:hint="eastAsia"/>
                <w:sz w:val="24"/>
                <w:highlight w:val="none"/>
                <w:lang w:val="en-US" w:eastAsia="zh-CN"/>
              </w:rPr>
              <w:t>注塑机通过程序控制将流入的AB混合胶注塑进模具型腔内，此过程需要进行冷却循环，此过程产生冷却废水W1。</w:t>
            </w:r>
          </w:p>
          <w:p>
            <w:pPr>
              <w:adjustRightInd w:val="0"/>
              <w:spacing w:line="360" w:lineRule="auto"/>
              <w:ind w:firstLine="602" w:firstLineChars="250"/>
              <w:textAlignment w:val="baseline"/>
              <w:rPr>
                <w:rFonts w:hint="default"/>
                <w:sz w:val="24"/>
                <w:highlight w:val="none"/>
                <w:lang w:val="en-US" w:eastAsia="zh-CN"/>
              </w:rPr>
            </w:pPr>
            <w:r>
              <w:rPr>
                <w:rFonts w:hint="eastAsia"/>
                <w:b/>
                <w:bCs/>
                <w:sz w:val="24"/>
                <w:highlight w:val="none"/>
                <w:lang w:val="en-US" w:eastAsia="zh-CN"/>
              </w:rPr>
              <w:t>模内硫化定型：</w:t>
            </w:r>
            <w:r>
              <w:rPr>
                <w:rFonts w:hint="eastAsia"/>
                <w:sz w:val="24"/>
                <w:highlight w:val="none"/>
                <w:lang w:val="en-US" w:eastAsia="zh-CN"/>
              </w:rPr>
              <w:t>混合后的液态硅原料在高温条件下铂金硫化剂产生反应，液态的硅原料经过硫化反应后定型变成固态，此过程产生非甲烷总烃G8。</w:t>
            </w:r>
          </w:p>
          <w:p>
            <w:pPr>
              <w:adjustRightInd w:val="0"/>
              <w:spacing w:line="360" w:lineRule="auto"/>
              <w:ind w:firstLine="602" w:firstLineChars="250"/>
              <w:textAlignment w:val="baseline"/>
              <w:rPr>
                <w:rFonts w:hint="eastAsia"/>
                <w:sz w:val="24"/>
                <w:highlight w:val="none"/>
                <w:lang w:val="en-US" w:eastAsia="zh-CN"/>
              </w:rPr>
            </w:pPr>
            <w:r>
              <w:rPr>
                <w:rFonts w:hint="eastAsia"/>
                <w:b/>
                <w:bCs/>
                <w:sz w:val="24"/>
                <w:highlight w:val="none"/>
                <w:lang w:val="en-US" w:eastAsia="zh-CN"/>
              </w:rPr>
              <w:t>脱模：</w:t>
            </w:r>
            <w:r>
              <w:rPr>
                <w:rFonts w:hint="eastAsia"/>
                <w:sz w:val="24"/>
                <w:highlight w:val="none"/>
                <w:lang w:val="en-US" w:eastAsia="zh-CN"/>
              </w:rPr>
              <w:t>注塑机控制将模具打开，定型后的硅胶产品出模。</w:t>
            </w:r>
          </w:p>
          <w:p>
            <w:pPr>
              <w:adjustRightInd w:val="0"/>
              <w:spacing w:line="360" w:lineRule="auto"/>
              <w:ind w:firstLine="602" w:firstLineChars="250"/>
              <w:textAlignment w:val="baseline"/>
              <w:rPr>
                <w:rFonts w:hint="eastAsia"/>
                <w:sz w:val="24"/>
                <w:highlight w:val="none"/>
                <w:lang w:val="en-US" w:eastAsia="zh-CN"/>
              </w:rPr>
            </w:pPr>
            <w:r>
              <w:rPr>
                <w:rFonts w:hint="eastAsia"/>
                <w:b/>
                <w:bCs/>
                <w:sz w:val="24"/>
                <w:highlight w:val="none"/>
                <w:lang w:val="en-US" w:eastAsia="zh-CN"/>
              </w:rPr>
              <w:t>检验：</w:t>
            </w:r>
            <w:r>
              <w:rPr>
                <w:rFonts w:hint="eastAsia"/>
                <w:sz w:val="24"/>
                <w:highlight w:val="none"/>
                <w:lang w:val="en-US" w:eastAsia="zh-CN"/>
              </w:rPr>
              <w:t>检查合格后将产品按要求包装送入仓库。</w:t>
            </w:r>
          </w:p>
          <w:p>
            <w:pPr>
              <w:adjustRightInd w:val="0"/>
              <w:spacing w:line="360" w:lineRule="auto"/>
              <w:ind w:firstLine="482" w:firstLineChars="200"/>
              <w:textAlignment w:val="baseline"/>
              <w:rPr>
                <w:b/>
                <w:bCs/>
                <w:sz w:val="24"/>
                <w:highlight w:val="none"/>
              </w:rPr>
            </w:pPr>
            <w:r>
              <w:rPr>
                <w:b/>
                <w:bCs/>
                <w:sz w:val="24"/>
                <w:highlight w:val="none"/>
              </w:rPr>
              <w:t>产污工序：</w:t>
            </w:r>
          </w:p>
          <w:p>
            <w:pPr>
              <w:adjustRightInd w:val="0"/>
              <w:spacing w:line="360" w:lineRule="auto"/>
              <w:ind w:firstLine="482" w:firstLineChars="200"/>
              <w:textAlignment w:val="baseline"/>
              <w:rPr>
                <w:b/>
                <w:sz w:val="24"/>
                <w:highlight w:val="none"/>
              </w:rPr>
            </w:pPr>
            <w:r>
              <w:rPr>
                <w:b/>
                <w:sz w:val="24"/>
                <w:highlight w:val="none"/>
              </w:rPr>
              <w:t>废气：</w:t>
            </w:r>
          </w:p>
          <w:p>
            <w:pPr>
              <w:adjustRightInd w:val="0"/>
              <w:spacing w:line="360" w:lineRule="auto"/>
              <w:ind w:firstLine="602" w:firstLineChars="250"/>
              <w:textAlignment w:val="baseline"/>
              <w:rPr>
                <w:rFonts w:hint="eastAsia"/>
                <w:b/>
                <w:bCs/>
                <w:sz w:val="24"/>
                <w:highlight w:val="none"/>
                <w:lang w:val="en-US" w:eastAsia="zh-CN"/>
              </w:rPr>
            </w:pPr>
            <w:r>
              <w:rPr>
                <w:rFonts w:hint="eastAsia"/>
                <w:b/>
                <w:bCs/>
                <w:sz w:val="24"/>
                <w:highlight w:val="none"/>
                <w:lang w:val="en-US" w:eastAsia="zh-CN"/>
              </w:rPr>
              <w:t>1.合金类植入零件机加工工艺：</w:t>
            </w:r>
          </w:p>
          <w:p>
            <w:pPr>
              <w:adjustRightInd w:val="0"/>
              <w:spacing w:line="360" w:lineRule="auto"/>
              <w:ind w:firstLine="600" w:firstLineChars="250"/>
              <w:textAlignment w:val="baseline"/>
              <w:rPr>
                <w:rFonts w:hint="eastAsia"/>
                <w:sz w:val="24"/>
                <w:highlight w:val="none"/>
                <w:lang w:val="en-US" w:eastAsia="zh-CN"/>
              </w:rPr>
            </w:pPr>
            <w:r>
              <w:rPr>
                <w:rFonts w:hint="eastAsia"/>
                <w:sz w:val="24"/>
                <w:highlight w:val="none"/>
                <w:lang w:val="en-US" w:eastAsia="zh-CN"/>
              </w:rPr>
              <w:t>①．研磨过程产生颗粒物粉尘G1。</w:t>
            </w:r>
          </w:p>
          <w:p>
            <w:pPr>
              <w:adjustRightInd w:val="0"/>
              <w:spacing w:line="360" w:lineRule="auto"/>
              <w:ind w:firstLine="600" w:firstLineChars="250"/>
              <w:textAlignment w:val="baseline"/>
              <w:rPr>
                <w:rFonts w:hint="eastAsia"/>
                <w:sz w:val="24"/>
                <w:highlight w:val="none"/>
                <w:lang w:val="en-US" w:eastAsia="zh-CN"/>
              </w:rPr>
            </w:pPr>
            <w:r>
              <w:rPr>
                <w:rFonts w:hint="eastAsia"/>
                <w:sz w:val="24"/>
                <w:highlight w:val="none"/>
                <w:lang w:val="en-US" w:eastAsia="zh-CN"/>
              </w:rPr>
              <w:t>②．CNC数控加工产生非甲烷总烃G2。</w:t>
            </w:r>
          </w:p>
          <w:p>
            <w:pPr>
              <w:adjustRightInd w:val="0"/>
              <w:spacing w:line="360" w:lineRule="auto"/>
              <w:ind w:firstLine="602" w:firstLineChars="250"/>
              <w:textAlignment w:val="baseline"/>
              <w:rPr>
                <w:rFonts w:hint="eastAsia"/>
                <w:b/>
                <w:bCs/>
                <w:sz w:val="24"/>
                <w:highlight w:val="none"/>
                <w:lang w:val="en-US" w:eastAsia="zh-CN"/>
              </w:rPr>
            </w:pPr>
            <w:r>
              <w:rPr>
                <w:rFonts w:hint="eastAsia"/>
                <w:b/>
                <w:bCs/>
                <w:sz w:val="24"/>
                <w:highlight w:val="none"/>
                <w:lang w:val="en-US" w:eastAsia="zh-CN"/>
              </w:rPr>
              <w:t>2.塑料制品注塑工艺：</w:t>
            </w:r>
          </w:p>
          <w:p>
            <w:pPr>
              <w:adjustRightInd w:val="0"/>
              <w:spacing w:line="360" w:lineRule="auto"/>
              <w:ind w:firstLine="600" w:firstLineChars="250"/>
              <w:textAlignment w:val="baseline"/>
              <w:rPr>
                <w:rFonts w:hint="eastAsia"/>
                <w:sz w:val="24"/>
                <w:highlight w:val="none"/>
                <w:lang w:val="en-US" w:eastAsia="zh-CN"/>
              </w:rPr>
            </w:pPr>
            <w:r>
              <w:rPr>
                <w:rFonts w:hint="eastAsia"/>
                <w:sz w:val="24"/>
                <w:highlight w:val="none"/>
                <w:lang w:val="en-US" w:eastAsia="zh-CN"/>
              </w:rPr>
              <w:t>①．加热熔融过程产生非甲烷总烃G3，苯乙烯G4，丙烯腈G5。</w:t>
            </w:r>
          </w:p>
          <w:p>
            <w:pPr>
              <w:adjustRightInd w:val="0"/>
              <w:spacing w:line="360" w:lineRule="auto"/>
              <w:ind w:firstLine="600" w:firstLineChars="250"/>
              <w:textAlignment w:val="baseline"/>
              <w:rPr>
                <w:rFonts w:hint="eastAsia"/>
                <w:sz w:val="24"/>
                <w:highlight w:val="none"/>
                <w:lang w:val="en-US" w:eastAsia="zh-CN"/>
              </w:rPr>
            </w:pPr>
            <w:r>
              <w:rPr>
                <w:rFonts w:hint="eastAsia"/>
                <w:sz w:val="24"/>
                <w:highlight w:val="none"/>
                <w:lang w:val="en-US" w:eastAsia="zh-CN"/>
              </w:rPr>
              <w:t>②．不合格品粉碎过程产生少量颗粒物粉尘G6。</w:t>
            </w:r>
          </w:p>
          <w:p>
            <w:pPr>
              <w:adjustRightInd w:val="0"/>
              <w:spacing w:line="360" w:lineRule="auto"/>
              <w:ind w:firstLine="600" w:firstLineChars="250"/>
              <w:textAlignment w:val="baseline"/>
              <w:rPr>
                <w:rFonts w:hint="eastAsia"/>
                <w:sz w:val="24"/>
                <w:highlight w:val="none"/>
                <w:lang w:val="en-US" w:eastAsia="zh-CN"/>
              </w:rPr>
            </w:pPr>
            <w:r>
              <w:rPr>
                <w:rFonts w:hint="eastAsia"/>
                <w:sz w:val="24"/>
                <w:highlight w:val="none"/>
                <w:lang w:val="en-US" w:eastAsia="zh-CN"/>
              </w:rPr>
              <w:t>③．印刷过程产生非甲烷总烃G7。</w:t>
            </w:r>
          </w:p>
          <w:p>
            <w:pPr>
              <w:adjustRightInd w:val="0"/>
              <w:spacing w:line="360" w:lineRule="auto"/>
              <w:ind w:firstLine="602" w:firstLineChars="250"/>
              <w:textAlignment w:val="baseline"/>
              <w:rPr>
                <w:rFonts w:hint="eastAsia"/>
                <w:sz w:val="24"/>
                <w:highlight w:val="none"/>
                <w:lang w:val="en-US" w:eastAsia="zh-CN"/>
              </w:rPr>
            </w:pPr>
            <w:r>
              <w:rPr>
                <w:rFonts w:hint="eastAsia"/>
                <w:b/>
                <w:bCs/>
                <w:sz w:val="24"/>
                <w:highlight w:val="none"/>
                <w:lang w:val="en-US" w:eastAsia="zh-CN"/>
              </w:rPr>
              <w:t>3.液态硅胶注塑工艺：</w:t>
            </w:r>
          </w:p>
          <w:p>
            <w:pPr>
              <w:adjustRightInd w:val="0"/>
              <w:spacing w:line="360" w:lineRule="auto"/>
              <w:ind w:firstLine="600" w:firstLineChars="250"/>
              <w:textAlignment w:val="baseline"/>
              <w:rPr>
                <w:rFonts w:hint="eastAsia"/>
                <w:sz w:val="24"/>
                <w:highlight w:val="none"/>
                <w:lang w:val="en-US" w:eastAsia="zh-CN"/>
              </w:rPr>
            </w:pPr>
            <w:r>
              <w:rPr>
                <w:rFonts w:hint="eastAsia"/>
                <w:sz w:val="24"/>
                <w:highlight w:val="none"/>
                <w:lang w:val="en-US" w:eastAsia="zh-CN"/>
              </w:rPr>
              <w:t>①．模内硫化定型产生非甲烷总烃G8。</w:t>
            </w:r>
          </w:p>
          <w:p>
            <w:pPr>
              <w:adjustRightInd w:val="0"/>
              <w:spacing w:line="360" w:lineRule="auto"/>
              <w:ind w:firstLine="602" w:firstLineChars="250"/>
              <w:textAlignment w:val="baseline"/>
              <w:rPr>
                <w:rFonts w:hint="eastAsia"/>
                <w:sz w:val="24"/>
                <w:highlight w:val="none"/>
                <w:lang w:val="en-US" w:eastAsia="zh-CN"/>
              </w:rPr>
            </w:pPr>
            <w:r>
              <w:rPr>
                <w:rFonts w:hint="eastAsia"/>
                <w:b/>
                <w:bCs/>
                <w:sz w:val="24"/>
                <w:highlight w:val="none"/>
                <w:lang w:val="en-US" w:eastAsia="zh-CN"/>
              </w:rPr>
              <w:t>废水：</w:t>
            </w:r>
            <w:r>
              <w:rPr>
                <w:rFonts w:hint="eastAsia"/>
                <w:sz w:val="24"/>
                <w:highlight w:val="none"/>
                <w:lang w:val="en-US" w:eastAsia="zh-CN"/>
              </w:rPr>
              <w:t>本项目运营期用水主要为员工生活污水和冷却废水。</w:t>
            </w:r>
          </w:p>
          <w:p>
            <w:pPr>
              <w:adjustRightInd w:val="0"/>
              <w:spacing w:line="360" w:lineRule="auto"/>
              <w:ind w:firstLine="602" w:firstLineChars="250"/>
              <w:textAlignment w:val="baseline"/>
              <w:rPr>
                <w:rFonts w:hint="eastAsia"/>
                <w:sz w:val="24"/>
                <w:highlight w:val="none"/>
                <w:lang w:val="en-US" w:eastAsia="zh-CN"/>
              </w:rPr>
            </w:pPr>
            <w:r>
              <w:rPr>
                <w:rFonts w:hint="eastAsia"/>
                <w:b/>
                <w:bCs/>
                <w:sz w:val="24"/>
                <w:highlight w:val="none"/>
                <w:lang w:val="en-US" w:eastAsia="zh-CN"/>
              </w:rPr>
              <w:t>固废：</w:t>
            </w:r>
            <w:r>
              <w:rPr>
                <w:rFonts w:hint="eastAsia"/>
                <w:sz w:val="24"/>
                <w:highlight w:val="none"/>
                <w:lang w:val="en-US" w:eastAsia="zh-CN"/>
              </w:rPr>
              <w:t>本项目产生的固废有：废包装、废边角料、废活性炭、废切削液、废油墨、废油墨桶和生活垃圾。</w:t>
            </w:r>
          </w:p>
          <w:p>
            <w:pPr>
              <w:adjustRightInd w:val="0"/>
              <w:spacing w:line="360" w:lineRule="auto"/>
              <w:ind w:firstLine="600" w:firstLineChars="250"/>
              <w:textAlignment w:val="baseline"/>
              <w:rPr>
                <w:rFonts w:hint="eastAsia"/>
                <w:sz w:val="24"/>
                <w:highlight w:val="none"/>
                <w:lang w:val="en-US" w:eastAsia="zh-CN"/>
              </w:rPr>
            </w:pPr>
            <w:r>
              <w:rPr>
                <w:rFonts w:hint="eastAsia"/>
                <w:sz w:val="24"/>
                <w:highlight w:val="none"/>
                <w:lang w:val="en-US" w:eastAsia="zh-CN"/>
              </w:rPr>
              <w:t>①废包装：存放在临时指定区域，由指定厂家回收。</w:t>
            </w:r>
          </w:p>
          <w:p>
            <w:pPr>
              <w:adjustRightInd w:val="0"/>
              <w:spacing w:line="360" w:lineRule="auto"/>
              <w:ind w:firstLine="600" w:firstLineChars="250"/>
              <w:textAlignment w:val="baseline"/>
              <w:rPr>
                <w:rFonts w:hint="eastAsia"/>
                <w:sz w:val="24"/>
                <w:highlight w:val="none"/>
                <w:lang w:val="en-US" w:eastAsia="zh-CN"/>
              </w:rPr>
            </w:pPr>
            <w:r>
              <w:rPr>
                <w:rFonts w:hint="eastAsia"/>
                <w:sz w:val="24"/>
                <w:highlight w:val="none"/>
                <w:lang w:val="en-US" w:eastAsia="zh-CN"/>
              </w:rPr>
              <w:t>②废边角料：存放在临时指定区域，由指定厂家回收。</w:t>
            </w:r>
          </w:p>
          <w:p>
            <w:pPr>
              <w:adjustRightInd w:val="0"/>
              <w:spacing w:line="360" w:lineRule="auto"/>
              <w:ind w:firstLine="600" w:firstLineChars="250"/>
              <w:textAlignment w:val="baseline"/>
              <w:rPr>
                <w:rFonts w:hint="eastAsia"/>
                <w:sz w:val="24"/>
                <w:highlight w:val="none"/>
                <w:lang w:val="en-US" w:eastAsia="zh-CN"/>
              </w:rPr>
            </w:pPr>
            <w:r>
              <w:rPr>
                <w:rFonts w:hint="eastAsia"/>
                <w:sz w:val="24"/>
                <w:highlight w:val="none"/>
                <w:lang w:val="en-US" w:eastAsia="zh-CN"/>
              </w:rPr>
              <w:t>③废活性炭：</w:t>
            </w:r>
            <w:r>
              <w:rPr>
                <w:rFonts w:hint="default"/>
                <w:sz w:val="24"/>
                <w:highlight w:val="none"/>
                <w:lang w:val="en-US" w:eastAsia="zh-CN"/>
              </w:rPr>
              <w:t>委托有资质单位处理</w:t>
            </w:r>
            <w:r>
              <w:rPr>
                <w:rFonts w:hint="eastAsia"/>
                <w:sz w:val="24"/>
                <w:highlight w:val="none"/>
                <w:lang w:val="en-US" w:eastAsia="zh-CN"/>
              </w:rPr>
              <w:t>。</w:t>
            </w:r>
          </w:p>
          <w:p>
            <w:pPr>
              <w:adjustRightInd w:val="0"/>
              <w:spacing w:line="360" w:lineRule="auto"/>
              <w:ind w:firstLine="600" w:firstLineChars="250"/>
              <w:textAlignment w:val="baseline"/>
              <w:rPr>
                <w:rFonts w:hint="eastAsia"/>
                <w:sz w:val="24"/>
                <w:highlight w:val="none"/>
                <w:lang w:val="en-US" w:eastAsia="zh-CN"/>
              </w:rPr>
            </w:pPr>
            <w:r>
              <w:rPr>
                <w:rFonts w:hint="eastAsia"/>
                <w:sz w:val="24"/>
                <w:highlight w:val="none"/>
                <w:lang w:val="en-US" w:eastAsia="zh-CN"/>
              </w:rPr>
              <w:t>④废切削液：</w:t>
            </w:r>
            <w:r>
              <w:rPr>
                <w:rFonts w:hint="default"/>
                <w:sz w:val="24"/>
                <w:highlight w:val="none"/>
                <w:lang w:val="en-US" w:eastAsia="zh-CN"/>
              </w:rPr>
              <w:t>委托有资质单位处理</w:t>
            </w:r>
            <w:r>
              <w:rPr>
                <w:rFonts w:hint="eastAsia"/>
                <w:sz w:val="24"/>
                <w:highlight w:val="none"/>
                <w:lang w:val="en-US" w:eastAsia="zh-CN"/>
              </w:rPr>
              <w:t>。</w:t>
            </w:r>
          </w:p>
          <w:p>
            <w:pPr>
              <w:adjustRightInd w:val="0"/>
              <w:spacing w:line="360" w:lineRule="auto"/>
              <w:ind w:firstLine="600" w:firstLineChars="250"/>
              <w:textAlignment w:val="baseline"/>
              <w:rPr>
                <w:rFonts w:hint="eastAsia"/>
                <w:sz w:val="24"/>
                <w:highlight w:val="none"/>
                <w:lang w:val="en-US" w:eastAsia="zh-CN"/>
              </w:rPr>
            </w:pPr>
            <w:r>
              <w:rPr>
                <w:rFonts w:hint="eastAsia"/>
                <w:sz w:val="24"/>
                <w:highlight w:val="none"/>
                <w:lang w:val="en-US" w:eastAsia="zh-CN"/>
              </w:rPr>
              <w:t>⑤废油墨：</w:t>
            </w:r>
            <w:r>
              <w:rPr>
                <w:rFonts w:hint="default"/>
                <w:sz w:val="24"/>
                <w:highlight w:val="none"/>
                <w:lang w:val="en-US" w:eastAsia="zh-CN"/>
              </w:rPr>
              <w:t>委托有资质单位处理</w:t>
            </w:r>
            <w:r>
              <w:rPr>
                <w:rFonts w:hint="eastAsia"/>
                <w:sz w:val="24"/>
                <w:highlight w:val="none"/>
                <w:lang w:val="en-US" w:eastAsia="zh-CN"/>
              </w:rPr>
              <w:t>。</w:t>
            </w:r>
          </w:p>
          <w:p>
            <w:pPr>
              <w:adjustRightInd w:val="0"/>
              <w:spacing w:line="360" w:lineRule="auto"/>
              <w:ind w:firstLine="600" w:firstLineChars="250"/>
              <w:textAlignment w:val="baseline"/>
              <w:rPr>
                <w:rFonts w:hint="eastAsia"/>
                <w:sz w:val="24"/>
                <w:highlight w:val="none"/>
                <w:lang w:val="en-US" w:eastAsia="zh-CN"/>
              </w:rPr>
            </w:pPr>
            <w:r>
              <w:rPr>
                <w:rFonts w:hint="eastAsia"/>
                <w:sz w:val="24"/>
                <w:highlight w:val="none"/>
                <w:lang w:val="en-US" w:eastAsia="zh-CN"/>
              </w:rPr>
              <w:t>⑥废油墨桶：废油桶由厂商回收。</w:t>
            </w:r>
          </w:p>
          <w:p>
            <w:pPr>
              <w:adjustRightInd w:val="0"/>
              <w:spacing w:line="360" w:lineRule="auto"/>
              <w:ind w:firstLine="600" w:firstLineChars="250"/>
              <w:textAlignment w:val="baseline"/>
              <w:rPr>
                <w:rFonts w:hint="eastAsia"/>
                <w:sz w:val="24"/>
                <w:highlight w:val="none"/>
                <w:lang w:val="en-US" w:eastAsia="zh-CN"/>
              </w:rPr>
            </w:pPr>
            <w:r>
              <w:rPr>
                <w:rFonts w:hint="eastAsia"/>
                <w:sz w:val="24"/>
                <w:highlight w:val="none"/>
                <w:lang w:val="en-US" w:eastAsia="zh-CN"/>
              </w:rPr>
              <w:t>⑦生活垃圾：</w:t>
            </w:r>
            <w:r>
              <w:rPr>
                <w:rFonts w:hint="default"/>
                <w:sz w:val="24"/>
                <w:highlight w:val="none"/>
                <w:lang w:val="en-US" w:eastAsia="zh-CN"/>
              </w:rPr>
              <w:t>交由环卫部门统一处理</w:t>
            </w:r>
            <w:r>
              <w:rPr>
                <w:rFonts w:hint="eastAsia"/>
                <w:sz w:val="24"/>
                <w:highlight w:val="none"/>
                <w:lang w:val="en-US" w:eastAsia="zh-CN"/>
              </w:rPr>
              <w:t>。</w:t>
            </w:r>
          </w:p>
          <w:bookmarkEnd w:id="5"/>
          <w:p>
            <w:pPr>
              <w:pStyle w:val="10"/>
              <w:spacing w:line="440" w:lineRule="exact"/>
              <w:ind w:firstLine="0" w:firstLineChars="0"/>
              <w:jc w:val="center"/>
              <w:rPr>
                <w:rFonts w:ascii="Times New Roman" w:eastAsia="宋体"/>
                <w:b/>
                <w:sz w:val="24"/>
                <w:highlight w:val="none"/>
              </w:rPr>
            </w:pPr>
            <w:bookmarkStart w:id="6" w:name="_Hlk2760271"/>
            <w:r>
              <w:rPr>
                <w:rFonts w:ascii="Times New Roman" w:eastAsia="宋体"/>
                <w:b/>
                <w:sz w:val="24"/>
                <w:highlight w:val="none"/>
              </w:rPr>
              <w:t>表2-</w:t>
            </w:r>
            <w:r>
              <w:rPr>
                <w:rFonts w:hint="eastAsia" w:ascii="Times New Roman" w:eastAsia="宋体"/>
                <w:b/>
                <w:sz w:val="24"/>
                <w:highlight w:val="none"/>
                <w:lang w:val="en-US" w:eastAsia="zh-CN"/>
              </w:rPr>
              <w:t xml:space="preserve">5 </w:t>
            </w:r>
            <w:r>
              <w:rPr>
                <w:rFonts w:ascii="Times New Roman" w:eastAsia="宋体"/>
                <w:b/>
                <w:sz w:val="24"/>
                <w:highlight w:val="none"/>
              </w:rPr>
              <w:t xml:space="preserve"> 各污染物产生情况及拟采取的治理措施</w:t>
            </w:r>
          </w:p>
          <w:bookmarkEnd w:id="6"/>
          <w:tbl>
            <w:tblPr>
              <w:tblStyle w:val="22"/>
              <w:tblW w:w="0" w:type="auto"/>
              <w:tblInd w:w="0" w:type="dxa"/>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Layout w:type="autofit"/>
              <w:tblCellMar>
                <w:top w:w="0" w:type="dxa"/>
                <w:left w:w="23" w:type="dxa"/>
                <w:bottom w:w="0" w:type="dxa"/>
                <w:right w:w="23" w:type="dxa"/>
              </w:tblCellMar>
            </w:tblPr>
            <w:tblGrid>
              <w:gridCol w:w="478"/>
              <w:gridCol w:w="882"/>
              <w:gridCol w:w="1449"/>
              <w:gridCol w:w="3225"/>
              <w:gridCol w:w="2118"/>
            </w:tblGrid>
            <w:tr>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23" w:type="dxa"/>
                  <w:bottom w:w="0" w:type="dxa"/>
                  <w:right w:w="23" w:type="dxa"/>
                </w:tblCellMar>
              </w:tblPrEx>
              <w:trPr>
                <w:trHeight w:val="191" w:hRule="atLeast"/>
              </w:trPr>
              <w:tc>
                <w:tcPr>
                  <w:tcW w:w="482" w:type="dxa"/>
                  <w:vAlign w:val="center"/>
                </w:tcPr>
                <w:p>
                  <w:pPr>
                    <w:widowControl/>
                    <w:snapToGrid w:val="0"/>
                    <w:jc w:val="center"/>
                    <w:rPr>
                      <w:b/>
                      <w:kern w:val="0"/>
                      <w:szCs w:val="21"/>
                      <w:highlight w:val="none"/>
                    </w:rPr>
                  </w:pPr>
                  <w:r>
                    <w:rPr>
                      <w:b/>
                      <w:kern w:val="0"/>
                      <w:szCs w:val="21"/>
                      <w:highlight w:val="none"/>
                    </w:rPr>
                    <w:t>类别</w:t>
                  </w:r>
                </w:p>
              </w:tc>
              <w:tc>
                <w:tcPr>
                  <w:tcW w:w="891" w:type="dxa"/>
                  <w:vAlign w:val="center"/>
                </w:tcPr>
                <w:p>
                  <w:pPr>
                    <w:widowControl/>
                    <w:snapToGrid w:val="0"/>
                    <w:jc w:val="center"/>
                    <w:rPr>
                      <w:b/>
                      <w:kern w:val="0"/>
                      <w:szCs w:val="21"/>
                      <w:highlight w:val="none"/>
                    </w:rPr>
                  </w:pPr>
                  <w:r>
                    <w:rPr>
                      <w:b/>
                      <w:kern w:val="0"/>
                      <w:szCs w:val="21"/>
                      <w:highlight w:val="none"/>
                    </w:rPr>
                    <w:t>序号</w:t>
                  </w:r>
                </w:p>
              </w:tc>
              <w:tc>
                <w:tcPr>
                  <w:tcW w:w="1466" w:type="dxa"/>
                  <w:vAlign w:val="center"/>
                </w:tcPr>
                <w:p>
                  <w:pPr>
                    <w:widowControl/>
                    <w:snapToGrid w:val="0"/>
                    <w:jc w:val="center"/>
                    <w:rPr>
                      <w:b/>
                      <w:kern w:val="0"/>
                      <w:szCs w:val="21"/>
                      <w:highlight w:val="none"/>
                    </w:rPr>
                  </w:pPr>
                  <w:r>
                    <w:rPr>
                      <w:b/>
                      <w:kern w:val="0"/>
                      <w:szCs w:val="21"/>
                      <w:highlight w:val="none"/>
                    </w:rPr>
                    <w:t>污染工序</w:t>
                  </w:r>
                </w:p>
              </w:tc>
              <w:tc>
                <w:tcPr>
                  <w:tcW w:w="3276" w:type="dxa"/>
                  <w:vAlign w:val="center"/>
                </w:tcPr>
                <w:p>
                  <w:pPr>
                    <w:widowControl/>
                    <w:snapToGrid w:val="0"/>
                    <w:jc w:val="center"/>
                    <w:rPr>
                      <w:b/>
                      <w:kern w:val="0"/>
                      <w:szCs w:val="21"/>
                      <w:highlight w:val="none"/>
                    </w:rPr>
                  </w:pPr>
                  <w:r>
                    <w:rPr>
                      <w:b/>
                      <w:kern w:val="0"/>
                      <w:szCs w:val="21"/>
                      <w:highlight w:val="none"/>
                    </w:rPr>
                    <w:t>污染物名称</w:t>
                  </w:r>
                </w:p>
              </w:tc>
              <w:tc>
                <w:tcPr>
                  <w:tcW w:w="2145" w:type="dxa"/>
                  <w:vAlign w:val="center"/>
                </w:tcPr>
                <w:p>
                  <w:pPr>
                    <w:widowControl/>
                    <w:snapToGrid w:val="0"/>
                    <w:jc w:val="center"/>
                    <w:rPr>
                      <w:b/>
                      <w:kern w:val="0"/>
                      <w:szCs w:val="21"/>
                      <w:highlight w:val="none"/>
                    </w:rPr>
                  </w:pPr>
                  <w:r>
                    <w:rPr>
                      <w:b/>
                      <w:kern w:val="0"/>
                      <w:szCs w:val="21"/>
                      <w:highlight w:val="none"/>
                    </w:rPr>
                    <w:t>治理措施</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23" w:type="dxa"/>
                  <w:bottom w:w="0" w:type="dxa"/>
                  <w:right w:w="23" w:type="dxa"/>
                </w:tblCellMar>
              </w:tblPrEx>
              <w:trPr>
                <w:trHeight w:val="269" w:hRule="atLeast"/>
              </w:trPr>
              <w:tc>
                <w:tcPr>
                  <w:tcW w:w="482" w:type="dxa"/>
                  <w:vMerge w:val="restart"/>
                  <w:vAlign w:val="center"/>
                </w:tcPr>
                <w:p>
                  <w:pPr>
                    <w:autoSpaceDE w:val="0"/>
                    <w:autoSpaceDN w:val="0"/>
                    <w:adjustRightInd w:val="0"/>
                    <w:snapToGrid w:val="0"/>
                    <w:jc w:val="center"/>
                    <w:rPr>
                      <w:highlight w:val="none"/>
                    </w:rPr>
                  </w:pPr>
                  <w:r>
                    <w:rPr>
                      <w:highlight w:val="none"/>
                    </w:rPr>
                    <w:t>废气</w:t>
                  </w:r>
                </w:p>
              </w:tc>
              <w:tc>
                <w:tcPr>
                  <w:tcW w:w="891" w:type="dxa"/>
                  <w:vAlign w:val="center"/>
                </w:tcPr>
                <w:p>
                  <w:pPr>
                    <w:autoSpaceDE w:val="0"/>
                    <w:autoSpaceDN w:val="0"/>
                    <w:adjustRightInd w:val="0"/>
                    <w:snapToGrid w:val="0"/>
                    <w:jc w:val="center"/>
                    <w:rPr>
                      <w:highlight w:val="none"/>
                    </w:rPr>
                  </w:pPr>
                  <w:r>
                    <w:rPr>
                      <w:rFonts w:hint="eastAsia"/>
                      <w:highlight w:val="none"/>
                      <w:lang w:val="en-US" w:eastAsia="zh-CN"/>
                    </w:rPr>
                    <w:t>G1</w:t>
                  </w:r>
                </w:p>
              </w:tc>
              <w:tc>
                <w:tcPr>
                  <w:tcW w:w="1466" w:type="dxa"/>
                  <w:vAlign w:val="center"/>
                </w:tcPr>
                <w:p>
                  <w:pPr>
                    <w:autoSpaceDE w:val="0"/>
                    <w:autoSpaceDN w:val="0"/>
                    <w:adjustRightInd w:val="0"/>
                    <w:snapToGrid w:val="0"/>
                    <w:jc w:val="center"/>
                    <w:rPr>
                      <w:rFonts w:hint="eastAsia"/>
                      <w:highlight w:val="none"/>
                      <w:lang w:eastAsia="zh-CN"/>
                    </w:rPr>
                  </w:pPr>
                  <w:r>
                    <w:rPr>
                      <w:rFonts w:hint="eastAsia"/>
                      <w:highlight w:val="none"/>
                      <w:lang w:eastAsia="zh-CN"/>
                    </w:rPr>
                    <w:t>打磨</w:t>
                  </w:r>
                </w:p>
              </w:tc>
              <w:tc>
                <w:tcPr>
                  <w:tcW w:w="3276" w:type="dxa"/>
                  <w:vMerge w:val="restart"/>
                  <w:vAlign w:val="center"/>
                </w:tcPr>
                <w:p>
                  <w:pPr>
                    <w:autoSpaceDE w:val="0"/>
                    <w:autoSpaceDN w:val="0"/>
                    <w:adjustRightInd w:val="0"/>
                    <w:snapToGrid w:val="0"/>
                    <w:jc w:val="center"/>
                    <w:rPr>
                      <w:rFonts w:hint="eastAsia"/>
                      <w:highlight w:val="none"/>
                      <w:lang w:eastAsia="zh-CN"/>
                    </w:rPr>
                  </w:pPr>
                  <w:r>
                    <w:rPr>
                      <w:rFonts w:hint="eastAsia"/>
                      <w:highlight w:val="none"/>
                      <w:lang w:eastAsia="zh-CN"/>
                    </w:rPr>
                    <w:t>颗粒物</w:t>
                  </w:r>
                </w:p>
              </w:tc>
              <w:tc>
                <w:tcPr>
                  <w:tcW w:w="2145" w:type="dxa"/>
                  <w:vMerge w:val="restart"/>
                  <w:vAlign w:val="center"/>
                </w:tcPr>
                <w:p>
                  <w:pPr>
                    <w:autoSpaceDE w:val="0"/>
                    <w:autoSpaceDN w:val="0"/>
                    <w:adjustRightInd w:val="0"/>
                    <w:snapToGrid w:val="0"/>
                    <w:jc w:val="center"/>
                    <w:rPr>
                      <w:highlight w:val="none"/>
                    </w:rPr>
                  </w:pPr>
                  <w:r>
                    <w:rPr>
                      <w:rFonts w:hint="eastAsia"/>
                      <w:highlight w:val="none"/>
                      <w:lang w:val="zh-CN" w:eastAsia="zh-CN"/>
                    </w:rPr>
                    <w:t>经集气罩收集后进入二级活性炭吸附装置处理后通过1根15m高排气筒排放</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23" w:type="dxa"/>
                  <w:bottom w:w="0" w:type="dxa"/>
                  <w:right w:w="23" w:type="dxa"/>
                </w:tblCellMar>
              </w:tblPrEx>
              <w:trPr>
                <w:trHeight w:val="269" w:hRule="atLeast"/>
              </w:trPr>
              <w:tc>
                <w:tcPr>
                  <w:tcW w:w="482" w:type="dxa"/>
                  <w:vMerge w:val="continue"/>
                  <w:vAlign w:val="center"/>
                </w:tcPr>
                <w:p>
                  <w:pPr>
                    <w:widowControl/>
                    <w:snapToGrid w:val="0"/>
                    <w:jc w:val="center"/>
                  </w:pPr>
                </w:p>
              </w:tc>
              <w:tc>
                <w:tcPr>
                  <w:tcW w:w="891" w:type="dxa"/>
                  <w:vAlign w:val="center"/>
                </w:tcPr>
                <w:p>
                  <w:pPr>
                    <w:autoSpaceDE w:val="0"/>
                    <w:autoSpaceDN w:val="0"/>
                    <w:adjustRightInd w:val="0"/>
                    <w:snapToGrid w:val="0"/>
                    <w:jc w:val="center"/>
                    <w:rPr>
                      <w:rFonts w:hint="default"/>
                      <w:highlight w:val="none"/>
                      <w:lang w:val="en-US" w:eastAsia="zh-CN"/>
                    </w:rPr>
                  </w:pPr>
                  <w:r>
                    <w:rPr>
                      <w:rFonts w:hint="eastAsia"/>
                      <w:highlight w:val="none"/>
                      <w:lang w:val="en-US" w:eastAsia="zh-CN"/>
                    </w:rPr>
                    <w:t>G6</w:t>
                  </w:r>
                </w:p>
              </w:tc>
              <w:tc>
                <w:tcPr>
                  <w:tcW w:w="1466" w:type="dxa"/>
                  <w:vAlign w:val="center"/>
                </w:tcPr>
                <w:p>
                  <w:pPr>
                    <w:autoSpaceDE w:val="0"/>
                    <w:autoSpaceDN w:val="0"/>
                    <w:adjustRightInd w:val="0"/>
                    <w:snapToGrid w:val="0"/>
                    <w:jc w:val="center"/>
                    <w:rPr>
                      <w:rFonts w:hint="eastAsia"/>
                      <w:highlight w:val="none"/>
                    </w:rPr>
                  </w:pPr>
                  <w:r>
                    <w:rPr>
                      <w:rFonts w:hint="eastAsia"/>
                      <w:highlight w:val="none"/>
                      <w:lang w:eastAsia="zh-CN"/>
                    </w:rPr>
                    <w:t>粉碎</w:t>
                  </w:r>
                </w:p>
              </w:tc>
              <w:tc>
                <w:tcPr>
                  <w:tcW w:w="3276" w:type="dxa"/>
                  <w:vMerge w:val="continue"/>
                  <w:vAlign w:val="center"/>
                </w:tcPr>
                <w:p>
                  <w:pPr>
                    <w:autoSpaceDE w:val="0"/>
                    <w:autoSpaceDN w:val="0"/>
                    <w:adjustRightInd w:val="0"/>
                    <w:snapToGrid w:val="0"/>
                    <w:jc w:val="center"/>
                    <w:rPr>
                      <w:rFonts w:hint="eastAsia"/>
                      <w:highlight w:val="none"/>
                    </w:rPr>
                  </w:pPr>
                </w:p>
              </w:tc>
              <w:tc>
                <w:tcPr>
                  <w:tcW w:w="2145" w:type="dxa"/>
                  <w:vMerge w:val="continue"/>
                  <w:vAlign w:val="center"/>
                </w:tcPr>
                <w:p>
                  <w:pPr>
                    <w:widowControl/>
                    <w:snapToGrid w:val="0"/>
                    <w:jc w:val="center"/>
                    <w:rPr>
                      <w:rFonts w:hint="eastAsia"/>
                      <w:bCs/>
                      <w:kern w:val="0"/>
                      <w:szCs w:val="21"/>
                      <w:highlight w:val="yellow"/>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23" w:type="dxa"/>
                  <w:bottom w:w="0" w:type="dxa"/>
                  <w:right w:w="23" w:type="dxa"/>
                </w:tblCellMar>
              </w:tblPrEx>
              <w:trPr>
                <w:trHeight w:val="269" w:hRule="atLeast"/>
              </w:trPr>
              <w:tc>
                <w:tcPr>
                  <w:tcW w:w="482" w:type="dxa"/>
                  <w:vMerge w:val="continue"/>
                  <w:vAlign w:val="center"/>
                </w:tcPr>
                <w:p>
                  <w:pPr>
                    <w:widowControl/>
                    <w:snapToGrid w:val="0"/>
                    <w:jc w:val="center"/>
                  </w:pPr>
                </w:p>
              </w:tc>
              <w:tc>
                <w:tcPr>
                  <w:tcW w:w="891" w:type="dxa"/>
                  <w:vAlign w:val="center"/>
                </w:tcPr>
                <w:p>
                  <w:pPr>
                    <w:autoSpaceDE w:val="0"/>
                    <w:autoSpaceDN w:val="0"/>
                    <w:adjustRightInd w:val="0"/>
                    <w:snapToGrid w:val="0"/>
                    <w:jc w:val="center"/>
                    <w:rPr>
                      <w:rFonts w:hint="eastAsia"/>
                      <w:highlight w:val="none"/>
                      <w:lang w:val="en-US" w:eastAsia="zh-CN"/>
                    </w:rPr>
                  </w:pPr>
                  <w:r>
                    <w:rPr>
                      <w:rFonts w:hint="eastAsia"/>
                      <w:highlight w:val="none"/>
                      <w:lang w:val="en-US" w:eastAsia="zh-CN"/>
                    </w:rPr>
                    <w:t>G2</w:t>
                  </w:r>
                </w:p>
              </w:tc>
              <w:tc>
                <w:tcPr>
                  <w:tcW w:w="1466" w:type="dxa"/>
                  <w:vAlign w:val="center"/>
                </w:tcPr>
                <w:p>
                  <w:pPr>
                    <w:autoSpaceDE w:val="0"/>
                    <w:autoSpaceDN w:val="0"/>
                    <w:adjustRightInd w:val="0"/>
                    <w:snapToGrid w:val="0"/>
                    <w:jc w:val="center"/>
                    <w:rPr>
                      <w:rFonts w:hint="eastAsia"/>
                      <w:highlight w:val="none"/>
                    </w:rPr>
                  </w:pPr>
                  <w:r>
                    <w:rPr>
                      <w:rFonts w:hint="eastAsia"/>
                      <w:highlight w:val="none"/>
                      <w:lang w:eastAsia="zh-CN"/>
                    </w:rPr>
                    <w:t>CNC数控加工</w:t>
                  </w:r>
                </w:p>
              </w:tc>
              <w:tc>
                <w:tcPr>
                  <w:tcW w:w="3276" w:type="dxa"/>
                  <w:vMerge w:val="restart"/>
                  <w:vAlign w:val="center"/>
                </w:tcPr>
                <w:p>
                  <w:pPr>
                    <w:autoSpaceDE w:val="0"/>
                    <w:autoSpaceDN w:val="0"/>
                    <w:adjustRightInd w:val="0"/>
                    <w:snapToGrid w:val="0"/>
                    <w:jc w:val="center"/>
                    <w:rPr>
                      <w:rFonts w:hint="eastAsia"/>
                      <w:highlight w:val="none"/>
                    </w:rPr>
                  </w:pPr>
                  <w:r>
                    <w:rPr>
                      <w:rFonts w:hint="eastAsia"/>
                      <w:highlight w:val="none"/>
                      <w:lang w:val="en-US" w:eastAsia="zh-CN"/>
                    </w:rPr>
                    <w:t>非甲烷总烃</w:t>
                  </w:r>
                </w:p>
              </w:tc>
              <w:tc>
                <w:tcPr>
                  <w:tcW w:w="2145" w:type="dxa"/>
                  <w:vMerge w:val="continue"/>
                  <w:vAlign w:val="center"/>
                </w:tcPr>
                <w:p>
                  <w:pPr>
                    <w:widowControl/>
                    <w:snapToGrid w:val="0"/>
                    <w:jc w:val="center"/>
                    <w:rPr>
                      <w:rFonts w:hint="eastAsia"/>
                      <w:bCs/>
                      <w:kern w:val="0"/>
                      <w:szCs w:val="21"/>
                      <w:highlight w:val="yellow"/>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23" w:type="dxa"/>
                  <w:bottom w:w="0" w:type="dxa"/>
                  <w:right w:w="23" w:type="dxa"/>
                </w:tblCellMar>
              </w:tblPrEx>
              <w:trPr>
                <w:trHeight w:val="269" w:hRule="atLeast"/>
              </w:trPr>
              <w:tc>
                <w:tcPr>
                  <w:tcW w:w="482" w:type="dxa"/>
                  <w:vMerge w:val="continue"/>
                  <w:vAlign w:val="center"/>
                </w:tcPr>
                <w:p>
                  <w:pPr>
                    <w:widowControl/>
                    <w:snapToGrid w:val="0"/>
                    <w:jc w:val="center"/>
                  </w:pPr>
                </w:p>
              </w:tc>
              <w:tc>
                <w:tcPr>
                  <w:tcW w:w="891" w:type="dxa"/>
                  <w:vAlign w:val="center"/>
                </w:tcPr>
                <w:p>
                  <w:pPr>
                    <w:widowControl/>
                    <w:snapToGrid w:val="0"/>
                    <w:jc w:val="center"/>
                    <w:rPr>
                      <w:rFonts w:hint="eastAsia"/>
                      <w:bCs/>
                      <w:kern w:val="0"/>
                      <w:szCs w:val="21"/>
                      <w:highlight w:val="yellow"/>
                      <w:lang w:val="en-US" w:eastAsia="zh-CN"/>
                    </w:rPr>
                  </w:pPr>
                  <w:r>
                    <w:rPr>
                      <w:rFonts w:hint="eastAsia" w:ascii="Times New Roman" w:hAnsi="宋体" w:eastAsia="宋体" w:cs="Times New Roman"/>
                      <w:b w:val="0"/>
                      <w:bCs w:val="0"/>
                      <w:kern w:val="2"/>
                      <w:sz w:val="21"/>
                      <w:szCs w:val="21"/>
                      <w:highlight w:val="none"/>
                      <w:lang w:val="en-US" w:eastAsia="zh-CN" w:bidi="ar-SA"/>
                    </w:rPr>
                    <w:t>G3</w:t>
                  </w:r>
                </w:p>
              </w:tc>
              <w:tc>
                <w:tcPr>
                  <w:tcW w:w="1466" w:type="dxa"/>
                  <w:vAlign w:val="center"/>
                </w:tcPr>
                <w:p>
                  <w:pPr>
                    <w:widowControl/>
                    <w:snapToGrid w:val="0"/>
                    <w:jc w:val="center"/>
                    <w:rPr>
                      <w:rFonts w:hint="eastAsia"/>
                      <w:bCs/>
                      <w:kern w:val="0"/>
                      <w:szCs w:val="21"/>
                      <w:highlight w:val="yellow"/>
                    </w:rPr>
                  </w:pPr>
                  <w:r>
                    <w:rPr>
                      <w:rFonts w:hint="eastAsia" w:ascii="Times New Roman" w:hAnsi="宋体" w:eastAsia="宋体" w:cs="Times New Roman"/>
                      <w:b w:val="0"/>
                      <w:bCs w:val="0"/>
                      <w:kern w:val="2"/>
                      <w:sz w:val="21"/>
                      <w:szCs w:val="21"/>
                      <w:highlight w:val="none"/>
                      <w:lang w:val="en-US" w:eastAsia="zh-CN" w:bidi="ar-SA"/>
                    </w:rPr>
                    <w:t>加热熔融</w:t>
                  </w:r>
                </w:p>
              </w:tc>
              <w:tc>
                <w:tcPr>
                  <w:tcW w:w="3276" w:type="dxa"/>
                  <w:vMerge w:val="continue"/>
                  <w:vAlign w:val="center"/>
                </w:tcPr>
                <w:p>
                  <w:pPr>
                    <w:widowControl/>
                    <w:snapToGrid w:val="0"/>
                    <w:jc w:val="center"/>
                    <w:rPr>
                      <w:rFonts w:hint="eastAsia"/>
                      <w:bCs/>
                      <w:kern w:val="0"/>
                      <w:szCs w:val="21"/>
                      <w:highlight w:val="yellow"/>
                    </w:rPr>
                  </w:pPr>
                </w:p>
              </w:tc>
              <w:tc>
                <w:tcPr>
                  <w:tcW w:w="2145" w:type="dxa"/>
                  <w:vMerge w:val="continue"/>
                  <w:vAlign w:val="center"/>
                </w:tcPr>
                <w:p>
                  <w:pPr>
                    <w:widowControl/>
                    <w:snapToGrid w:val="0"/>
                    <w:jc w:val="center"/>
                    <w:rPr>
                      <w:rFonts w:hint="eastAsia"/>
                      <w:bCs/>
                      <w:kern w:val="0"/>
                      <w:szCs w:val="21"/>
                      <w:highlight w:val="yellow"/>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23" w:type="dxa"/>
                  <w:bottom w:w="0" w:type="dxa"/>
                  <w:right w:w="23" w:type="dxa"/>
                </w:tblCellMar>
              </w:tblPrEx>
              <w:trPr>
                <w:trHeight w:val="269" w:hRule="atLeast"/>
              </w:trPr>
              <w:tc>
                <w:tcPr>
                  <w:tcW w:w="482" w:type="dxa"/>
                  <w:vMerge w:val="continue"/>
                  <w:vAlign w:val="center"/>
                </w:tcPr>
                <w:p>
                  <w:pPr>
                    <w:widowControl/>
                    <w:snapToGrid w:val="0"/>
                    <w:jc w:val="center"/>
                  </w:pPr>
                </w:p>
              </w:tc>
              <w:tc>
                <w:tcPr>
                  <w:tcW w:w="891" w:type="dxa"/>
                  <w:vAlign w:val="center"/>
                </w:tcPr>
                <w:p>
                  <w:pPr>
                    <w:widowControl/>
                    <w:snapToGrid w:val="0"/>
                    <w:jc w:val="center"/>
                    <w:rPr>
                      <w:rFonts w:hint="default"/>
                      <w:bCs/>
                      <w:kern w:val="0"/>
                      <w:szCs w:val="21"/>
                      <w:highlight w:val="yellow"/>
                      <w:lang w:val="en-US" w:eastAsia="zh-CN"/>
                    </w:rPr>
                  </w:pPr>
                  <w:r>
                    <w:rPr>
                      <w:rFonts w:hint="eastAsia" w:ascii="Times New Roman" w:hAnsi="宋体" w:eastAsia="宋体" w:cs="Times New Roman"/>
                      <w:b w:val="0"/>
                      <w:bCs w:val="0"/>
                      <w:kern w:val="2"/>
                      <w:sz w:val="21"/>
                      <w:szCs w:val="21"/>
                      <w:highlight w:val="none"/>
                      <w:lang w:val="en-US" w:eastAsia="zh-CN" w:bidi="ar-SA"/>
                    </w:rPr>
                    <w:t>G</w:t>
                  </w:r>
                  <w:r>
                    <w:rPr>
                      <w:rFonts w:hint="eastAsia" w:hAnsi="宋体" w:cs="Times New Roman"/>
                      <w:b w:val="0"/>
                      <w:bCs w:val="0"/>
                      <w:kern w:val="2"/>
                      <w:sz w:val="21"/>
                      <w:szCs w:val="21"/>
                      <w:highlight w:val="none"/>
                      <w:lang w:val="en-US" w:eastAsia="zh-CN" w:bidi="ar-SA"/>
                    </w:rPr>
                    <w:t>7</w:t>
                  </w:r>
                </w:p>
              </w:tc>
              <w:tc>
                <w:tcPr>
                  <w:tcW w:w="1466" w:type="dxa"/>
                  <w:vAlign w:val="center"/>
                </w:tcPr>
                <w:p>
                  <w:pPr>
                    <w:widowControl/>
                    <w:snapToGrid w:val="0"/>
                    <w:jc w:val="center"/>
                    <w:rPr>
                      <w:rFonts w:hint="eastAsia"/>
                      <w:bCs/>
                      <w:kern w:val="0"/>
                      <w:szCs w:val="21"/>
                      <w:highlight w:val="yellow"/>
                    </w:rPr>
                  </w:pPr>
                  <w:r>
                    <w:rPr>
                      <w:rFonts w:hint="eastAsia" w:hAnsi="宋体" w:cs="Times New Roman"/>
                      <w:b w:val="0"/>
                      <w:bCs w:val="0"/>
                      <w:kern w:val="2"/>
                      <w:sz w:val="21"/>
                      <w:szCs w:val="21"/>
                      <w:highlight w:val="none"/>
                      <w:lang w:val="en-US" w:eastAsia="zh-CN" w:bidi="ar-SA"/>
                    </w:rPr>
                    <w:t>印刷</w:t>
                  </w:r>
                </w:p>
              </w:tc>
              <w:tc>
                <w:tcPr>
                  <w:tcW w:w="3276" w:type="dxa"/>
                  <w:vMerge w:val="continue"/>
                  <w:vAlign w:val="center"/>
                </w:tcPr>
                <w:p>
                  <w:pPr>
                    <w:widowControl/>
                    <w:snapToGrid w:val="0"/>
                    <w:jc w:val="center"/>
                    <w:rPr>
                      <w:rFonts w:hint="eastAsia"/>
                      <w:bCs/>
                      <w:kern w:val="0"/>
                      <w:szCs w:val="21"/>
                      <w:highlight w:val="yellow"/>
                    </w:rPr>
                  </w:pPr>
                </w:p>
              </w:tc>
              <w:tc>
                <w:tcPr>
                  <w:tcW w:w="2145" w:type="dxa"/>
                  <w:vMerge w:val="continue"/>
                  <w:vAlign w:val="center"/>
                </w:tcPr>
                <w:p>
                  <w:pPr>
                    <w:widowControl/>
                    <w:snapToGrid w:val="0"/>
                    <w:jc w:val="center"/>
                    <w:rPr>
                      <w:rFonts w:hint="eastAsia"/>
                      <w:bCs/>
                      <w:kern w:val="0"/>
                      <w:szCs w:val="21"/>
                      <w:highlight w:val="yellow"/>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23" w:type="dxa"/>
                  <w:bottom w:w="0" w:type="dxa"/>
                  <w:right w:w="23" w:type="dxa"/>
                </w:tblCellMar>
              </w:tblPrEx>
              <w:trPr>
                <w:trHeight w:val="269" w:hRule="atLeast"/>
              </w:trPr>
              <w:tc>
                <w:tcPr>
                  <w:tcW w:w="482" w:type="dxa"/>
                  <w:vMerge w:val="continue"/>
                  <w:vAlign w:val="center"/>
                </w:tcPr>
                <w:p>
                  <w:pPr>
                    <w:widowControl/>
                    <w:snapToGrid w:val="0"/>
                    <w:jc w:val="center"/>
                  </w:pPr>
                </w:p>
              </w:tc>
              <w:tc>
                <w:tcPr>
                  <w:tcW w:w="891" w:type="dxa"/>
                  <w:vAlign w:val="center"/>
                </w:tcPr>
                <w:p>
                  <w:pPr>
                    <w:widowControl/>
                    <w:snapToGrid w:val="0"/>
                    <w:jc w:val="center"/>
                    <w:rPr>
                      <w:rFonts w:hint="eastAsia"/>
                      <w:bCs/>
                      <w:kern w:val="0"/>
                      <w:szCs w:val="21"/>
                      <w:highlight w:val="yellow"/>
                      <w:lang w:val="en-US" w:eastAsia="zh-CN"/>
                    </w:rPr>
                  </w:pPr>
                  <w:r>
                    <w:rPr>
                      <w:rFonts w:hint="eastAsia" w:ascii="Times New Roman" w:hAnsi="宋体" w:eastAsia="宋体" w:cs="Times New Roman"/>
                      <w:b w:val="0"/>
                      <w:bCs w:val="0"/>
                      <w:kern w:val="2"/>
                      <w:sz w:val="21"/>
                      <w:szCs w:val="21"/>
                      <w:highlight w:val="none"/>
                      <w:lang w:val="en-US" w:eastAsia="zh-CN" w:bidi="ar-SA"/>
                    </w:rPr>
                    <w:t>G</w:t>
                  </w:r>
                  <w:r>
                    <w:rPr>
                      <w:rFonts w:hint="eastAsia" w:hAnsi="宋体" w:cs="Times New Roman"/>
                      <w:b w:val="0"/>
                      <w:bCs w:val="0"/>
                      <w:kern w:val="2"/>
                      <w:sz w:val="21"/>
                      <w:szCs w:val="21"/>
                      <w:highlight w:val="none"/>
                      <w:lang w:val="en-US" w:eastAsia="zh-CN" w:bidi="ar-SA"/>
                    </w:rPr>
                    <w:t>8</w:t>
                  </w:r>
                </w:p>
              </w:tc>
              <w:tc>
                <w:tcPr>
                  <w:tcW w:w="1466" w:type="dxa"/>
                  <w:vAlign w:val="center"/>
                </w:tcPr>
                <w:p>
                  <w:pPr>
                    <w:widowControl/>
                    <w:snapToGrid w:val="0"/>
                    <w:jc w:val="center"/>
                    <w:rPr>
                      <w:rFonts w:hint="eastAsia"/>
                      <w:bCs/>
                      <w:kern w:val="0"/>
                      <w:szCs w:val="21"/>
                      <w:highlight w:val="yellow"/>
                    </w:rPr>
                  </w:pPr>
                  <w:r>
                    <w:rPr>
                      <w:rFonts w:hint="eastAsia" w:ascii="Times New Roman" w:hAnsi="宋体" w:eastAsia="宋体" w:cs="Times New Roman"/>
                      <w:b w:val="0"/>
                      <w:bCs w:val="0"/>
                      <w:kern w:val="2"/>
                      <w:sz w:val="21"/>
                      <w:szCs w:val="21"/>
                      <w:highlight w:val="none"/>
                      <w:lang w:val="en-US" w:eastAsia="zh-CN" w:bidi="ar-SA"/>
                    </w:rPr>
                    <w:t>模内硫化定型</w:t>
                  </w:r>
                </w:p>
              </w:tc>
              <w:tc>
                <w:tcPr>
                  <w:tcW w:w="3276" w:type="dxa"/>
                  <w:vMerge w:val="continue"/>
                  <w:vAlign w:val="center"/>
                </w:tcPr>
                <w:p>
                  <w:pPr>
                    <w:widowControl/>
                    <w:snapToGrid w:val="0"/>
                    <w:jc w:val="center"/>
                    <w:rPr>
                      <w:rFonts w:hint="eastAsia"/>
                      <w:bCs/>
                      <w:kern w:val="0"/>
                      <w:szCs w:val="21"/>
                      <w:highlight w:val="yellow"/>
                    </w:rPr>
                  </w:pPr>
                </w:p>
              </w:tc>
              <w:tc>
                <w:tcPr>
                  <w:tcW w:w="2145" w:type="dxa"/>
                  <w:vMerge w:val="continue"/>
                  <w:vAlign w:val="center"/>
                </w:tcPr>
                <w:p>
                  <w:pPr>
                    <w:widowControl/>
                    <w:snapToGrid w:val="0"/>
                    <w:jc w:val="center"/>
                    <w:rPr>
                      <w:rFonts w:hint="eastAsia"/>
                      <w:bCs/>
                      <w:kern w:val="0"/>
                      <w:szCs w:val="21"/>
                      <w:highlight w:val="yellow"/>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23" w:type="dxa"/>
                  <w:bottom w:w="0" w:type="dxa"/>
                  <w:right w:w="23" w:type="dxa"/>
                </w:tblCellMar>
              </w:tblPrEx>
              <w:trPr>
                <w:trHeight w:val="269" w:hRule="atLeast"/>
              </w:trPr>
              <w:tc>
                <w:tcPr>
                  <w:tcW w:w="482" w:type="dxa"/>
                  <w:vMerge w:val="continue"/>
                  <w:vAlign w:val="center"/>
                </w:tcPr>
                <w:p>
                  <w:pPr>
                    <w:widowControl/>
                    <w:snapToGrid w:val="0"/>
                    <w:jc w:val="center"/>
                  </w:pPr>
                </w:p>
              </w:tc>
              <w:tc>
                <w:tcPr>
                  <w:tcW w:w="891" w:type="dxa"/>
                  <w:vAlign w:val="center"/>
                </w:tcPr>
                <w:p>
                  <w:pPr>
                    <w:widowControl/>
                    <w:snapToGrid w:val="0"/>
                    <w:jc w:val="center"/>
                    <w:rPr>
                      <w:rFonts w:hint="default" w:ascii="Times New Roman" w:hAnsi="宋体" w:eastAsia="宋体" w:cs="Times New Roman"/>
                      <w:b w:val="0"/>
                      <w:bCs w:val="0"/>
                      <w:kern w:val="2"/>
                      <w:sz w:val="21"/>
                      <w:szCs w:val="21"/>
                      <w:highlight w:val="none"/>
                      <w:lang w:val="en-US" w:eastAsia="zh-CN" w:bidi="ar-SA"/>
                    </w:rPr>
                  </w:pPr>
                  <w:r>
                    <w:rPr>
                      <w:rFonts w:hint="eastAsia" w:ascii="Times New Roman" w:hAnsi="宋体" w:eastAsia="宋体" w:cs="Times New Roman"/>
                      <w:b w:val="0"/>
                      <w:bCs w:val="0"/>
                      <w:kern w:val="2"/>
                      <w:sz w:val="21"/>
                      <w:szCs w:val="21"/>
                      <w:highlight w:val="none"/>
                      <w:lang w:val="en-US" w:eastAsia="zh-CN" w:bidi="ar-SA"/>
                    </w:rPr>
                    <w:t>G</w:t>
                  </w:r>
                  <w:r>
                    <w:rPr>
                      <w:rFonts w:hint="eastAsia" w:hAnsi="宋体" w:cs="Times New Roman"/>
                      <w:b w:val="0"/>
                      <w:bCs w:val="0"/>
                      <w:kern w:val="2"/>
                      <w:sz w:val="21"/>
                      <w:szCs w:val="21"/>
                      <w:highlight w:val="none"/>
                      <w:lang w:val="en-US" w:eastAsia="zh-CN" w:bidi="ar-SA"/>
                    </w:rPr>
                    <w:t>4</w:t>
                  </w:r>
                </w:p>
              </w:tc>
              <w:tc>
                <w:tcPr>
                  <w:tcW w:w="1466" w:type="dxa"/>
                  <w:vAlign w:val="center"/>
                </w:tcPr>
                <w:p>
                  <w:pPr>
                    <w:widowControl/>
                    <w:snapToGrid w:val="0"/>
                    <w:jc w:val="center"/>
                    <w:rPr>
                      <w:rFonts w:hint="eastAsia" w:ascii="Times New Roman" w:hAnsi="宋体" w:eastAsia="宋体" w:cs="Times New Roman"/>
                      <w:b w:val="0"/>
                      <w:bCs w:val="0"/>
                      <w:kern w:val="2"/>
                      <w:sz w:val="21"/>
                      <w:szCs w:val="21"/>
                      <w:highlight w:val="none"/>
                      <w:lang w:val="en-US" w:eastAsia="zh-CN" w:bidi="ar-SA"/>
                    </w:rPr>
                  </w:pPr>
                  <w:r>
                    <w:rPr>
                      <w:rFonts w:hint="eastAsia" w:ascii="Times New Roman" w:hAnsi="宋体" w:eastAsia="宋体" w:cs="Times New Roman"/>
                      <w:b w:val="0"/>
                      <w:bCs w:val="0"/>
                      <w:kern w:val="2"/>
                      <w:sz w:val="21"/>
                      <w:szCs w:val="21"/>
                      <w:highlight w:val="none"/>
                      <w:lang w:val="en-US" w:eastAsia="zh-CN" w:bidi="ar-SA"/>
                    </w:rPr>
                    <w:t>加热熔融</w:t>
                  </w:r>
                </w:p>
              </w:tc>
              <w:tc>
                <w:tcPr>
                  <w:tcW w:w="3276" w:type="dxa"/>
                  <w:vAlign w:val="center"/>
                </w:tcPr>
                <w:p>
                  <w:pPr>
                    <w:autoSpaceDE w:val="0"/>
                    <w:autoSpaceDN w:val="0"/>
                    <w:adjustRightInd w:val="0"/>
                    <w:snapToGrid w:val="0"/>
                    <w:jc w:val="center"/>
                    <w:rPr>
                      <w:rFonts w:hint="eastAsia"/>
                      <w:highlight w:val="none"/>
                      <w:lang w:val="en-US" w:eastAsia="zh-CN"/>
                    </w:rPr>
                  </w:pPr>
                  <w:r>
                    <w:rPr>
                      <w:rFonts w:hint="eastAsia"/>
                      <w:highlight w:val="none"/>
                      <w:lang w:val="en-US" w:eastAsia="zh-CN"/>
                    </w:rPr>
                    <w:t>苯乙烯</w:t>
                  </w:r>
                </w:p>
              </w:tc>
              <w:tc>
                <w:tcPr>
                  <w:tcW w:w="2145" w:type="dxa"/>
                  <w:vMerge w:val="continue"/>
                  <w:vAlign w:val="center"/>
                </w:tcPr>
                <w:p>
                  <w:pPr>
                    <w:widowControl/>
                    <w:snapToGrid w:val="0"/>
                    <w:jc w:val="center"/>
                    <w:rPr>
                      <w:rFonts w:hint="eastAsia"/>
                      <w:bCs/>
                      <w:kern w:val="0"/>
                      <w:szCs w:val="21"/>
                      <w:highlight w:val="yellow"/>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23" w:type="dxa"/>
                  <w:bottom w:w="0" w:type="dxa"/>
                  <w:right w:w="23" w:type="dxa"/>
                </w:tblCellMar>
              </w:tblPrEx>
              <w:trPr>
                <w:trHeight w:val="269" w:hRule="atLeast"/>
              </w:trPr>
              <w:tc>
                <w:tcPr>
                  <w:tcW w:w="482" w:type="dxa"/>
                  <w:vMerge w:val="continue"/>
                  <w:vAlign w:val="center"/>
                </w:tcPr>
                <w:p>
                  <w:pPr>
                    <w:widowControl/>
                    <w:snapToGrid w:val="0"/>
                    <w:jc w:val="center"/>
                  </w:pPr>
                </w:p>
              </w:tc>
              <w:tc>
                <w:tcPr>
                  <w:tcW w:w="891" w:type="dxa"/>
                  <w:vAlign w:val="center"/>
                </w:tcPr>
                <w:p>
                  <w:pPr>
                    <w:widowControl/>
                    <w:snapToGrid w:val="0"/>
                    <w:jc w:val="center"/>
                    <w:rPr>
                      <w:rFonts w:hint="default" w:ascii="Times New Roman" w:hAnsi="宋体" w:eastAsia="宋体" w:cs="Times New Roman"/>
                      <w:b w:val="0"/>
                      <w:bCs w:val="0"/>
                      <w:kern w:val="2"/>
                      <w:sz w:val="21"/>
                      <w:szCs w:val="21"/>
                      <w:highlight w:val="none"/>
                      <w:lang w:val="en-US" w:eastAsia="zh-CN" w:bidi="ar-SA"/>
                    </w:rPr>
                  </w:pPr>
                  <w:r>
                    <w:rPr>
                      <w:rFonts w:hint="eastAsia" w:ascii="Times New Roman" w:hAnsi="宋体" w:eastAsia="宋体" w:cs="Times New Roman"/>
                      <w:b w:val="0"/>
                      <w:bCs w:val="0"/>
                      <w:kern w:val="2"/>
                      <w:sz w:val="21"/>
                      <w:szCs w:val="21"/>
                      <w:highlight w:val="none"/>
                      <w:lang w:val="en-US" w:eastAsia="zh-CN" w:bidi="ar-SA"/>
                    </w:rPr>
                    <w:t>G</w:t>
                  </w:r>
                  <w:r>
                    <w:rPr>
                      <w:rFonts w:hint="eastAsia" w:hAnsi="宋体" w:cs="Times New Roman"/>
                      <w:b w:val="0"/>
                      <w:bCs w:val="0"/>
                      <w:kern w:val="2"/>
                      <w:sz w:val="21"/>
                      <w:szCs w:val="21"/>
                      <w:highlight w:val="none"/>
                      <w:lang w:val="en-US" w:eastAsia="zh-CN" w:bidi="ar-SA"/>
                    </w:rPr>
                    <w:t>5</w:t>
                  </w:r>
                </w:p>
              </w:tc>
              <w:tc>
                <w:tcPr>
                  <w:tcW w:w="1466" w:type="dxa"/>
                  <w:vAlign w:val="center"/>
                </w:tcPr>
                <w:p>
                  <w:pPr>
                    <w:widowControl/>
                    <w:snapToGrid w:val="0"/>
                    <w:jc w:val="center"/>
                    <w:rPr>
                      <w:rFonts w:hint="eastAsia" w:ascii="Times New Roman" w:hAnsi="宋体" w:eastAsia="宋体" w:cs="Times New Roman"/>
                      <w:b w:val="0"/>
                      <w:bCs w:val="0"/>
                      <w:kern w:val="2"/>
                      <w:sz w:val="21"/>
                      <w:szCs w:val="21"/>
                      <w:highlight w:val="none"/>
                      <w:lang w:val="en-US" w:eastAsia="zh-CN" w:bidi="ar-SA"/>
                    </w:rPr>
                  </w:pPr>
                  <w:r>
                    <w:rPr>
                      <w:rFonts w:hint="eastAsia" w:ascii="Times New Roman" w:hAnsi="宋体" w:eastAsia="宋体" w:cs="Times New Roman"/>
                      <w:b w:val="0"/>
                      <w:bCs w:val="0"/>
                      <w:kern w:val="2"/>
                      <w:sz w:val="21"/>
                      <w:szCs w:val="21"/>
                      <w:highlight w:val="none"/>
                      <w:lang w:val="en-US" w:eastAsia="zh-CN" w:bidi="ar-SA"/>
                    </w:rPr>
                    <w:t>加热熔融</w:t>
                  </w:r>
                </w:p>
              </w:tc>
              <w:tc>
                <w:tcPr>
                  <w:tcW w:w="3276" w:type="dxa"/>
                  <w:vAlign w:val="center"/>
                </w:tcPr>
                <w:p>
                  <w:pPr>
                    <w:autoSpaceDE w:val="0"/>
                    <w:autoSpaceDN w:val="0"/>
                    <w:adjustRightInd w:val="0"/>
                    <w:snapToGrid w:val="0"/>
                    <w:jc w:val="center"/>
                    <w:rPr>
                      <w:rFonts w:hint="eastAsia"/>
                      <w:highlight w:val="none"/>
                      <w:lang w:val="en-US" w:eastAsia="zh-CN"/>
                    </w:rPr>
                  </w:pPr>
                  <w:r>
                    <w:rPr>
                      <w:rFonts w:hint="eastAsia"/>
                      <w:highlight w:val="none"/>
                      <w:lang w:val="en-US" w:eastAsia="zh-CN"/>
                    </w:rPr>
                    <w:t>丙烯腈</w:t>
                  </w:r>
                </w:p>
              </w:tc>
              <w:tc>
                <w:tcPr>
                  <w:tcW w:w="2145" w:type="dxa"/>
                  <w:vMerge w:val="continue"/>
                  <w:vAlign w:val="center"/>
                </w:tcPr>
                <w:p>
                  <w:pPr>
                    <w:widowControl/>
                    <w:snapToGrid w:val="0"/>
                    <w:jc w:val="center"/>
                    <w:rPr>
                      <w:rFonts w:hint="eastAsia"/>
                      <w:bCs/>
                      <w:kern w:val="0"/>
                      <w:szCs w:val="21"/>
                      <w:highlight w:val="yellow"/>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23" w:type="dxa"/>
                  <w:bottom w:w="0" w:type="dxa"/>
                  <w:right w:w="23" w:type="dxa"/>
                </w:tblCellMar>
              </w:tblPrEx>
              <w:trPr>
                <w:trHeight w:val="284" w:hRule="atLeast"/>
              </w:trPr>
              <w:tc>
                <w:tcPr>
                  <w:tcW w:w="482" w:type="dxa"/>
                  <w:vMerge w:val="restart"/>
                  <w:vAlign w:val="center"/>
                </w:tcPr>
                <w:p>
                  <w:pPr>
                    <w:widowControl/>
                    <w:snapToGrid w:val="0"/>
                    <w:jc w:val="center"/>
                    <w:rPr>
                      <w:rFonts w:hint="eastAsia" w:ascii="Times New Roman" w:hAnsi="宋体" w:eastAsia="宋体" w:cs="Times New Roman"/>
                      <w:b w:val="0"/>
                      <w:bCs w:val="0"/>
                      <w:kern w:val="2"/>
                      <w:sz w:val="21"/>
                      <w:szCs w:val="21"/>
                      <w:highlight w:val="none"/>
                      <w:lang w:val="en-US" w:eastAsia="zh-CN" w:bidi="ar-SA"/>
                    </w:rPr>
                  </w:pPr>
                  <w:r>
                    <w:rPr>
                      <w:rFonts w:hint="eastAsia" w:ascii="Times New Roman" w:hAnsi="宋体" w:eastAsia="宋体" w:cs="Times New Roman"/>
                      <w:b w:val="0"/>
                      <w:bCs w:val="0"/>
                      <w:kern w:val="2"/>
                      <w:sz w:val="21"/>
                      <w:szCs w:val="21"/>
                      <w:highlight w:val="none"/>
                      <w:lang w:val="en-US" w:eastAsia="zh-CN" w:bidi="ar-SA"/>
                    </w:rPr>
                    <w:t>废水</w:t>
                  </w:r>
                </w:p>
              </w:tc>
              <w:tc>
                <w:tcPr>
                  <w:tcW w:w="891" w:type="dxa"/>
                  <w:vAlign w:val="center"/>
                </w:tcPr>
                <w:p>
                  <w:pPr>
                    <w:widowControl/>
                    <w:snapToGrid w:val="0"/>
                    <w:jc w:val="center"/>
                    <w:rPr>
                      <w:rFonts w:hint="eastAsia" w:ascii="Times New Roman" w:hAnsi="宋体" w:eastAsia="宋体" w:cs="Times New Roman"/>
                      <w:b w:val="0"/>
                      <w:bCs w:val="0"/>
                      <w:kern w:val="2"/>
                      <w:sz w:val="21"/>
                      <w:szCs w:val="21"/>
                      <w:highlight w:val="none"/>
                      <w:lang w:val="en-US" w:eastAsia="zh-CN" w:bidi="ar-SA"/>
                    </w:rPr>
                  </w:pPr>
                  <w:r>
                    <w:rPr>
                      <w:rFonts w:hint="eastAsia" w:ascii="Times New Roman" w:hAnsi="宋体" w:eastAsia="宋体" w:cs="Times New Roman"/>
                      <w:b w:val="0"/>
                      <w:bCs w:val="0"/>
                      <w:kern w:val="2"/>
                      <w:sz w:val="21"/>
                      <w:szCs w:val="21"/>
                      <w:highlight w:val="none"/>
                      <w:lang w:val="en-US" w:eastAsia="zh-CN" w:bidi="ar-SA"/>
                    </w:rPr>
                    <w:t>W1</w:t>
                  </w:r>
                </w:p>
              </w:tc>
              <w:tc>
                <w:tcPr>
                  <w:tcW w:w="1466" w:type="dxa"/>
                  <w:vAlign w:val="center"/>
                </w:tcPr>
                <w:p>
                  <w:pPr>
                    <w:widowControl/>
                    <w:snapToGrid w:val="0"/>
                    <w:jc w:val="center"/>
                    <w:rPr>
                      <w:rFonts w:hint="eastAsia" w:ascii="Times New Roman" w:hAnsi="宋体" w:eastAsia="宋体" w:cs="Times New Roman"/>
                      <w:b w:val="0"/>
                      <w:bCs w:val="0"/>
                      <w:kern w:val="2"/>
                      <w:sz w:val="21"/>
                      <w:szCs w:val="21"/>
                      <w:highlight w:val="none"/>
                      <w:lang w:val="en-US" w:eastAsia="zh-CN" w:bidi="ar-SA"/>
                    </w:rPr>
                  </w:pPr>
                  <w:r>
                    <w:rPr>
                      <w:rFonts w:hint="eastAsia" w:ascii="Times New Roman" w:hAnsi="宋体" w:eastAsia="宋体" w:cs="Times New Roman"/>
                      <w:b w:val="0"/>
                      <w:bCs w:val="0"/>
                      <w:kern w:val="2"/>
                      <w:sz w:val="21"/>
                      <w:szCs w:val="21"/>
                      <w:highlight w:val="none"/>
                      <w:lang w:val="en-US" w:eastAsia="zh-CN" w:bidi="ar-SA"/>
                    </w:rPr>
                    <w:t>冷却废水</w:t>
                  </w:r>
                </w:p>
              </w:tc>
              <w:tc>
                <w:tcPr>
                  <w:tcW w:w="3276" w:type="dxa"/>
                  <w:vAlign w:val="center"/>
                </w:tcPr>
                <w:p>
                  <w:pPr>
                    <w:widowControl/>
                    <w:snapToGrid w:val="0"/>
                    <w:jc w:val="center"/>
                    <w:rPr>
                      <w:rFonts w:hint="eastAsia" w:ascii="Times New Roman" w:hAnsi="宋体" w:eastAsia="宋体" w:cs="Times New Roman"/>
                      <w:b w:val="0"/>
                      <w:bCs w:val="0"/>
                      <w:kern w:val="2"/>
                      <w:sz w:val="21"/>
                      <w:szCs w:val="21"/>
                      <w:highlight w:val="none"/>
                      <w:lang w:val="en-US" w:eastAsia="zh-CN" w:bidi="ar-SA"/>
                    </w:rPr>
                  </w:pPr>
                  <w:r>
                    <w:rPr>
                      <w:rFonts w:hint="eastAsia" w:ascii="Times New Roman" w:hAnsi="宋体" w:eastAsia="宋体" w:cs="Times New Roman"/>
                      <w:b w:val="0"/>
                      <w:bCs w:val="0"/>
                      <w:kern w:val="2"/>
                      <w:sz w:val="21"/>
                      <w:szCs w:val="21"/>
                      <w:highlight w:val="none"/>
                      <w:lang w:val="en-US" w:eastAsia="zh-CN" w:bidi="ar-SA"/>
                    </w:rPr>
                    <w:t>冷却废水</w:t>
                  </w:r>
                </w:p>
              </w:tc>
              <w:tc>
                <w:tcPr>
                  <w:tcW w:w="2145" w:type="dxa"/>
                  <w:vMerge w:val="restart"/>
                  <w:vAlign w:val="center"/>
                </w:tcPr>
                <w:p>
                  <w:pPr>
                    <w:widowControl/>
                    <w:snapToGrid w:val="0"/>
                    <w:jc w:val="center"/>
                    <w:rPr>
                      <w:rFonts w:hint="eastAsia" w:ascii="Times New Roman" w:hAnsi="宋体" w:eastAsia="宋体" w:cs="Times New Roman"/>
                      <w:b w:val="0"/>
                      <w:bCs w:val="0"/>
                      <w:kern w:val="2"/>
                      <w:sz w:val="21"/>
                      <w:szCs w:val="21"/>
                      <w:highlight w:val="none"/>
                      <w:lang w:val="en-US" w:eastAsia="zh-CN" w:bidi="ar-SA"/>
                    </w:rPr>
                  </w:pPr>
                  <w:r>
                    <w:rPr>
                      <w:rFonts w:hint="default" w:ascii="Times New Roman" w:hAnsi="宋体" w:eastAsia="宋体" w:cs="Times New Roman"/>
                      <w:b w:val="0"/>
                      <w:bCs w:val="0"/>
                      <w:kern w:val="2"/>
                      <w:sz w:val="21"/>
                      <w:szCs w:val="21"/>
                      <w:highlight w:val="none"/>
                      <w:lang w:val="en-US" w:eastAsia="zh-CN" w:bidi="ar-SA"/>
                    </w:rPr>
                    <w:t>经市政污水管网排入科技城水质净化厂处理，处理达标后尾水排入</w:t>
                  </w:r>
                  <w:r>
                    <w:rPr>
                      <w:rFonts w:hint="eastAsia" w:ascii="Times New Roman" w:hAnsi="宋体" w:eastAsia="宋体" w:cs="Times New Roman"/>
                      <w:b w:val="0"/>
                      <w:bCs w:val="0"/>
                      <w:kern w:val="2"/>
                      <w:sz w:val="21"/>
                      <w:szCs w:val="21"/>
                      <w:highlight w:val="none"/>
                      <w:lang w:val="en-US" w:eastAsia="zh-CN" w:bidi="ar-SA"/>
                    </w:rPr>
                    <w:t>京杭大运河</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23" w:type="dxa"/>
                  <w:bottom w:w="0" w:type="dxa"/>
                  <w:right w:w="23" w:type="dxa"/>
                </w:tblCellMar>
              </w:tblPrEx>
              <w:trPr>
                <w:trHeight w:val="284" w:hRule="atLeast"/>
              </w:trPr>
              <w:tc>
                <w:tcPr>
                  <w:tcW w:w="482" w:type="dxa"/>
                  <w:vMerge w:val="continue"/>
                  <w:vAlign w:val="center"/>
                </w:tcPr>
                <w:p>
                  <w:pPr>
                    <w:widowControl/>
                    <w:snapToGrid w:val="0"/>
                    <w:jc w:val="center"/>
                    <w:rPr>
                      <w:rFonts w:hint="eastAsia" w:ascii="Times New Roman" w:hAnsi="宋体" w:eastAsia="宋体" w:cs="Times New Roman"/>
                      <w:b w:val="0"/>
                      <w:bCs w:val="0"/>
                      <w:kern w:val="2"/>
                      <w:sz w:val="21"/>
                      <w:szCs w:val="21"/>
                      <w:highlight w:val="none"/>
                      <w:lang w:val="en-US" w:eastAsia="zh-CN" w:bidi="ar-SA"/>
                    </w:rPr>
                  </w:pPr>
                </w:p>
              </w:tc>
              <w:tc>
                <w:tcPr>
                  <w:tcW w:w="891" w:type="dxa"/>
                  <w:vAlign w:val="center"/>
                </w:tcPr>
                <w:p>
                  <w:pPr>
                    <w:widowControl/>
                    <w:snapToGrid w:val="0"/>
                    <w:jc w:val="center"/>
                    <w:rPr>
                      <w:rFonts w:hint="eastAsia" w:ascii="Times New Roman" w:hAnsi="宋体" w:eastAsia="宋体" w:cs="Times New Roman"/>
                      <w:b w:val="0"/>
                      <w:bCs w:val="0"/>
                      <w:kern w:val="2"/>
                      <w:sz w:val="21"/>
                      <w:szCs w:val="21"/>
                      <w:highlight w:val="none"/>
                      <w:lang w:val="en-US" w:eastAsia="zh-CN" w:bidi="ar-SA"/>
                    </w:rPr>
                  </w:pPr>
                  <w:r>
                    <w:rPr>
                      <w:rFonts w:hint="eastAsia" w:ascii="Times New Roman" w:hAnsi="宋体" w:eastAsia="宋体" w:cs="Times New Roman"/>
                      <w:b w:val="0"/>
                      <w:bCs w:val="0"/>
                      <w:kern w:val="2"/>
                      <w:sz w:val="21"/>
                      <w:szCs w:val="21"/>
                      <w:highlight w:val="none"/>
                      <w:lang w:val="en-US" w:eastAsia="zh-CN" w:bidi="ar-SA"/>
                    </w:rPr>
                    <w:t>W2</w:t>
                  </w:r>
                </w:p>
              </w:tc>
              <w:tc>
                <w:tcPr>
                  <w:tcW w:w="1466" w:type="dxa"/>
                  <w:vAlign w:val="center"/>
                </w:tcPr>
                <w:p>
                  <w:pPr>
                    <w:widowControl/>
                    <w:snapToGrid w:val="0"/>
                    <w:jc w:val="center"/>
                    <w:rPr>
                      <w:rFonts w:hint="eastAsia" w:ascii="Times New Roman" w:hAnsi="宋体" w:eastAsia="宋体" w:cs="Times New Roman"/>
                      <w:b w:val="0"/>
                      <w:bCs w:val="0"/>
                      <w:kern w:val="2"/>
                      <w:sz w:val="21"/>
                      <w:szCs w:val="21"/>
                      <w:highlight w:val="none"/>
                      <w:lang w:val="en-US" w:eastAsia="zh-CN" w:bidi="ar-SA"/>
                    </w:rPr>
                  </w:pPr>
                  <w:r>
                    <w:rPr>
                      <w:rFonts w:hint="eastAsia" w:ascii="Times New Roman" w:hAnsi="宋体" w:eastAsia="宋体" w:cs="Times New Roman"/>
                      <w:b w:val="0"/>
                      <w:bCs w:val="0"/>
                      <w:kern w:val="2"/>
                      <w:sz w:val="21"/>
                      <w:szCs w:val="21"/>
                      <w:highlight w:val="none"/>
                      <w:lang w:val="en-US" w:eastAsia="zh-CN" w:bidi="ar-SA"/>
                    </w:rPr>
                    <w:t>生活污水</w:t>
                  </w:r>
                </w:p>
              </w:tc>
              <w:tc>
                <w:tcPr>
                  <w:tcW w:w="3276" w:type="dxa"/>
                  <w:vAlign w:val="center"/>
                </w:tcPr>
                <w:p>
                  <w:pPr>
                    <w:widowControl/>
                    <w:snapToGrid w:val="0"/>
                    <w:jc w:val="center"/>
                    <w:rPr>
                      <w:rFonts w:hint="eastAsia" w:ascii="Times New Roman" w:hAnsi="宋体" w:eastAsia="宋体" w:cs="Times New Roman"/>
                      <w:b w:val="0"/>
                      <w:bCs w:val="0"/>
                      <w:kern w:val="2"/>
                      <w:sz w:val="21"/>
                      <w:szCs w:val="21"/>
                      <w:highlight w:val="none"/>
                      <w:lang w:val="en-US" w:eastAsia="zh-CN" w:bidi="ar-SA"/>
                    </w:rPr>
                  </w:pPr>
                  <w:r>
                    <w:rPr>
                      <w:rFonts w:hint="eastAsia" w:ascii="Times New Roman" w:hAnsi="宋体" w:eastAsia="宋体" w:cs="Times New Roman"/>
                      <w:b w:val="0"/>
                      <w:bCs w:val="0"/>
                      <w:kern w:val="2"/>
                      <w:sz w:val="21"/>
                      <w:szCs w:val="21"/>
                      <w:highlight w:val="none"/>
                      <w:lang w:val="en-US" w:eastAsia="zh-CN" w:bidi="ar-SA"/>
                    </w:rPr>
                    <w:t>生活污水</w:t>
                  </w:r>
                </w:p>
              </w:tc>
              <w:tc>
                <w:tcPr>
                  <w:tcW w:w="2145" w:type="dxa"/>
                  <w:vMerge w:val="continue"/>
                  <w:vAlign w:val="center"/>
                </w:tcPr>
                <w:p>
                  <w:pPr>
                    <w:widowControl/>
                    <w:snapToGrid w:val="0"/>
                    <w:jc w:val="center"/>
                    <w:rPr>
                      <w:rFonts w:hint="eastAsia" w:ascii="Times New Roman" w:hAnsi="宋体" w:eastAsia="宋体" w:cs="Times New Roman"/>
                      <w:b w:val="0"/>
                      <w:bCs w:val="0"/>
                      <w:kern w:val="2"/>
                      <w:sz w:val="21"/>
                      <w:szCs w:val="21"/>
                      <w:highlight w:val="none"/>
                      <w:lang w:val="en-US" w:eastAsia="zh-CN" w:bidi="ar-SA"/>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23" w:type="dxa"/>
                  <w:bottom w:w="0" w:type="dxa"/>
                  <w:right w:w="23" w:type="dxa"/>
                </w:tblCellMar>
              </w:tblPrEx>
              <w:trPr>
                <w:trHeight w:val="200" w:hRule="atLeast"/>
              </w:trPr>
              <w:tc>
                <w:tcPr>
                  <w:tcW w:w="482" w:type="dxa"/>
                  <w:vMerge w:val="restart"/>
                  <w:vAlign w:val="center"/>
                </w:tcPr>
                <w:p>
                  <w:pPr>
                    <w:widowControl/>
                    <w:snapToGrid w:val="0"/>
                    <w:jc w:val="center"/>
                    <w:rPr>
                      <w:kern w:val="0"/>
                      <w:szCs w:val="21"/>
                      <w:highlight w:val="none"/>
                    </w:rPr>
                  </w:pPr>
                  <w:r>
                    <w:rPr>
                      <w:kern w:val="0"/>
                      <w:szCs w:val="21"/>
                      <w:highlight w:val="none"/>
                    </w:rPr>
                    <w:t>固废</w:t>
                  </w:r>
                </w:p>
              </w:tc>
              <w:tc>
                <w:tcPr>
                  <w:tcW w:w="891" w:type="dxa"/>
                  <w:vAlign w:val="center"/>
                </w:tcPr>
                <w:p>
                  <w:pPr>
                    <w:widowControl/>
                    <w:snapToGrid w:val="0"/>
                    <w:jc w:val="center"/>
                    <w:rPr>
                      <w:rFonts w:eastAsia="等线"/>
                      <w:kern w:val="0"/>
                      <w:szCs w:val="21"/>
                      <w:highlight w:val="none"/>
                    </w:rPr>
                  </w:pPr>
                  <w:r>
                    <w:rPr>
                      <w:rFonts w:eastAsia="等线"/>
                      <w:kern w:val="0"/>
                      <w:szCs w:val="21"/>
                      <w:highlight w:val="none"/>
                    </w:rPr>
                    <w:t>S1</w:t>
                  </w:r>
                </w:p>
              </w:tc>
              <w:tc>
                <w:tcPr>
                  <w:tcW w:w="1466" w:type="dxa"/>
                  <w:vAlign w:val="center"/>
                </w:tcPr>
                <w:p>
                  <w:pPr>
                    <w:widowControl/>
                    <w:snapToGrid w:val="0"/>
                    <w:jc w:val="center"/>
                    <w:rPr>
                      <w:rFonts w:hint="eastAsia" w:eastAsia="宋体"/>
                      <w:kern w:val="0"/>
                      <w:szCs w:val="21"/>
                      <w:highlight w:val="none"/>
                      <w:lang w:eastAsia="zh-CN"/>
                    </w:rPr>
                  </w:pPr>
                  <w:r>
                    <w:rPr>
                      <w:rFonts w:hint="eastAsia"/>
                      <w:kern w:val="0"/>
                      <w:szCs w:val="21"/>
                      <w:highlight w:val="none"/>
                      <w:lang w:eastAsia="zh-CN"/>
                    </w:rPr>
                    <w:t>生产过程</w:t>
                  </w:r>
                </w:p>
              </w:tc>
              <w:tc>
                <w:tcPr>
                  <w:tcW w:w="3276" w:type="dxa"/>
                  <w:vAlign w:val="center"/>
                </w:tcPr>
                <w:p>
                  <w:pPr>
                    <w:widowControl/>
                    <w:snapToGrid w:val="0"/>
                    <w:jc w:val="center"/>
                    <w:rPr>
                      <w:kern w:val="0"/>
                      <w:szCs w:val="21"/>
                      <w:highlight w:val="none"/>
                    </w:rPr>
                  </w:pPr>
                  <w:r>
                    <w:rPr>
                      <w:rFonts w:hint="eastAsia"/>
                      <w:kern w:val="0"/>
                      <w:szCs w:val="21"/>
                      <w:highlight w:val="none"/>
                      <w:lang w:eastAsia="zh-CN"/>
                    </w:rPr>
                    <w:t>废切削液</w:t>
                  </w:r>
                </w:p>
              </w:tc>
              <w:tc>
                <w:tcPr>
                  <w:tcW w:w="2145" w:type="dxa"/>
                  <w:vAlign w:val="center"/>
                </w:tcPr>
                <w:p>
                  <w:pPr>
                    <w:widowControl/>
                    <w:snapToGrid w:val="0"/>
                    <w:jc w:val="center"/>
                    <w:rPr>
                      <w:kern w:val="0"/>
                      <w:szCs w:val="21"/>
                      <w:highlight w:val="none"/>
                    </w:rPr>
                  </w:pPr>
                  <w:r>
                    <w:rPr>
                      <w:kern w:val="0"/>
                      <w:szCs w:val="21"/>
                      <w:highlight w:val="none"/>
                    </w:rPr>
                    <w:t>交由有资质单位处</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23" w:type="dxa"/>
                  <w:bottom w:w="0" w:type="dxa"/>
                  <w:right w:w="23" w:type="dxa"/>
                </w:tblCellMar>
              </w:tblPrEx>
              <w:trPr>
                <w:trHeight w:val="82" w:hRule="atLeast"/>
              </w:trPr>
              <w:tc>
                <w:tcPr>
                  <w:tcW w:w="482" w:type="dxa"/>
                  <w:vMerge w:val="continue"/>
                  <w:vAlign w:val="center"/>
                </w:tcPr>
                <w:p>
                  <w:pPr>
                    <w:widowControl/>
                    <w:snapToGrid w:val="0"/>
                    <w:jc w:val="center"/>
                    <w:rPr>
                      <w:kern w:val="0"/>
                      <w:szCs w:val="21"/>
                      <w:highlight w:val="none"/>
                    </w:rPr>
                  </w:pPr>
                </w:p>
              </w:tc>
              <w:tc>
                <w:tcPr>
                  <w:tcW w:w="891" w:type="dxa"/>
                  <w:vAlign w:val="center"/>
                </w:tcPr>
                <w:p>
                  <w:pPr>
                    <w:widowControl/>
                    <w:snapToGrid w:val="0"/>
                    <w:jc w:val="center"/>
                    <w:rPr>
                      <w:rFonts w:eastAsia="等线"/>
                      <w:kern w:val="0"/>
                      <w:szCs w:val="21"/>
                      <w:highlight w:val="none"/>
                    </w:rPr>
                  </w:pPr>
                  <w:r>
                    <w:rPr>
                      <w:rFonts w:eastAsia="等线"/>
                      <w:kern w:val="0"/>
                      <w:szCs w:val="21"/>
                      <w:highlight w:val="none"/>
                    </w:rPr>
                    <w:t>S2</w:t>
                  </w:r>
                </w:p>
              </w:tc>
              <w:tc>
                <w:tcPr>
                  <w:tcW w:w="1466" w:type="dxa"/>
                  <w:vAlign w:val="center"/>
                </w:tcPr>
                <w:p>
                  <w:pPr>
                    <w:widowControl/>
                    <w:snapToGrid w:val="0"/>
                    <w:jc w:val="center"/>
                    <w:rPr>
                      <w:rFonts w:hint="eastAsia" w:ascii="Times New Roman" w:hAnsi="宋体" w:eastAsia="宋体" w:cs="Times New Roman"/>
                      <w:b w:val="0"/>
                      <w:bCs w:val="0"/>
                      <w:kern w:val="2"/>
                      <w:sz w:val="21"/>
                      <w:szCs w:val="21"/>
                      <w:highlight w:val="none"/>
                      <w:lang w:val="en-US" w:eastAsia="zh-CN" w:bidi="ar-SA"/>
                    </w:rPr>
                  </w:pPr>
                  <w:r>
                    <w:rPr>
                      <w:rFonts w:hint="eastAsia" w:ascii="Times New Roman" w:hAnsi="宋体" w:eastAsia="宋体" w:cs="Times New Roman"/>
                      <w:b w:val="0"/>
                      <w:bCs w:val="0"/>
                      <w:kern w:val="2"/>
                      <w:sz w:val="21"/>
                      <w:szCs w:val="21"/>
                      <w:highlight w:val="none"/>
                      <w:lang w:val="en-US" w:eastAsia="zh-CN" w:bidi="ar-SA"/>
                    </w:rPr>
                    <w:t>生产过程</w:t>
                  </w:r>
                </w:p>
              </w:tc>
              <w:tc>
                <w:tcPr>
                  <w:tcW w:w="3276" w:type="dxa"/>
                  <w:vAlign w:val="center"/>
                </w:tcPr>
                <w:p>
                  <w:pPr>
                    <w:widowControl/>
                    <w:snapToGrid w:val="0"/>
                    <w:jc w:val="center"/>
                    <w:rPr>
                      <w:rFonts w:hint="default" w:ascii="Times New Roman" w:hAnsi="宋体" w:eastAsia="宋体" w:cs="Times New Roman"/>
                      <w:b w:val="0"/>
                      <w:bCs w:val="0"/>
                      <w:kern w:val="2"/>
                      <w:sz w:val="21"/>
                      <w:szCs w:val="21"/>
                      <w:highlight w:val="none"/>
                      <w:lang w:val="en-US" w:eastAsia="zh-CN" w:bidi="ar-SA"/>
                    </w:rPr>
                  </w:pPr>
                  <w:r>
                    <w:rPr>
                      <w:rFonts w:hint="eastAsia" w:ascii="Times New Roman" w:hAnsi="宋体" w:eastAsia="宋体" w:cs="Times New Roman"/>
                      <w:b w:val="0"/>
                      <w:bCs w:val="0"/>
                      <w:kern w:val="2"/>
                      <w:sz w:val="21"/>
                      <w:szCs w:val="21"/>
                      <w:highlight w:val="none"/>
                      <w:lang w:val="en-US" w:eastAsia="zh-CN" w:bidi="ar-SA"/>
                    </w:rPr>
                    <w:t>废油墨</w:t>
                  </w:r>
                </w:p>
              </w:tc>
              <w:tc>
                <w:tcPr>
                  <w:tcW w:w="2145" w:type="dxa"/>
                  <w:vAlign w:val="center"/>
                </w:tcPr>
                <w:p>
                  <w:pPr>
                    <w:widowControl/>
                    <w:snapToGrid w:val="0"/>
                    <w:jc w:val="center"/>
                    <w:rPr>
                      <w:rFonts w:hint="default" w:ascii="Times New Roman" w:hAnsi="宋体" w:eastAsia="宋体" w:cs="Times New Roman"/>
                      <w:b w:val="0"/>
                      <w:bCs w:val="0"/>
                      <w:kern w:val="2"/>
                      <w:sz w:val="21"/>
                      <w:szCs w:val="21"/>
                      <w:highlight w:val="none"/>
                      <w:lang w:val="en-US" w:eastAsia="zh-CN" w:bidi="ar-SA"/>
                    </w:rPr>
                  </w:pPr>
                  <w:r>
                    <w:rPr>
                      <w:rFonts w:hint="default" w:ascii="Times New Roman" w:hAnsi="宋体" w:eastAsia="宋体" w:cs="Times New Roman"/>
                      <w:b w:val="0"/>
                      <w:bCs w:val="0"/>
                      <w:kern w:val="2"/>
                      <w:sz w:val="21"/>
                      <w:szCs w:val="21"/>
                      <w:highlight w:val="none"/>
                      <w:lang w:val="en-US" w:eastAsia="zh-CN" w:bidi="ar-SA"/>
                    </w:rPr>
                    <w:t>交由有资质单位处理</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23" w:type="dxa"/>
                  <w:bottom w:w="0" w:type="dxa"/>
                  <w:right w:w="23" w:type="dxa"/>
                </w:tblCellMar>
              </w:tblPrEx>
              <w:trPr>
                <w:trHeight w:val="125" w:hRule="atLeast"/>
              </w:trPr>
              <w:tc>
                <w:tcPr>
                  <w:tcW w:w="482" w:type="dxa"/>
                  <w:vMerge w:val="continue"/>
                  <w:vAlign w:val="center"/>
                </w:tcPr>
                <w:p>
                  <w:pPr>
                    <w:widowControl/>
                    <w:snapToGrid w:val="0"/>
                    <w:jc w:val="center"/>
                    <w:rPr>
                      <w:kern w:val="0"/>
                      <w:szCs w:val="21"/>
                      <w:highlight w:val="none"/>
                    </w:rPr>
                  </w:pPr>
                </w:p>
              </w:tc>
              <w:tc>
                <w:tcPr>
                  <w:tcW w:w="891" w:type="dxa"/>
                  <w:vAlign w:val="center"/>
                </w:tcPr>
                <w:p>
                  <w:pPr>
                    <w:widowControl/>
                    <w:snapToGrid w:val="0"/>
                    <w:jc w:val="center"/>
                    <w:rPr>
                      <w:rFonts w:eastAsia="等线"/>
                      <w:kern w:val="0"/>
                      <w:szCs w:val="21"/>
                      <w:highlight w:val="none"/>
                    </w:rPr>
                  </w:pPr>
                  <w:r>
                    <w:rPr>
                      <w:rFonts w:eastAsia="等线"/>
                      <w:kern w:val="0"/>
                      <w:szCs w:val="21"/>
                      <w:highlight w:val="none"/>
                    </w:rPr>
                    <w:t>S3</w:t>
                  </w:r>
                </w:p>
              </w:tc>
              <w:tc>
                <w:tcPr>
                  <w:tcW w:w="1466" w:type="dxa"/>
                  <w:vAlign w:val="center"/>
                </w:tcPr>
                <w:p>
                  <w:pPr>
                    <w:widowControl/>
                    <w:snapToGrid w:val="0"/>
                    <w:jc w:val="center"/>
                    <w:rPr>
                      <w:rFonts w:hint="eastAsia" w:ascii="Times New Roman" w:hAnsi="宋体" w:eastAsia="宋体" w:cs="Times New Roman"/>
                      <w:b w:val="0"/>
                      <w:bCs w:val="0"/>
                      <w:kern w:val="2"/>
                      <w:sz w:val="21"/>
                      <w:szCs w:val="21"/>
                      <w:highlight w:val="none"/>
                      <w:lang w:val="en-US" w:eastAsia="zh-CN" w:bidi="ar-SA"/>
                    </w:rPr>
                  </w:pPr>
                  <w:r>
                    <w:rPr>
                      <w:rFonts w:hint="eastAsia" w:ascii="Times New Roman" w:hAnsi="宋体" w:eastAsia="宋体" w:cs="Times New Roman"/>
                      <w:b w:val="0"/>
                      <w:bCs w:val="0"/>
                      <w:kern w:val="2"/>
                      <w:sz w:val="21"/>
                      <w:szCs w:val="21"/>
                      <w:highlight w:val="none"/>
                      <w:lang w:val="en-US" w:eastAsia="zh-CN" w:bidi="ar-SA"/>
                    </w:rPr>
                    <w:t>生产过程</w:t>
                  </w:r>
                </w:p>
              </w:tc>
              <w:tc>
                <w:tcPr>
                  <w:tcW w:w="3276" w:type="dxa"/>
                  <w:vAlign w:val="center"/>
                </w:tcPr>
                <w:p>
                  <w:pPr>
                    <w:widowControl/>
                    <w:snapToGrid w:val="0"/>
                    <w:jc w:val="center"/>
                    <w:rPr>
                      <w:rFonts w:hint="eastAsia" w:ascii="Times New Roman" w:hAnsi="宋体" w:eastAsia="宋体" w:cs="Times New Roman"/>
                      <w:b w:val="0"/>
                      <w:bCs w:val="0"/>
                      <w:kern w:val="2"/>
                      <w:sz w:val="21"/>
                      <w:szCs w:val="21"/>
                      <w:highlight w:val="none"/>
                      <w:lang w:val="en-US" w:eastAsia="zh-CN" w:bidi="ar-SA"/>
                    </w:rPr>
                  </w:pPr>
                  <w:r>
                    <w:rPr>
                      <w:rFonts w:hint="eastAsia" w:ascii="Times New Roman" w:hAnsi="宋体" w:eastAsia="宋体" w:cs="Times New Roman"/>
                      <w:b w:val="0"/>
                      <w:bCs w:val="0"/>
                      <w:kern w:val="2"/>
                      <w:sz w:val="21"/>
                      <w:szCs w:val="21"/>
                      <w:highlight w:val="none"/>
                      <w:lang w:val="en-US" w:eastAsia="zh-CN" w:bidi="ar-SA"/>
                    </w:rPr>
                    <w:t>废包装</w:t>
                  </w:r>
                </w:p>
              </w:tc>
              <w:tc>
                <w:tcPr>
                  <w:tcW w:w="2145" w:type="dxa"/>
                  <w:vAlign w:val="center"/>
                </w:tcPr>
                <w:p>
                  <w:pPr>
                    <w:widowControl/>
                    <w:snapToGrid w:val="0"/>
                    <w:jc w:val="center"/>
                    <w:rPr>
                      <w:rFonts w:hint="default" w:ascii="Times New Roman" w:hAnsi="宋体" w:eastAsia="宋体" w:cs="Times New Roman"/>
                      <w:b w:val="0"/>
                      <w:bCs w:val="0"/>
                      <w:kern w:val="2"/>
                      <w:sz w:val="21"/>
                      <w:szCs w:val="21"/>
                      <w:highlight w:val="none"/>
                      <w:lang w:val="en-US" w:eastAsia="zh-CN" w:bidi="ar-SA"/>
                    </w:rPr>
                  </w:pPr>
                  <w:r>
                    <w:rPr>
                      <w:rFonts w:hint="eastAsia" w:ascii="Times New Roman" w:hAnsi="宋体" w:eastAsia="宋体" w:cs="Times New Roman"/>
                      <w:b w:val="0"/>
                      <w:bCs w:val="0"/>
                      <w:kern w:val="2"/>
                      <w:sz w:val="21"/>
                      <w:szCs w:val="21"/>
                      <w:highlight w:val="none"/>
                      <w:lang w:val="en-US" w:eastAsia="zh-CN" w:bidi="ar-SA"/>
                    </w:rPr>
                    <w:t>环卫清运</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23" w:type="dxa"/>
                  <w:bottom w:w="0" w:type="dxa"/>
                  <w:right w:w="23" w:type="dxa"/>
                </w:tblCellMar>
              </w:tblPrEx>
              <w:trPr>
                <w:trHeight w:val="125" w:hRule="atLeast"/>
              </w:trPr>
              <w:tc>
                <w:tcPr>
                  <w:tcW w:w="482" w:type="dxa"/>
                  <w:vMerge w:val="continue"/>
                  <w:vAlign w:val="center"/>
                </w:tcPr>
                <w:p>
                  <w:pPr>
                    <w:widowControl/>
                    <w:snapToGrid w:val="0"/>
                    <w:jc w:val="center"/>
                    <w:rPr>
                      <w:kern w:val="0"/>
                      <w:szCs w:val="21"/>
                      <w:highlight w:val="none"/>
                    </w:rPr>
                  </w:pPr>
                </w:p>
              </w:tc>
              <w:tc>
                <w:tcPr>
                  <w:tcW w:w="891" w:type="dxa"/>
                  <w:vAlign w:val="center"/>
                </w:tcPr>
                <w:p>
                  <w:pPr>
                    <w:widowControl/>
                    <w:snapToGrid w:val="0"/>
                    <w:jc w:val="center"/>
                    <w:rPr>
                      <w:rFonts w:hint="eastAsia" w:ascii="Times New Roman" w:hAnsi="Times New Roman" w:eastAsia="等线" w:cs="Times New Roman"/>
                      <w:kern w:val="0"/>
                      <w:sz w:val="21"/>
                      <w:szCs w:val="21"/>
                      <w:highlight w:val="none"/>
                      <w:lang w:val="en-US" w:eastAsia="zh-CN" w:bidi="ar-SA"/>
                    </w:rPr>
                  </w:pPr>
                  <w:r>
                    <w:rPr>
                      <w:rFonts w:eastAsia="等线"/>
                      <w:kern w:val="0"/>
                      <w:szCs w:val="21"/>
                      <w:highlight w:val="none"/>
                    </w:rPr>
                    <w:t>S</w:t>
                  </w:r>
                  <w:r>
                    <w:rPr>
                      <w:rFonts w:hint="eastAsia" w:eastAsia="等线"/>
                      <w:kern w:val="0"/>
                      <w:szCs w:val="21"/>
                      <w:highlight w:val="none"/>
                      <w:lang w:val="en-US" w:eastAsia="zh-CN"/>
                    </w:rPr>
                    <w:t>4</w:t>
                  </w:r>
                </w:p>
              </w:tc>
              <w:tc>
                <w:tcPr>
                  <w:tcW w:w="1466" w:type="dxa"/>
                  <w:vAlign w:val="center"/>
                </w:tcPr>
                <w:p>
                  <w:pPr>
                    <w:widowControl/>
                    <w:snapToGrid w:val="0"/>
                    <w:jc w:val="center"/>
                    <w:rPr>
                      <w:rFonts w:hint="eastAsia" w:ascii="Times New Roman" w:hAnsi="宋体" w:eastAsia="宋体" w:cs="Times New Roman"/>
                      <w:b w:val="0"/>
                      <w:bCs w:val="0"/>
                      <w:kern w:val="2"/>
                      <w:sz w:val="21"/>
                      <w:szCs w:val="21"/>
                      <w:highlight w:val="none"/>
                      <w:lang w:val="en-US" w:eastAsia="zh-CN" w:bidi="ar-SA"/>
                    </w:rPr>
                  </w:pPr>
                  <w:r>
                    <w:rPr>
                      <w:rFonts w:hint="eastAsia" w:ascii="Times New Roman" w:hAnsi="宋体" w:eastAsia="宋体" w:cs="Times New Roman"/>
                      <w:b w:val="0"/>
                      <w:bCs w:val="0"/>
                      <w:kern w:val="2"/>
                      <w:sz w:val="21"/>
                      <w:szCs w:val="21"/>
                      <w:highlight w:val="none"/>
                      <w:lang w:val="en-US" w:eastAsia="zh-CN" w:bidi="ar-SA"/>
                    </w:rPr>
                    <w:t>生产过程</w:t>
                  </w:r>
                </w:p>
              </w:tc>
              <w:tc>
                <w:tcPr>
                  <w:tcW w:w="3276" w:type="dxa"/>
                  <w:vAlign w:val="center"/>
                </w:tcPr>
                <w:p>
                  <w:pPr>
                    <w:widowControl/>
                    <w:snapToGrid w:val="0"/>
                    <w:jc w:val="center"/>
                    <w:rPr>
                      <w:rFonts w:hint="eastAsia" w:ascii="Times New Roman" w:hAnsi="宋体" w:eastAsia="宋体" w:cs="Times New Roman"/>
                      <w:b w:val="0"/>
                      <w:bCs w:val="0"/>
                      <w:kern w:val="2"/>
                      <w:sz w:val="21"/>
                      <w:szCs w:val="21"/>
                      <w:highlight w:val="none"/>
                      <w:lang w:val="en-US" w:eastAsia="zh-CN" w:bidi="ar-SA"/>
                    </w:rPr>
                  </w:pPr>
                  <w:r>
                    <w:rPr>
                      <w:rFonts w:hint="eastAsia" w:ascii="Times New Roman" w:hAnsi="宋体" w:eastAsia="宋体" w:cs="Times New Roman"/>
                      <w:b w:val="0"/>
                      <w:bCs w:val="0"/>
                      <w:kern w:val="2"/>
                      <w:sz w:val="21"/>
                      <w:szCs w:val="21"/>
                      <w:highlight w:val="none"/>
                      <w:lang w:val="en-US" w:eastAsia="zh-CN" w:bidi="ar-SA"/>
                    </w:rPr>
                    <w:t>废边角料</w:t>
                  </w:r>
                </w:p>
              </w:tc>
              <w:tc>
                <w:tcPr>
                  <w:tcW w:w="2145" w:type="dxa"/>
                  <w:vAlign w:val="center"/>
                </w:tcPr>
                <w:p>
                  <w:pPr>
                    <w:widowControl/>
                    <w:snapToGrid w:val="0"/>
                    <w:jc w:val="center"/>
                    <w:rPr>
                      <w:rFonts w:hint="eastAsia" w:ascii="Times New Roman" w:hAnsi="宋体" w:eastAsia="宋体" w:cs="Times New Roman"/>
                      <w:b w:val="0"/>
                      <w:bCs w:val="0"/>
                      <w:kern w:val="2"/>
                      <w:sz w:val="21"/>
                      <w:szCs w:val="21"/>
                      <w:highlight w:val="none"/>
                      <w:lang w:val="en-US" w:eastAsia="zh-CN" w:bidi="ar-SA"/>
                    </w:rPr>
                  </w:pPr>
                  <w:r>
                    <w:rPr>
                      <w:rFonts w:hint="default" w:ascii="Times New Roman" w:hAnsi="宋体" w:eastAsia="宋体" w:cs="Times New Roman"/>
                      <w:b w:val="0"/>
                      <w:bCs w:val="0"/>
                      <w:kern w:val="2"/>
                      <w:sz w:val="21"/>
                      <w:szCs w:val="21"/>
                      <w:highlight w:val="none"/>
                      <w:lang w:val="en-US" w:eastAsia="zh-CN" w:bidi="ar-SA"/>
                    </w:rPr>
                    <w:t>交由有资质单位处理</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23" w:type="dxa"/>
                  <w:bottom w:w="0" w:type="dxa"/>
                  <w:right w:w="23" w:type="dxa"/>
                </w:tblCellMar>
              </w:tblPrEx>
              <w:trPr>
                <w:trHeight w:val="125" w:hRule="atLeast"/>
              </w:trPr>
              <w:tc>
                <w:tcPr>
                  <w:tcW w:w="482" w:type="dxa"/>
                  <w:vAlign w:val="center"/>
                </w:tcPr>
                <w:p>
                  <w:pPr>
                    <w:widowControl/>
                    <w:snapToGrid w:val="0"/>
                    <w:jc w:val="center"/>
                    <w:rPr>
                      <w:kern w:val="0"/>
                      <w:szCs w:val="21"/>
                      <w:highlight w:val="none"/>
                    </w:rPr>
                  </w:pPr>
                </w:p>
              </w:tc>
              <w:tc>
                <w:tcPr>
                  <w:tcW w:w="891" w:type="dxa"/>
                  <w:vAlign w:val="center"/>
                </w:tcPr>
                <w:p>
                  <w:pPr>
                    <w:widowControl/>
                    <w:snapToGrid w:val="0"/>
                    <w:jc w:val="center"/>
                    <w:rPr>
                      <w:rFonts w:hint="eastAsia" w:eastAsia="等线"/>
                      <w:kern w:val="0"/>
                      <w:szCs w:val="21"/>
                      <w:highlight w:val="none"/>
                      <w:lang w:val="en-US" w:eastAsia="zh-CN"/>
                    </w:rPr>
                  </w:pPr>
                  <w:r>
                    <w:rPr>
                      <w:rFonts w:eastAsia="等线"/>
                      <w:kern w:val="0"/>
                      <w:szCs w:val="21"/>
                      <w:highlight w:val="none"/>
                    </w:rPr>
                    <w:t>S</w:t>
                  </w:r>
                  <w:r>
                    <w:rPr>
                      <w:rFonts w:hint="eastAsia" w:eastAsia="等线"/>
                      <w:kern w:val="0"/>
                      <w:szCs w:val="21"/>
                      <w:highlight w:val="none"/>
                      <w:lang w:val="en-US" w:eastAsia="zh-CN"/>
                    </w:rPr>
                    <w:t>5</w:t>
                  </w:r>
                </w:p>
              </w:tc>
              <w:tc>
                <w:tcPr>
                  <w:tcW w:w="1466" w:type="dxa"/>
                  <w:vAlign w:val="center"/>
                </w:tcPr>
                <w:p>
                  <w:pPr>
                    <w:widowControl/>
                    <w:snapToGrid w:val="0"/>
                    <w:jc w:val="center"/>
                    <w:rPr>
                      <w:rFonts w:hint="eastAsia" w:ascii="Times New Roman" w:hAnsi="宋体" w:eastAsia="宋体" w:cs="Times New Roman"/>
                      <w:b w:val="0"/>
                      <w:bCs w:val="0"/>
                      <w:kern w:val="2"/>
                      <w:sz w:val="21"/>
                      <w:szCs w:val="21"/>
                      <w:highlight w:val="none"/>
                      <w:lang w:val="en-US" w:eastAsia="zh-CN" w:bidi="ar-SA"/>
                    </w:rPr>
                  </w:pPr>
                  <w:r>
                    <w:rPr>
                      <w:rFonts w:hint="eastAsia" w:ascii="Times New Roman" w:hAnsi="宋体" w:eastAsia="宋体" w:cs="Times New Roman"/>
                      <w:b w:val="0"/>
                      <w:bCs w:val="0"/>
                      <w:kern w:val="2"/>
                      <w:sz w:val="21"/>
                      <w:szCs w:val="21"/>
                      <w:highlight w:val="none"/>
                      <w:lang w:val="en-US" w:eastAsia="zh-CN" w:bidi="ar-SA"/>
                    </w:rPr>
                    <w:t>废气处理</w:t>
                  </w:r>
                </w:p>
              </w:tc>
              <w:tc>
                <w:tcPr>
                  <w:tcW w:w="3276" w:type="dxa"/>
                  <w:vAlign w:val="center"/>
                </w:tcPr>
                <w:p>
                  <w:pPr>
                    <w:widowControl/>
                    <w:snapToGrid w:val="0"/>
                    <w:jc w:val="center"/>
                    <w:rPr>
                      <w:rFonts w:hint="eastAsia" w:ascii="Times New Roman" w:hAnsi="宋体" w:eastAsia="宋体" w:cs="Times New Roman"/>
                      <w:b w:val="0"/>
                      <w:bCs w:val="0"/>
                      <w:kern w:val="2"/>
                      <w:sz w:val="21"/>
                      <w:szCs w:val="21"/>
                      <w:highlight w:val="none"/>
                      <w:lang w:val="en-US" w:eastAsia="zh-CN" w:bidi="ar-SA"/>
                    </w:rPr>
                  </w:pPr>
                  <w:r>
                    <w:rPr>
                      <w:rFonts w:hint="eastAsia" w:ascii="Times New Roman" w:hAnsi="宋体" w:eastAsia="宋体" w:cs="Times New Roman"/>
                      <w:b w:val="0"/>
                      <w:bCs w:val="0"/>
                      <w:kern w:val="2"/>
                      <w:sz w:val="21"/>
                      <w:szCs w:val="21"/>
                      <w:highlight w:val="none"/>
                      <w:lang w:val="en-US" w:eastAsia="zh-CN" w:bidi="ar-SA"/>
                    </w:rPr>
                    <w:t>废活性炭</w:t>
                  </w:r>
                </w:p>
              </w:tc>
              <w:tc>
                <w:tcPr>
                  <w:tcW w:w="2145" w:type="dxa"/>
                  <w:vAlign w:val="center"/>
                </w:tcPr>
                <w:p>
                  <w:pPr>
                    <w:widowControl/>
                    <w:snapToGrid w:val="0"/>
                    <w:jc w:val="center"/>
                    <w:rPr>
                      <w:rFonts w:hint="eastAsia" w:ascii="Times New Roman" w:hAnsi="宋体" w:eastAsia="宋体" w:cs="Times New Roman"/>
                      <w:b w:val="0"/>
                      <w:bCs w:val="0"/>
                      <w:kern w:val="2"/>
                      <w:sz w:val="21"/>
                      <w:szCs w:val="21"/>
                      <w:highlight w:val="none"/>
                      <w:lang w:val="en-US" w:eastAsia="zh-CN" w:bidi="ar-SA"/>
                    </w:rPr>
                  </w:pPr>
                  <w:r>
                    <w:rPr>
                      <w:rFonts w:hint="default" w:ascii="Times New Roman" w:hAnsi="宋体" w:eastAsia="宋体" w:cs="Times New Roman"/>
                      <w:b w:val="0"/>
                      <w:bCs w:val="0"/>
                      <w:kern w:val="2"/>
                      <w:sz w:val="21"/>
                      <w:szCs w:val="21"/>
                      <w:highlight w:val="none"/>
                      <w:lang w:val="en-US" w:eastAsia="zh-CN" w:bidi="ar-SA"/>
                    </w:rPr>
                    <w:t>交由有资质单位处理</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23" w:type="dxa"/>
                  <w:bottom w:w="0" w:type="dxa"/>
                  <w:right w:w="23" w:type="dxa"/>
                </w:tblCellMar>
              </w:tblPrEx>
              <w:trPr>
                <w:trHeight w:val="125" w:hRule="atLeast"/>
              </w:trPr>
              <w:tc>
                <w:tcPr>
                  <w:tcW w:w="482" w:type="dxa"/>
                  <w:vAlign w:val="center"/>
                </w:tcPr>
                <w:p>
                  <w:pPr>
                    <w:widowControl/>
                    <w:snapToGrid w:val="0"/>
                    <w:jc w:val="center"/>
                    <w:rPr>
                      <w:kern w:val="0"/>
                      <w:szCs w:val="21"/>
                      <w:highlight w:val="none"/>
                    </w:rPr>
                  </w:pPr>
                </w:p>
              </w:tc>
              <w:tc>
                <w:tcPr>
                  <w:tcW w:w="891" w:type="dxa"/>
                  <w:vAlign w:val="center"/>
                </w:tcPr>
                <w:p>
                  <w:pPr>
                    <w:widowControl/>
                    <w:snapToGrid w:val="0"/>
                    <w:jc w:val="center"/>
                    <w:rPr>
                      <w:rFonts w:eastAsia="等线"/>
                      <w:kern w:val="0"/>
                      <w:szCs w:val="21"/>
                      <w:highlight w:val="none"/>
                    </w:rPr>
                  </w:pPr>
                  <w:r>
                    <w:rPr>
                      <w:rFonts w:eastAsia="等线"/>
                      <w:kern w:val="0"/>
                      <w:szCs w:val="21"/>
                      <w:highlight w:val="none"/>
                    </w:rPr>
                    <w:t>S</w:t>
                  </w:r>
                  <w:r>
                    <w:rPr>
                      <w:rFonts w:hint="eastAsia" w:eastAsia="等线"/>
                      <w:kern w:val="0"/>
                      <w:szCs w:val="21"/>
                      <w:highlight w:val="none"/>
                      <w:lang w:val="en-US" w:eastAsia="zh-CN"/>
                    </w:rPr>
                    <w:t>6</w:t>
                  </w:r>
                </w:p>
              </w:tc>
              <w:tc>
                <w:tcPr>
                  <w:tcW w:w="1466" w:type="dxa"/>
                  <w:vAlign w:val="center"/>
                </w:tcPr>
                <w:p>
                  <w:pPr>
                    <w:widowControl/>
                    <w:snapToGrid w:val="0"/>
                    <w:jc w:val="center"/>
                    <w:rPr>
                      <w:rFonts w:hint="eastAsia" w:ascii="Times New Roman" w:hAnsi="宋体" w:eastAsia="宋体" w:cs="Times New Roman"/>
                      <w:b w:val="0"/>
                      <w:bCs w:val="0"/>
                      <w:kern w:val="2"/>
                      <w:sz w:val="21"/>
                      <w:szCs w:val="21"/>
                      <w:highlight w:val="none"/>
                      <w:lang w:val="en-US" w:eastAsia="zh-CN" w:bidi="ar-SA"/>
                    </w:rPr>
                  </w:pPr>
                  <w:r>
                    <w:rPr>
                      <w:rFonts w:hint="eastAsia" w:ascii="Times New Roman" w:hAnsi="宋体" w:eastAsia="宋体" w:cs="Times New Roman"/>
                      <w:b w:val="0"/>
                      <w:bCs w:val="0"/>
                      <w:kern w:val="2"/>
                      <w:sz w:val="21"/>
                      <w:szCs w:val="21"/>
                      <w:highlight w:val="none"/>
                      <w:lang w:val="en-US" w:eastAsia="zh-CN" w:bidi="ar-SA"/>
                    </w:rPr>
                    <w:t>职工生活</w:t>
                  </w:r>
                </w:p>
              </w:tc>
              <w:tc>
                <w:tcPr>
                  <w:tcW w:w="3276" w:type="dxa"/>
                  <w:vAlign w:val="center"/>
                </w:tcPr>
                <w:p>
                  <w:pPr>
                    <w:widowControl/>
                    <w:snapToGrid w:val="0"/>
                    <w:jc w:val="center"/>
                    <w:rPr>
                      <w:rFonts w:hint="eastAsia" w:ascii="Times New Roman" w:hAnsi="宋体" w:eastAsia="宋体" w:cs="Times New Roman"/>
                      <w:b w:val="0"/>
                      <w:bCs w:val="0"/>
                      <w:kern w:val="2"/>
                      <w:sz w:val="21"/>
                      <w:szCs w:val="21"/>
                      <w:highlight w:val="none"/>
                      <w:lang w:val="en-US" w:eastAsia="zh-CN" w:bidi="ar-SA"/>
                    </w:rPr>
                  </w:pPr>
                  <w:r>
                    <w:rPr>
                      <w:rFonts w:hint="eastAsia" w:ascii="Times New Roman" w:hAnsi="宋体" w:eastAsia="宋体" w:cs="Times New Roman"/>
                      <w:b w:val="0"/>
                      <w:bCs w:val="0"/>
                      <w:kern w:val="2"/>
                      <w:sz w:val="21"/>
                      <w:szCs w:val="21"/>
                      <w:highlight w:val="none"/>
                      <w:lang w:val="en-US" w:eastAsia="zh-CN" w:bidi="ar-SA"/>
                    </w:rPr>
                    <w:t>生活垃圾</w:t>
                  </w:r>
                </w:p>
              </w:tc>
              <w:tc>
                <w:tcPr>
                  <w:tcW w:w="2145" w:type="dxa"/>
                  <w:vAlign w:val="center"/>
                </w:tcPr>
                <w:p>
                  <w:pPr>
                    <w:widowControl/>
                    <w:snapToGrid w:val="0"/>
                    <w:jc w:val="center"/>
                    <w:rPr>
                      <w:rFonts w:hint="eastAsia" w:ascii="Times New Roman" w:hAnsi="宋体" w:eastAsia="宋体" w:cs="Times New Roman"/>
                      <w:b w:val="0"/>
                      <w:bCs w:val="0"/>
                      <w:kern w:val="2"/>
                      <w:sz w:val="21"/>
                      <w:szCs w:val="21"/>
                      <w:highlight w:val="none"/>
                      <w:lang w:val="en-US" w:eastAsia="zh-CN" w:bidi="ar-SA"/>
                    </w:rPr>
                  </w:pPr>
                  <w:r>
                    <w:rPr>
                      <w:rFonts w:hint="eastAsia" w:ascii="Times New Roman" w:hAnsi="宋体" w:eastAsia="宋体" w:cs="Times New Roman"/>
                      <w:b w:val="0"/>
                      <w:bCs w:val="0"/>
                      <w:kern w:val="2"/>
                      <w:sz w:val="21"/>
                      <w:szCs w:val="21"/>
                      <w:highlight w:val="none"/>
                      <w:lang w:val="en-US" w:eastAsia="zh-CN" w:bidi="ar-SA"/>
                    </w:rPr>
                    <w:t>环卫清运</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23" w:type="dxa"/>
                  <w:bottom w:w="0" w:type="dxa"/>
                  <w:right w:w="23" w:type="dxa"/>
                </w:tblCellMar>
              </w:tblPrEx>
              <w:trPr>
                <w:trHeight w:val="125" w:hRule="atLeast"/>
              </w:trPr>
              <w:tc>
                <w:tcPr>
                  <w:tcW w:w="482" w:type="dxa"/>
                  <w:vAlign w:val="center"/>
                </w:tcPr>
                <w:p>
                  <w:pPr>
                    <w:widowControl/>
                    <w:snapToGrid w:val="0"/>
                    <w:jc w:val="center"/>
                    <w:rPr>
                      <w:kern w:val="0"/>
                      <w:szCs w:val="21"/>
                      <w:highlight w:val="none"/>
                    </w:rPr>
                  </w:pPr>
                </w:p>
              </w:tc>
              <w:tc>
                <w:tcPr>
                  <w:tcW w:w="891" w:type="dxa"/>
                  <w:vAlign w:val="center"/>
                </w:tcPr>
                <w:p>
                  <w:pPr>
                    <w:widowControl/>
                    <w:snapToGrid w:val="0"/>
                    <w:jc w:val="center"/>
                    <w:rPr>
                      <w:rFonts w:eastAsia="等线"/>
                      <w:kern w:val="0"/>
                      <w:szCs w:val="21"/>
                      <w:highlight w:val="none"/>
                    </w:rPr>
                  </w:pPr>
                  <w:r>
                    <w:rPr>
                      <w:rFonts w:eastAsia="等线"/>
                      <w:kern w:val="0"/>
                      <w:szCs w:val="21"/>
                      <w:highlight w:val="none"/>
                    </w:rPr>
                    <w:t>S</w:t>
                  </w:r>
                  <w:r>
                    <w:rPr>
                      <w:rFonts w:hint="eastAsia" w:eastAsia="等线"/>
                      <w:kern w:val="0"/>
                      <w:szCs w:val="21"/>
                      <w:highlight w:val="none"/>
                      <w:lang w:val="en-US" w:eastAsia="zh-CN"/>
                    </w:rPr>
                    <w:t>7</w:t>
                  </w:r>
                </w:p>
              </w:tc>
              <w:tc>
                <w:tcPr>
                  <w:tcW w:w="1466" w:type="dxa"/>
                  <w:vAlign w:val="center"/>
                </w:tcPr>
                <w:p>
                  <w:pPr>
                    <w:widowControl/>
                    <w:snapToGrid w:val="0"/>
                    <w:jc w:val="center"/>
                    <w:rPr>
                      <w:rFonts w:hint="eastAsia" w:ascii="Times New Roman" w:hAnsi="宋体" w:eastAsia="宋体" w:cs="Times New Roman"/>
                      <w:b w:val="0"/>
                      <w:bCs w:val="0"/>
                      <w:kern w:val="2"/>
                      <w:sz w:val="21"/>
                      <w:szCs w:val="21"/>
                      <w:highlight w:val="none"/>
                      <w:lang w:val="en-US" w:eastAsia="zh-CN" w:bidi="ar-SA"/>
                    </w:rPr>
                  </w:pPr>
                  <w:r>
                    <w:rPr>
                      <w:rFonts w:hint="eastAsia" w:ascii="Times New Roman" w:hAnsi="宋体" w:eastAsia="宋体" w:cs="Times New Roman"/>
                      <w:b w:val="0"/>
                      <w:bCs w:val="0"/>
                      <w:kern w:val="2"/>
                      <w:sz w:val="21"/>
                      <w:szCs w:val="21"/>
                      <w:highlight w:val="none"/>
                      <w:lang w:val="en-US" w:eastAsia="zh-CN" w:bidi="ar-SA"/>
                    </w:rPr>
                    <w:t>生产过程</w:t>
                  </w:r>
                </w:p>
              </w:tc>
              <w:tc>
                <w:tcPr>
                  <w:tcW w:w="3276" w:type="dxa"/>
                  <w:vAlign w:val="center"/>
                </w:tcPr>
                <w:p>
                  <w:pPr>
                    <w:widowControl/>
                    <w:snapToGrid w:val="0"/>
                    <w:jc w:val="center"/>
                    <w:rPr>
                      <w:rFonts w:hint="eastAsia" w:ascii="Times New Roman" w:hAnsi="宋体" w:eastAsia="宋体" w:cs="Times New Roman"/>
                      <w:b w:val="0"/>
                      <w:bCs w:val="0"/>
                      <w:kern w:val="2"/>
                      <w:sz w:val="21"/>
                      <w:szCs w:val="21"/>
                      <w:highlight w:val="none"/>
                      <w:lang w:val="en-US" w:eastAsia="zh-CN" w:bidi="ar-SA"/>
                    </w:rPr>
                  </w:pPr>
                  <w:r>
                    <w:rPr>
                      <w:rFonts w:hint="eastAsia" w:ascii="Times New Roman" w:hAnsi="宋体" w:eastAsia="宋体" w:cs="Times New Roman"/>
                      <w:b w:val="0"/>
                      <w:bCs w:val="0"/>
                      <w:kern w:val="2"/>
                      <w:sz w:val="21"/>
                      <w:szCs w:val="21"/>
                      <w:highlight w:val="none"/>
                      <w:lang w:val="en-US" w:eastAsia="zh-CN" w:bidi="ar-SA"/>
                    </w:rPr>
                    <w:t>废油墨桶</w:t>
                  </w:r>
                </w:p>
              </w:tc>
              <w:tc>
                <w:tcPr>
                  <w:tcW w:w="2145" w:type="dxa"/>
                  <w:vAlign w:val="center"/>
                </w:tcPr>
                <w:p>
                  <w:pPr>
                    <w:widowControl/>
                    <w:snapToGrid w:val="0"/>
                    <w:jc w:val="center"/>
                    <w:rPr>
                      <w:rFonts w:hint="eastAsia" w:ascii="Times New Roman" w:hAnsi="宋体" w:eastAsia="宋体" w:cs="Times New Roman"/>
                      <w:b w:val="0"/>
                      <w:bCs w:val="0"/>
                      <w:kern w:val="2"/>
                      <w:sz w:val="21"/>
                      <w:szCs w:val="21"/>
                      <w:highlight w:val="none"/>
                      <w:lang w:val="en-US" w:eastAsia="zh-CN" w:bidi="ar-SA"/>
                    </w:rPr>
                  </w:pPr>
                  <w:r>
                    <w:rPr>
                      <w:rFonts w:hint="eastAsia" w:ascii="Times New Roman" w:hAnsi="宋体" w:eastAsia="宋体" w:cs="Times New Roman"/>
                      <w:b w:val="0"/>
                      <w:bCs w:val="0"/>
                      <w:kern w:val="2"/>
                      <w:sz w:val="21"/>
                      <w:szCs w:val="21"/>
                      <w:highlight w:val="none"/>
                      <w:lang w:val="en-US" w:eastAsia="zh-CN" w:bidi="ar-SA"/>
                    </w:rPr>
                    <w:t>由厂商回收</w:t>
                  </w:r>
                </w:p>
              </w:tc>
            </w:tr>
          </w:tbl>
          <w:p>
            <w:pPr>
              <w:spacing w:line="360" w:lineRule="auto"/>
              <w:ind w:firstLine="480" w:firstLineChars="200"/>
              <w:rPr>
                <w:sz w:val="24"/>
                <w:highlight w:val="yellow"/>
              </w:rPr>
            </w:pPr>
          </w:p>
        </w:tc>
      </w:tr>
    </w:tbl>
    <w:p>
      <w:pPr>
        <w:autoSpaceDE w:val="0"/>
        <w:autoSpaceDN w:val="0"/>
        <w:adjustRightInd w:val="0"/>
        <w:spacing w:line="360" w:lineRule="auto"/>
        <w:rPr>
          <w:b/>
          <w:sz w:val="24"/>
          <w:highlight w:val="yellow"/>
        </w:rPr>
        <w:sectPr>
          <w:pgSz w:w="11907" w:h="16840"/>
          <w:pgMar w:top="1701" w:right="1531" w:bottom="2127" w:left="1531" w:header="851" w:footer="851" w:gutter="0"/>
          <w:cols w:space="720" w:num="1"/>
          <w:docGrid w:linePitch="312" w:charSpace="0"/>
        </w:sectPr>
      </w:pPr>
    </w:p>
    <w:tbl>
      <w:tblPr>
        <w:tblStyle w:val="22"/>
        <w:tblW w:w="882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3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77" w:hRule="atLeast"/>
          <w:jc w:val="center"/>
        </w:trPr>
        <w:tc>
          <w:tcPr>
            <w:tcW w:w="415" w:type="dxa"/>
          </w:tcPr>
          <w:p>
            <w:pPr>
              <w:autoSpaceDE w:val="0"/>
              <w:autoSpaceDN w:val="0"/>
              <w:adjustRightInd w:val="0"/>
              <w:spacing w:line="360" w:lineRule="auto"/>
              <w:rPr>
                <w:bCs/>
                <w:szCs w:val="21"/>
                <w:highlight w:val="none"/>
              </w:rPr>
            </w:pPr>
            <w:r>
              <w:rPr>
                <w:b/>
                <w:sz w:val="24"/>
                <w:highlight w:val="none"/>
              </w:rPr>
              <w:t>与项目有关的原有环境污染问题</w:t>
            </w:r>
          </w:p>
        </w:tc>
        <w:tc>
          <w:tcPr>
            <w:tcW w:w="8410" w:type="dxa"/>
          </w:tcPr>
          <w:p>
            <w:pPr>
              <w:pStyle w:val="20"/>
              <w:rPr>
                <w:rFonts w:hint="eastAsia" w:ascii="Times New Roman" w:hAnsi="Times New Roman" w:eastAsia="宋体" w:cs="Times New Roman"/>
                <w:b w:val="0"/>
                <w:bCs w:val="0"/>
                <w:kern w:val="2"/>
                <w:sz w:val="24"/>
                <w:szCs w:val="24"/>
                <w:highlight w:val="none"/>
                <w:lang w:val="en-US" w:eastAsia="zh-CN" w:bidi="ar-SA"/>
              </w:rPr>
            </w:pPr>
            <w:r>
              <w:rPr>
                <w:rFonts w:hint="eastAsia" w:ascii="Times New Roman" w:hAnsi="宋体" w:cs="Times New Roman"/>
                <w:b w:val="0"/>
                <w:bCs w:val="0"/>
                <w:kern w:val="2"/>
                <w:sz w:val="21"/>
                <w:szCs w:val="21"/>
                <w:lang w:val="en-US" w:eastAsia="zh-CN" w:bidi="ar-SA"/>
              </w:rPr>
              <w:t xml:space="preserve"> </w:t>
            </w:r>
            <w:r>
              <w:rPr>
                <w:rFonts w:hint="eastAsia" w:ascii="Times New Roman" w:hAnsi="Times New Roman" w:eastAsia="宋体" w:cs="Times New Roman"/>
                <w:b w:val="0"/>
                <w:bCs w:val="0"/>
                <w:kern w:val="2"/>
                <w:sz w:val="24"/>
                <w:szCs w:val="24"/>
                <w:highlight w:val="none"/>
                <w:lang w:val="en-US" w:eastAsia="zh-CN" w:bidi="ar-SA"/>
              </w:rPr>
              <w:t xml:space="preserve"> 本项目为新建项目，位于苏州高新区科技城华佗路12号2号楼，租赁苏州医疗器械产业发展有限公司厂房进行生产，厂房租赁时为空置状态，不存在原有污染情况及主要环境问题。</w:t>
            </w:r>
          </w:p>
          <w:p>
            <w:pPr>
              <w:spacing w:line="360" w:lineRule="auto"/>
              <w:ind w:firstLine="420" w:firstLineChars="200"/>
              <w:rPr>
                <w:bCs/>
                <w:szCs w:val="21"/>
                <w:highlight w:val="yellow"/>
              </w:rPr>
            </w:pPr>
          </w:p>
        </w:tc>
      </w:tr>
    </w:tbl>
    <w:p>
      <w:pPr>
        <w:pStyle w:val="19"/>
        <w:adjustRightInd w:val="0"/>
        <w:snapToGrid w:val="0"/>
        <w:spacing w:before="0" w:beforeAutospacing="0" w:after="0" w:afterAutospacing="0" w:line="14" w:lineRule="auto"/>
        <w:jc w:val="center"/>
        <w:outlineLvl w:val="0"/>
        <w:rPr>
          <w:rFonts w:ascii="Times New Roman" w:hAnsi="Times New Roman" w:eastAsia="黑体"/>
          <w:snapToGrid w:val="0"/>
          <w:sz w:val="30"/>
          <w:szCs w:val="30"/>
          <w:highlight w:val="yellow"/>
        </w:rPr>
        <w:sectPr>
          <w:pgSz w:w="11907" w:h="16840"/>
          <w:pgMar w:top="1701" w:right="1531" w:bottom="2127" w:left="1531" w:header="851" w:footer="851" w:gutter="0"/>
          <w:cols w:space="720" w:num="1"/>
          <w:docGrid w:linePitch="312" w:charSpace="0"/>
        </w:sectPr>
      </w:pPr>
    </w:p>
    <w:p>
      <w:pPr>
        <w:pStyle w:val="19"/>
        <w:spacing w:before="0" w:beforeAutospacing="0" w:after="0" w:afterAutospacing="0"/>
        <w:jc w:val="center"/>
        <w:outlineLvl w:val="0"/>
        <w:rPr>
          <w:rFonts w:ascii="Times New Roman" w:hAnsi="Times New Roman" w:eastAsia="黑体"/>
          <w:snapToGrid w:val="0"/>
          <w:sz w:val="30"/>
          <w:szCs w:val="30"/>
          <w:highlight w:val="none"/>
        </w:rPr>
      </w:pPr>
      <w:bookmarkStart w:id="7" w:name="_Toc86311617"/>
      <w:r>
        <w:rPr>
          <w:rFonts w:ascii="Times New Roman" w:hAnsi="Times New Roman" w:eastAsia="黑体"/>
          <w:snapToGrid w:val="0"/>
          <w:sz w:val="30"/>
          <w:szCs w:val="30"/>
          <w:highlight w:val="none"/>
        </w:rPr>
        <w:t>三、区域环境质量现状、环境保护目标及评价标准</w:t>
      </w:r>
      <w:bookmarkEnd w:id="7"/>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57"/>
        <w:gridCol w:w="82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57" w:type="dxa"/>
            <w:vAlign w:val="center"/>
          </w:tcPr>
          <w:p>
            <w:pPr>
              <w:adjustRightInd w:val="0"/>
              <w:snapToGrid w:val="0"/>
              <w:jc w:val="center"/>
              <w:rPr>
                <w:b/>
                <w:kern w:val="0"/>
                <w:sz w:val="24"/>
                <w:highlight w:val="none"/>
              </w:rPr>
            </w:pPr>
            <w:r>
              <w:rPr>
                <w:b/>
                <w:kern w:val="0"/>
                <w:sz w:val="24"/>
                <w:highlight w:val="none"/>
              </w:rPr>
              <w:t>区域</w:t>
            </w:r>
          </w:p>
          <w:p>
            <w:pPr>
              <w:adjustRightInd w:val="0"/>
              <w:snapToGrid w:val="0"/>
              <w:jc w:val="center"/>
              <w:rPr>
                <w:b/>
                <w:kern w:val="0"/>
                <w:sz w:val="24"/>
                <w:highlight w:val="none"/>
              </w:rPr>
            </w:pPr>
            <w:r>
              <w:rPr>
                <w:b/>
                <w:kern w:val="0"/>
                <w:sz w:val="24"/>
                <w:highlight w:val="none"/>
              </w:rPr>
              <w:t>环境</w:t>
            </w:r>
          </w:p>
          <w:p>
            <w:pPr>
              <w:adjustRightInd w:val="0"/>
              <w:snapToGrid w:val="0"/>
              <w:jc w:val="center"/>
              <w:rPr>
                <w:b/>
                <w:kern w:val="0"/>
                <w:sz w:val="24"/>
                <w:highlight w:val="none"/>
              </w:rPr>
            </w:pPr>
            <w:r>
              <w:rPr>
                <w:b/>
                <w:kern w:val="0"/>
                <w:sz w:val="24"/>
                <w:highlight w:val="none"/>
              </w:rPr>
              <w:t>质量</w:t>
            </w:r>
          </w:p>
          <w:p>
            <w:pPr>
              <w:adjustRightInd w:val="0"/>
              <w:snapToGrid w:val="0"/>
              <w:jc w:val="center"/>
              <w:rPr>
                <w:b/>
                <w:kern w:val="0"/>
                <w:sz w:val="24"/>
                <w:highlight w:val="yellow"/>
              </w:rPr>
            </w:pPr>
            <w:r>
              <w:rPr>
                <w:b/>
                <w:kern w:val="0"/>
                <w:sz w:val="24"/>
                <w:highlight w:val="none"/>
              </w:rPr>
              <w:t>现状</w:t>
            </w:r>
          </w:p>
        </w:tc>
        <w:tc>
          <w:tcPr>
            <w:tcW w:w="8268" w:type="dxa"/>
            <w:vAlign w:val="center"/>
          </w:tcPr>
          <w:p>
            <w:pPr>
              <w:pStyle w:val="55"/>
              <w:ind w:firstLine="482"/>
              <w:jc w:val="left"/>
              <w:rPr>
                <w:rFonts w:ascii="Times New Roman" w:hAnsi="Times New Roman"/>
                <w:b/>
                <w:szCs w:val="24"/>
                <w:highlight w:val="none"/>
              </w:rPr>
            </w:pPr>
            <w:r>
              <w:rPr>
                <w:rFonts w:ascii="Times New Roman" w:hAnsi="Times New Roman"/>
                <w:b/>
                <w:szCs w:val="24"/>
                <w:highlight w:val="none"/>
              </w:rPr>
              <w:t>1、大气环境质量</w:t>
            </w:r>
          </w:p>
          <w:p>
            <w:pPr>
              <w:spacing w:line="360" w:lineRule="auto"/>
              <w:ind w:firstLine="480" w:firstLineChars="200"/>
              <w:jc w:val="left"/>
              <w:rPr>
                <w:sz w:val="24"/>
                <w:highlight w:val="none"/>
              </w:rPr>
            </w:pPr>
            <w:r>
              <w:rPr>
                <w:sz w:val="24"/>
                <w:highlight w:val="none"/>
              </w:rPr>
              <w:t>本项目位于</w:t>
            </w:r>
            <w:r>
              <w:rPr>
                <w:rFonts w:hint="eastAsia"/>
                <w:sz w:val="24"/>
                <w:highlight w:val="none"/>
              </w:rPr>
              <w:t>苏州高新区科技城华佗路12号2号楼</w:t>
            </w:r>
            <w:r>
              <w:rPr>
                <w:sz w:val="24"/>
                <w:highlight w:val="none"/>
              </w:rPr>
              <w:t>，所在区域大气环境划为二类功能区，执行《环境空气质量标准》（GB3095-2012）二级标准。</w:t>
            </w:r>
          </w:p>
          <w:p>
            <w:pPr>
              <w:spacing w:line="360" w:lineRule="auto"/>
              <w:ind w:firstLine="480" w:firstLineChars="200"/>
              <w:jc w:val="left"/>
              <w:rPr>
                <w:sz w:val="24"/>
                <w:highlight w:val="none"/>
              </w:rPr>
            </w:pPr>
            <w:r>
              <w:rPr>
                <w:sz w:val="24"/>
                <w:highlight w:val="none"/>
              </w:rPr>
              <w:t>本项目基本污染物评价引用《2020 年度苏州高新区环境质量公报》进行说明，具体如下：</w:t>
            </w:r>
          </w:p>
          <w:p>
            <w:pPr>
              <w:jc w:val="center"/>
              <w:rPr>
                <w:b/>
                <w:bCs/>
                <w:sz w:val="24"/>
                <w:highlight w:val="none"/>
              </w:rPr>
            </w:pPr>
            <w:r>
              <w:rPr>
                <w:b/>
                <w:bCs/>
                <w:sz w:val="24"/>
                <w:highlight w:val="none"/>
              </w:rPr>
              <w:t>表3-1  大气环境质量现状监测结果（CO为mg/m</w:t>
            </w:r>
            <w:r>
              <w:rPr>
                <w:b/>
                <w:bCs/>
                <w:sz w:val="24"/>
                <w:highlight w:val="none"/>
                <w:vertAlign w:val="superscript"/>
              </w:rPr>
              <w:t>3</w:t>
            </w:r>
            <w:r>
              <w:rPr>
                <w:b/>
                <w:bCs/>
                <w:sz w:val="24"/>
                <w:highlight w:val="none"/>
              </w:rPr>
              <w:t>，其余均为μg/m</w:t>
            </w:r>
            <w:r>
              <w:rPr>
                <w:b/>
                <w:bCs/>
                <w:sz w:val="24"/>
                <w:highlight w:val="none"/>
                <w:vertAlign w:val="superscript"/>
              </w:rPr>
              <w:t>3</w:t>
            </w:r>
            <w:r>
              <w:rPr>
                <w:b/>
                <w:bCs/>
                <w:sz w:val="24"/>
                <w:highlight w:val="none"/>
              </w:rPr>
              <w:t>）</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2612"/>
              <w:gridCol w:w="1098"/>
              <w:gridCol w:w="1100"/>
              <w:gridCol w:w="1100"/>
              <w:gridCol w:w="104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pct"/>
                  <w:vAlign w:val="center"/>
                </w:tcPr>
                <w:p>
                  <w:pPr>
                    <w:autoSpaceDE w:val="0"/>
                    <w:autoSpaceDN w:val="0"/>
                    <w:adjustRightInd w:val="0"/>
                    <w:snapToGrid w:val="0"/>
                    <w:jc w:val="center"/>
                    <w:rPr>
                      <w:b/>
                      <w:highlight w:val="none"/>
                    </w:rPr>
                  </w:pPr>
                  <w:r>
                    <w:rPr>
                      <w:b/>
                      <w:highlight w:val="none"/>
                    </w:rPr>
                    <w:t>污染物</w:t>
                  </w:r>
                </w:p>
              </w:tc>
              <w:tc>
                <w:tcPr>
                  <w:tcW w:w="1622" w:type="pct"/>
                  <w:vAlign w:val="center"/>
                </w:tcPr>
                <w:p>
                  <w:pPr>
                    <w:autoSpaceDE w:val="0"/>
                    <w:autoSpaceDN w:val="0"/>
                    <w:adjustRightInd w:val="0"/>
                    <w:snapToGrid w:val="0"/>
                    <w:jc w:val="center"/>
                    <w:rPr>
                      <w:b/>
                      <w:highlight w:val="none"/>
                    </w:rPr>
                  </w:pPr>
                  <w:r>
                    <w:rPr>
                      <w:b/>
                      <w:highlight w:val="none"/>
                    </w:rPr>
                    <w:t>年评价指标</w:t>
                  </w:r>
                </w:p>
              </w:tc>
              <w:tc>
                <w:tcPr>
                  <w:tcW w:w="682" w:type="pct"/>
                  <w:vAlign w:val="center"/>
                </w:tcPr>
                <w:p>
                  <w:pPr>
                    <w:autoSpaceDE w:val="0"/>
                    <w:autoSpaceDN w:val="0"/>
                    <w:adjustRightInd w:val="0"/>
                    <w:snapToGrid w:val="0"/>
                    <w:jc w:val="center"/>
                    <w:rPr>
                      <w:b/>
                      <w:highlight w:val="none"/>
                    </w:rPr>
                  </w:pPr>
                  <w:r>
                    <w:rPr>
                      <w:b/>
                      <w:highlight w:val="none"/>
                    </w:rPr>
                    <w:t>现状浓度(μg/m</w:t>
                  </w:r>
                  <w:r>
                    <w:rPr>
                      <w:b/>
                      <w:highlight w:val="none"/>
                      <w:vertAlign w:val="superscript"/>
                    </w:rPr>
                    <w:t>3</w:t>
                  </w:r>
                  <w:r>
                    <w:rPr>
                      <w:b/>
                      <w:highlight w:val="none"/>
                    </w:rPr>
                    <w:t>)</w:t>
                  </w:r>
                </w:p>
              </w:tc>
              <w:tc>
                <w:tcPr>
                  <w:tcW w:w="683" w:type="pct"/>
                  <w:vAlign w:val="center"/>
                </w:tcPr>
                <w:p>
                  <w:pPr>
                    <w:autoSpaceDE w:val="0"/>
                    <w:autoSpaceDN w:val="0"/>
                    <w:adjustRightInd w:val="0"/>
                    <w:snapToGrid w:val="0"/>
                    <w:jc w:val="center"/>
                    <w:rPr>
                      <w:b/>
                      <w:highlight w:val="none"/>
                    </w:rPr>
                  </w:pPr>
                  <w:r>
                    <w:rPr>
                      <w:b/>
                      <w:highlight w:val="none"/>
                    </w:rPr>
                    <w:t>标准值(μg/m</w:t>
                  </w:r>
                  <w:r>
                    <w:rPr>
                      <w:b/>
                      <w:highlight w:val="none"/>
                      <w:vertAlign w:val="superscript"/>
                    </w:rPr>
                    <w:t>3</w:t>
                  </w:r>
                  <w:r>
                    <w:rPr>
                      <w:b/>
                      <w:highlight w:val="none"/>
                    </w:rPr>
                    <w:t>)</w:t>
                  </w:r>
                </w:p>
              </w:tc>
              <w:tc>
                <w:tcPr>
                  <w:tcW w:w="683" w:type="pct"/>
                  <w:tcBorders>
                    <w:right w:val="single" w:color="auto" w:sz="2" w:space="0"/>
                  </w:tcBorders>
                  <w:vAlign w:val="center"/>
                </w:tcPr>
                <w:p>
                  <w:pPr>
                    <w:autoSpaceDE w:val="0"/>
                    <w:autoSpaceDN w:val="0"/>
                    <w:adjustRightInd w:val="0"/>
                    <w:snapToGrid w:val="0"/>
                    <w:jc w:val="center"/>
                    <w:rPr>
                      <w:b/>
                      <w:highlight w:val="none"/>
                    </w:rPr>
                  </w:pPr>
                  <w:r>
                    <w:rPr>
                      <w:b/>
                      <w:highlight w:val="none"/>
                    </w:rPr>
                    <w:t>占标率(%)</w:t>
                  </w:r>
                </w:p>
              </w:tc>
              <w:tc>
                <w:tcPr>
                  <w:tcW w:w="647" w:type="pct"/>
                  <w:tcBorders>
                    <w:left w:val="single" w:color="auto" w:sz="2" w:space="0"/>
                  </w:tcBorders>
                  <w:vAlign w:val="center"/>
                </w:tcPr>
                <w:p>
                  <w:pPr>
                    <w:autoSpaceDE w:val="0"/>
                    <w:autoSpaceDN w:val="0"/>
                    <w:adjustRightInd w:val="0"/>
                    <w:snapToGrid w:val="0"/>
                    <w:jc w:val="center"/>
                    <w:rPr>
                      <w:b/>
                      <w:highlight w:val="none"/>
                    </w:rPr>
                  </w:pPr>
                  <w:r>
                    <w:rPr>
                      <w:b/>
                      <w:highlight w:val="none"/>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pct"/>
                  <w:vAlign w:val="center"/>
                </w:tcPr>
                <w:p>
                  <w:pPr>
                    <w:autoSpaceDE w:val="0"/>
                    <w:autoSpaceDN w:val="0"/>
                    <w:adjustRightInd w:val="0"/>
                    <w:snapToGrid w:val="0"/>
                    <w:jc w:val="center"/>
                    <w:rPr>
                      <w:highlight w:val="none"/>
                    </w:rPr>
                  </w:pPr>
                  <w:r>
                    <w:rPr>
                      <w:highlight w:val="none"/>
                    </w:rPr>
                    <w:t>PM</w:t>
                  </w:r>
                  <w:r>
                    <w:rPr>
                      <w:highlight w:val="none"/>
                      <w:vertAlign w:val="subscript"/>
                    </w:rPr>
                    <w:t>2.5</w:t>
                  </w:r>
                </w:p>
              </w:tc>
              <w:tc>
                <w:tcPr>
                  <w:tcW w:w="1622" w:type="pct"/>
                  <w:vAlign w:val="center"/>
                </w:tcPr>
                <w:p>
                  <w:pPr>
                    <w:autoSpaceDE w:val="0"/>
                    <w:autoSpaceDN w:val="0"/>
                    <w:adjustRightInd w:val="0"/>
                    <w:snapToGrid w:val="0"/>
                    <w:jc w:val="center"/>
                    <w:rPr>
                      <w:highlight w:val="none"/>
                    </w:rPr>
                  </w:pPr>
                  <w:r>
                    <w:rPr>
                      <w:highlight w:val="none"/>
                    </w:rPr>
                    <w:t>年平均质量浓度</w:t>
                  </w:r>
                </w:p>
              </w:tc>
              <w:tc>
                <w:tcPr>
                  <w:tcW w:w="682" w:type="pct"/>
                  <w:vAlign w:val="center"/>
                </w:tcPr>
                <w:p>
                  <w:pPr>
                    <w:autoSpaceDE w:val="0"/>
                    <w:autoSpaceDN w:val="0"/>
                    <w:adjustRightInd w:val="0"/>
                    <w:snapToGrid w:val="0"/>
                    <w:jc w:val="center"/>
                    <w:rPr>
                      <w:highlight w:val="none"/>
                    </w:rPr>
                  </w:pPr>
                  <w:r>
                    <w:rPr>
                      <w:highlight w:val="none"/>
                    </w:rPr>
                    <w:t>34</w:t>
                  </w:r>
                </w:p>
              </w:tc>
              <w:tc>
                <w:tcPr>
                  <w:tcW w:w="683" w:type="pct"/>
                  <w:vAlign w:val="center"/>
                </w:tcPr>
                <w:p>
                  <w:pPr>
                    <w:autoSpaceDE w:val="0"/>
                    <w:autoSpaceDN w:val="0"/>
                    <w:adjustRightInd w:val="0"/>
                    <w:snapToGrid w:val="0"/>
                    <w:jc w:val="center"/>
                    <w:rPr>
                      <w:highlight w:val="none"/>
                    </w:rPr>
                  </w:pPr>
                  <w:r>
                    <w:rPr>
                      <w:highlight w:val="none"/>
                    </w:rPr>
                    <w:t>35</w:t>
                  </w:r>
                </w:p>
              </w:tc>
              <w:tc>
                <w:tcPr>
                  <w:tcW w:w="683" w:type="pct"/>
                  <w:tcBorders>
                    <w:right w:val="single" w:color="auto" w:sz="2" w:space="0"/>
                  </w:tcBorders>
                  <w:vAlign w:val="center"/>
                </w:tcPr>
                <w:p>
                  <w:pPr>
                    <w:widowControl/>
                    <w:jc w:val="center"/>
                    <w:rPr>
                      <w:highlight w:val="none"/>
                    </w:rPr>
                  </w:pPr>
                  <w:r>
                    <w:rPr>
                      <w:rFonts w:hint="eastAsia"/>
                      <w:highlight w:val="none"/>
                    </w:rPr>
                    <w:t>9</w:t>
                  </w:r>
                  <w:r>
                    <w:rPr>
                      <w:highlight w:val="none"/>
                    </w:rPr>
                    <w:t>7</w:t>
                  </w:r>
                </w:p>
              </w:tc>
              <w:tc>
                <w:tcPr>
                  <w:tcW w:w="647" w:type="pct"/>
                  <w:tcBorders>
                    <w:left w:val="single" w:color="auto" w:sz="2" w:space="0"/>
                  </w:tcBorders>
                  <w:vAlign w:val="center"/>
                </w:tcPr>
                <w:p>
                  <w:pPr>
                    <w:autoSpaceDE w:val="0"/>
                    <w:autoSpaceDN w:val="0"/>
                    <w:adjustRightInd w:val="0"/>
                    <w:snapToGrid w:val="0"/>
                    <w:jc w:val="center"/>
                    <w:rPr>
                      <w:highlight w:val="none"/>
                    </w:rPr>
                  </w:pPr>
                  <w:r>
                    <w:rPr>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pct"/>
                  <w:vAlign w:val="center"/>
                </w:tcPr>
                <w:p>
                  <w:pPr>
                    <w:autoSpaceDE w:val="0"/>
                    <w:autoSpaceDN w:val="0"/>
                    <w:adjustRightInd w:val="0"/>
                    <w:snapToGrid w:val="0"/>
                    <w:jc w:val="center"/>
                    <w:rPr>
                      <w:highlight w:val="none"/>
                    </w:rPr>
                  </w:pPr>
                  <w:r>
                    <w:rPr>
                      <w:highlight w:val="none"/>
                    </w:rPr>
                    <w:t>PM</w:t>
                  </w:r>
                  <w:r>
                    <w:rPr>
                      <w:highlight w:val="none"/>
                      <w:vertAlign w:val="subscript"/>
                    </w:rPr>
                    <w:t>10</w:t>
                  </w:r>
                </w:p>
              </w:tc>
              <w:tc>
                <w:tcPr>
                  <w:tcW w:w="1622" w:type="pct"/>
                  <w:vAlign w:val="center"/>
                </w:tcPr>
                <w:p>
                  <w:pPr>
                    <w:autoSpaceDE w:val="0"/>
                    <w:autoSpaceDN w:val="0"/>
                    <w:adjustRightInd w:val="0"/>
                    <w:snapToGrid w:val="0"/>
                    <w:jc w:val="center"/>
                    <w:rPr>
                      <w:highlight w:val="none"/>
                    </w:rPr>
                  </w:pPr>
                  <w:r>
                    <w:rPr>
                      <w:highlight w:val="none"/>
                    </w:rPr>
                    <w:t>年平均质量浓度</w:t>
                  </w:r>
                </w:p>
              </w:tc>
              <w:tc>
                <w:tcPr>
                  <w:tcW w:w="682" w:type="pct"/>
                  <w:vAlign w:val="center"/>
                </w:tcPr>
                <w:p>
                  <w:pPr>
                    <w:autoSpaceDE w:val="0"/>
                    <w:autoSpaceDN w:val="0"/>
                    <w:adjustRightInd w:val="0"/>
                    <w:snapToGrid w:val="0"/>
                    <w:jc w:val="center"/>
                    <w:rPr>
                      <w:highlight w:val="none"/>
                    </w:rPr>
                  </w:pPr>
                  <w:r>
                    <w:rPr>
                      <w:highlight w:val="none"/>
                    </w:rPr>
                    <w:t>51</w:t>
                  </w:r>
                </w:p>
              </w:tc>
              <w:tc>
                <w:tcPr>
                  <w:tcW w:w="683" w:type="pct"/>
                  <w:vAlign w:val="center"/>
                </w:tcPr>
                <w:p>
                  <w:pPr>
                    <w:autoSpaceDE w:val="0"/>
                    <w:autoSpaceDN w:val="0"/>
                    <w:adjustRightInd w:val="0"/>
                    <w:snapToGrid w:val="0"/>
                    <w:jc w:val="center"/>
                    <w:rPr>
                      <w:highlight w:val="none"/>
                    </w:rPr>
                  </w:pPr>
                  <w:r>
                    <w:rPr>
                      <w:highlight w:val="none"/>
                    </w:rPr>
                    <w:t>70</w:t>
                  </w:r>
                </w:p>
              </w:tc>
              <w:tc>
                <w:tcPr>
                  <w:tcW w:w="683" w:type="pct"/>
                  <w:tcBorders>
                    <w:right w:val="single" w:color="auto" w:sz="2" w:space="0"/>
                  </w:tcBorders>
                  <w:vAlign w:val="center"/>
                </w:tcPr>
                <w:p>
                  <w:pPr>
                    <w:jc w:val="center"/>
                    <w:rPr>
                      <w:highlight w:val="none"/>
                    </w:rPr>
                  </w:pPr>
                  <w:r>
                    <w:rPr>
                      <w:rFonts w:hint="eastAsia"/>
                      <w:highlight w:val="none"/>
                    </w:rPr>
                    <w:t>7</w:t>
                  </w:r>
                  <w:r>
                    <w:rPr>
                      <w:highlight w:val="none"/>
                    </w:rPr>
                    <w:t>3</w:t>
                  </w:r>
                </w:p>
              </w:tc>
              <w:tc>
                <w:tcPr>
                  <w:tcW w:w="647" w:type="pct"/>
                  <w:tcBorders>
                    <w:left w:val="single" w:color="auto" w:sz="2" w:space="0"/>
                  </w:tcBorders>
                  <w:vAlign w:val="center"/>
                </w:tcPr>
                <w:p>
                  <w:pPr>
                    <w:adjustRightInd w:val="0"/>
                    <w:snapToGrid w:val="0"/>
                    <w:jc w:val="center"/>
                    <w:rPr>
                      <w:highlight w:val="none"/>
                    </w:rPr>
                  </w:pPr>
                  <w:r>
                    <w:rPr>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pct"/>
                  <w:vAlign w:val="center"/>
                </w:tcPr>
                <w:p>
                  <w:pPr>
                    <w:autoSpaceDE w:val="0"/>
                    <w:autoSpaceDN w:val="0"/>
                    <w:adjustRightInd w:val="0"/>
                    <w:snapToGrid w:val="0"/>
                    <w:jc w:val="center"/>
                    <w:rPr>
                      <w:highlight w:val="none"/>
                    </w:rPr>
                  </w:pPr>
                  <w:r>
                    <w:rPr>
                      <w:highlight w:val="none"/>
                    </w:rPr>
                    <w:t>NO</w:t>
                  </w:r>
                  <w:r>
                    <w:rPr>
                      <w:highlight w:val="none"/>
                      <w:vertAlign w:val="subscript"/>
                    </w:rPr>
                    <w:t>2</w:t>
                  </w:r>
                </w:p>
              </w:tc>
              <w:tc>
                <w:tcPr>
                  <w:tcW w:w="1622" w:type="pct"/>
                  <w:vAlign w:val="center"/>
                </w:tcPr>
                <w:p>
                  <w:pPr>
                    <w:autoSpaceDE w:val="0"/>
                    <w:autoSpaceDN w:val="0"/>
                    <w:adjustRightInd w:val="0"/>
                    <w:snapToGrid w:val="0"/>
                    <w:jc w:val="center"/>
                    <w:rPr>
                      <w:b/>
                      <w:highlight w:val="none"/>
                    </w:rPr>
                  </w:pPr>
                  <w:r>
                    <w:rPr>
                      <w:highlight w:val="none"/>
                    </w:rPr>
                    <w:t>年平均质量浓度</w:t>
                  </w:r>
                </w:p>
              </w:tc>
              <w:tc>
                <w:tcPr>
                  <w:tcW w:w="682" w:type="pct"/>
                  <w:vAlign w:val="center"/>
                </w:tcPr>
                <w:p>
                  <w:pPr>
                    <w:autoSpaceDE w:val="0"/>
                    <w:autoSpaceDN w:val="0"/>
                    <w:adjustRightInd w:val="0"/>
                    <w:snapToGrid w:val="0"/>
                    <w:jc w:val="center"/>
                    <w:rPr>
                      <w:highlight w:val="none"/>
                    </w:rPr>
                  </w:pPr>
                  <w:r>
                    <w:rPr>
                      <w:highlight w:val="none"/>
                    </w:rPr>
                    <w:t>32</w:t>
                  </w:r>
                </w:p>
              </w:tc>
              <w:tc>
                <w:tcPr>
                  <w:tcW w:w="683" w:type="pct"/>
                  <w:vAlign w:val="center"/>
                </w:tcPr>
                <w:p>
                  <w:pPr>
                    <w:autoSpaceDE w:val="0"/>
                    <w:autoSpaceDN w:val="0"/>
                    <w:adjustRightInd w:val="0"/>
                    <w:snapToGrid w:val="0"/>
                    <w:jc w:val="center"/>
                    <w:rPr>
                      <w:highlight w:val="none"/>
                    </w:rPr>
                  </w:pPr>
                  <w:r>
                    <w:rPr>
                      <w:highlight w:val="none"/>
                    </w:rPr>
                    <w:t>40</w:t>
                  </w:r>
                </w:p>
              </w:tc>
              <w:tc>
                <w:tcPr>
                  <w:tcW w:w="683" w:type="pct"/>
                  <w:tcBorders>
                    <w:right w:val="single" w:color="auto" w:sz="2" w:space="0"/>
                  </w:tcBorders>
                  <w:vAlign w:val="center"/>
                </w:tcPr>
                <w:p>
                  <w:pPr>
                    <w:jc w:val="center"/>
                    <w:rPr>
                      <w:highlight w:val="none"/>
                    </w:rPr>
                  </w:pPr>
                  <w:r>
                    <w:rPr>
                      <w:rFonts w:hint="eastAsia"/>
                      <w:highlight w:val="none"/>
                    </w:rPr>
                    <w:t>8</w:t>
                  </w:r>
                  <w:r>
                    <w:rPr>
                      <w:highlight w:val="none"/>
                    </w:rPr>
                    <w:t>0</w:t>
                  </w:r>
                </w:p>
              </w:tc>
              <w:tc>
                <w:tcPr>
                  <w:tcW w:w="647" w:type="pct"/>
                  <w:tcBorders>
                    <w:left w:val="single" w:color="auto" w:sz="2" w:space="0"/>
                  </w:tcBorders>
                  <w:vAlign w:val="center"/>
                </w:tcPr>
                <w:p>
                  <w:pPr>
                    <w:autoSpaceDE w:val="0"/>
                    <w:autoSpaceDN w:val="0"/>
                    <w:adjustRightInd w:val="0"/>
                    <w:snapToGrid w:val="0"/>
                    <w:jc w:val="center"/>
                    <w:rPr>
                      <w:highlight w:val="none"/>
                    </w:rPr>
                  </w:pPr>
                  <w:r>
                    <w:rPr>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pct"/>
                  <w:vAlign w:val="center"/>
                </w:tcPr>
                <w:p>
                  <w:pPr>
                    <w:autoSpaceDE w:val="0"/>
                    <w:autoSpaceDN w:val="0"/>
                    <w:adjustRightInd w:val="0"/>
                    <w:snapToGrid w:val="0"/>
                    <w:jc w:val="center"/>
                    <w:rPr>
                      <w:highlight w:val="none"/>
                    </w:rPr>
                  </w:pPr>
                  <w:r>
                    <w:rPr>
                      <w:highlight w:val="none"/>
                    </w:rPr>
                    <w:t>SO</w:t>
                  </w:r>
                  <w:r>
                    <w:rPr>
                      <w:highlight w:val="none"/>
                      <w:vertAlign w:val="subscript"/>
                    </w:rPr>
                    <w:t>2</w:t>
                  </w:r>
                </w:p>
              </w:tc>
              <w:tc>
                <w:tcPr>
                  <w:tcW w:w="1622" w:type="pct"/>
                  <w:vAlign w:val="center"/>
                </w:tcPr>
                <w:p>
                  <w:pPr>
                    <w:autoSpaceDE w:val="0"/>
                    <w:autoSpaceDN w:val="0"/>
                    <w:adjustRightInd w:val="0"/>
                    <w:snapToGrid w:val="0"/>
                    <w:jc w:val="center"/>
                    <w:rPr>
                      <w:highlight w:val="none"/>
                    </w:rPr>
                  </w:pPr>
                  <w:r>
                    <w:rPr>
                      <w:highlight w:val="none"/>
                    </w:rPr>
                    <w:t>年平均质量浓度</w:t>
                  </w:r>
                </w:p>
              </w:tc>
              <w:tc>
                <w:tcPr>
                  <w:tcW w:w="682" w:type="pct"/>
                  <w:vAlign w:val="center"/>
                </w:tcPr>
                <w:p>
                  <w:pPr>
                    <w:autoSpaceDE w:val="0"/>
                    <w:autoSpaceDN w:val="0"/>
                    <w:adjustRightInd w:val="0"/>
                    <w:snapToGrid w:val="0"/>
                    <w:jc w:val="center"/>
                    <w:rPr>
                      <w:highlight w:val="none"/>
                    </w:rPr>
                  </w:pPr>
                  <w:r>
                    <w:rPr>
                      <w:highlight w:val="none"/>
                    </w:rPr>
                    <w:t>6</w:t>
                  </w:r>
                </w:p>
              </w:tc>
              <w:tc>
                <w:tcPr>
                  <w:tcW w:w="683" w:type="pct"/>
                  <w:vAlign w:val="center"/>
                </w:tcPr>
                <w:p>
                  <w:pPr>
                    <w:autoSpaceDE w:val="0"/>
                    <w:autoSpaceDN w:val="0"/>
                    <w:adjustRightInd w:val="0"/>
                    <w:snapToGrid w:val="0"/>
                    <w:jc w:val="center"/>
                    <w:rPr>
                      <w:highlight w:val="none"/>
                    </w:rPr>
                  </w:pPr>
                  <w:r>
                    <w:rPr>
                      <w:highlight w:val="none"/>
                    </w:rPr>
                    <w:t>60</w:t>
                  </w:r>
                </w:p>
              </w:tc>
              <w:tc>
                <w:tcPr>
                  <w:tcW w:w="683" w:type="pct"/>
                  <w:tcBorders>
                    <w:right w:val="single" w:color="auto" w:sz="2" w:space="0"/>
                  </w:tcBorders>
                  <w:vAlign w:val="center"/>
                </w:tcPr>
                <w:p>
                  <w:pPr>
                    <w:jc w:val="center"/>
                    <w:rPr>
                      <w:highlight w:val="none"/>
                    </w:rPr>
                  </w:pPr>
                  <w:r>
                    <w:rPr>
                      <w:highlight w:val="none"/>
                    </w:rPr>
                    <w:t>10</w:t>
                  </w:r>
                </w:p>
              </w:tc>
              <w:tc>
                <w:tcPr>
                  <w:tcW w:w="647" w:type="pct"/>
                  <w:tcBorders>
                    <w:left w:val="single" w:color="auto" w:sz="2" w:space="0"/>
                  </w:tcBorders>
                  <w:vAlign w:val="center"/>
                </w:tcPr>
                <w:p>
                  <w:pPr>
                    <w:autoSpaceDE w:val="0"/>
                    <w:autoSpaceDN w:val="0"/>
                    <w:adjustRightInd w:val="0"/>
                    <w:snapToGrid w:val="0"/>
                    <w:jc w:val="center"/>
                    <w:rPr>
                      <w:highlight w:val="none"/>
                    </w:rPr>
                  </w:pPr>
                  <w:r>
                    <w:rPr>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pct"/>
                  <w:vAlign w:val="center"/>
                </w:tcPr>
                <w:p>
                  <w:pPr>
                    <w:autoSpaceDE w:val="0"/>
                    <w:autoSpaceDN w:val="0"/>
                    <w:adjustRightInd w:val="0"/>
                    <w:snapToGrid w:val="0"/>
                    <w:jc w:val="center"/>
                    <w:rPr>
                      <w:highlight w:val="none"/>
                    </w:rPr>
                  </w:pPr>
                  <w:r>
                    <w:rPr>
                      <w:highlight w:val="none"/>
                    </w:rPr>
                    <w:t>O</w:t>
                  </w:r>
                  <w:r>
                    <w:rPr>
                      <w:highlight w:val="none"/>
                      <w:vertAlign w:val="subscript"/>
                    </w:rPr>
                    <w:t>3</w:t>
                  </w:r>
                </w:p>
              </w:tc>
              <w:tc>
                <w:tcPr>
                  <w:tcW w:w="1622" w:type="pct"/>
                  <w:vAlign w:val="center"/>
                </w:tcPr>
                <w:p>
                  <w:pPr>
                    <w:autoSpaceDE w:val="0"/>
                    <w:autoSpaceDN w:val="0"/>
                    <w:adjustRightInd w:val="0"/>
                    <w:snapToGrid w:val="0"/>
                    <w:jc w:val="center"/>
                    <w:rPr>
                      <w:highlight w:val="none"/>
                    </w:rPr>
                  </w:pPr>
                  <w:r>
                    <w:rPr>
                      <w:highlight w:val="none"/>
                    </w:rPr>
                    <w:t>日最大8小时滑动平均值的第90百分位数</w:t>
                  </w:r>
                </w:p>
              </w:tc>
              <w:tc>
                <w:tcPr>
                  <w:tcW w:w="682" w:type="pct"/>
                  <w:vAlign w:val="center"/>
                </w:tcPr>
                <w:p>
                  <w:pPr>
                    <w:autoSpaceDE w:val="0"/>
                    <w:autoSpaceDN w:val="0"/>
                    <w:adjustRightInd w:val="0"/>
                    <w:snapToGrid w:val="0"/>
                    <w:jc w:val="center"/>
                    <w:rPr>
                      <w:highlight w:val="none"/>
                    </w:rPr>
                  </w:pPr>
                  <w:r>
                    <w:rPr>
                      <w:highlight w:val="none"/>
                    </w:rPr>
                    <w:t>166</w:t>
                  </w:r>
                </w:p>
              </w:tc>
              <w:tc>
                <w:tcPr>
                  <w:tcW w:w="683" w:type="pct"/>
                  <w:vAlign w:val="center"/>
                </w:tcPr>
                <w:p>
                  <w:pPr>
                    <w:autoSpaceDE w:val="0"/>
                    <w:autoSpaceDN w:val="0"/>
                    <w:adjustRightInd w:val="0"/>
                    <w:snapToGrid w:val="0"/>
                    <w:jc w:val="center"/>
                    <w:rPr>
                      <w:highlight w:val="none"/>
                    </w:rPr>
                  </w:pPr>
                  <w:r>
                    <w:rPr>
                      <w:highlight w:val="none"/>
                    </w:rPr>
                    <w:t>160</w:t>
                  </w:r>
                </w:p>
              </w:tc>
              <w:tc>
                <w:tcPr>
                  <w:tcW w:w="683" w:type="pct"/>
                  <w:tcBorders>
                    <w:right w:val="single" w:color="auto" w:sz="2" w:space="0"/>
                  </w:tcBorders>
                  <w:vAlign w:val="center"/>
                </w:tcPr>
                <w:p>
                  <w:pPr>
                    <w:jc w:val="center"/>
                    <w:rPr>
                      <w:highlight w:val="none"/>
                    </w:rPr>
                  </w:pPr>
                  <w:r>
                    <w:rPr>
                      <w:highlight w:val="none"/>
                    </w:rPr>
                    <w:t>104</w:t>
                  </w:r>
                </w:p>
              </w:tc>
              <w:tc>
                <w:tcPr>
                  <w:tcW w:w="647" w:type="pct"/>
                  <w:tcBorders>
                    <w:left w:val="single" w:color="auto" w:sz="2" w:space="0"/>
                  </w:tcBorders>
                  <w:vAlign w:val="center"/>
                </w:tcPr>
                <w:p>
                  <w:pPr>
                    <w:adjustRightInd w:val="0"/>
                    <w:snapToGrid w:val="0"/>
                    <w:jc w:val="center"/>
                    <w:rPr>
                      <w:highlight w:val="none"/>
                    </w:rPr>
                  </w:pPr>
                  <w:r>
                    <w:rPr>
                      <w:highlight w:val="none"/>
                    </w:rPr>
                    <w:t>超标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pct"/>
                  <w:vAlign w:val="center"/>
                </w:tcPr>
                <w:p>
                  <w:pPr>
                    <w:autoSpaceDE w:val="0"/>
                    <w:autoSpaceDN w:val="0"/>
                    <w:adjustRightInd w:val="0"/>
                    <w:snapToGrid w:val="0"/>
                    <w:jc w:val="center"/>
                    <w:rPr>
                      <w:highlight w:val="none"/>
                    </w:rPr>
                  </w:pPr>
                  <w:r>
                    <w:rPr>
                      <w:highlight w:val="none"/>
                    </w:rPr>
                    <w:t>CO</w:t>
                  </w:r>
                </w:p>
              </w:tc>
              <w:tc>
                <w:tcPr>
                  <w:tcW w:w="1622" w:type="pct"/>
                  <w:vAlign w:val="center"/>
                </w:tcPr>
                <w:p>
                  <w:pPr>
                    <w:autoSpaceDE w:val="0"/>
                    <w:autoSpaceDN w:val="0"/>
                    <w:adjustRightInd w:val="0"/>
                    <w:snapToGrid w:val="0"/>
                    <w:jc w:val="center"/>
                    <w:rPr>
                      <w:highlight w:val="none"/>
                    </w:rPr>
                  </w:pPr>
                  <w:r>
                    <w:rPr>
                      <w:highlight w:val="none"/>
                    </w:rPr>
                    <w:t>24小时平均第95百分位数</w:t>
                  </w:r>
                </w:p>
              </w:tc>
              <w:tc>
                <w:tcPr>
                  <w:tcW w:w="682" w:type="pct"/>
                  <w:vAlign w:val="center"/>
                </w:tcPr>
                <w:p>
                  <w:pPr>
                    <w:autoSpaceDE w:val="0"/>
                    <w:autoSpaceDN w:val="0"/>
                    <w:adjustRightInd w:val="0"/>
                    <w:snapToGrid w:val="0"/>
                    <w:jc w:val="center"/>
                    <w:rPr>
                      <w:highlight w:val="none"/>
                    </w:rPr>
                  </w:pPr>
                  <w:r>
                    <w:rPr>
                      <w:highlight w:val="none"/>
                    </w:rPr>
                    <w:t>1.1</w:t>
                  </w:r>
                </w:p>
              </w:tc>
              <w:tc>
                <w:tcPr>
                  <w:tcW w:w="683" w:type="pct"/>
                  <w:vAlign w:val="center"/>
                </w:tcPr>
                <w:p>
                  <w:pPr>
                    <w:autoSpaceDE w:val="0"/>
                    <w:autoSpaceDN w:val="0"/>
                    <w:adjustRightInd w:val="0"/>
                    <w:snapToGrid w:val="0"/>
                    <w:jc w:val="center"/>
                    <w:rPr>
                      <w:highlight w:val="none"/>
                    </w:rPr>
                  </w:pPr>
                  <w:r>
                    <w:rPr>
                      <w:highlight w:val="none"/>
                    </w:rPr>
                    <w:t>4</w:t>
                  </w:r>
                </w:p>
              </w:tc>
              <w:tc>
                <w:tcPr>
                  <w:tcW w:w="683" w:type="pct"/>
                  <w:tcBorders>
                    <w:right w:val="single" w:color="auto" w:sz="2" w:space="0"/>
                  </w:tcBorders>
                  <w:vAlign w:val="center"/>
                </w:tcPr>
                <w:p>
                  <w:pPr>
                    <w:jc w:val="center"/>
                    <w:rPr>
                      <w:highlight w:val="none"/>
                    </w:rPr>
                  </w:pPr>
                  <w:r>
                    <w:rPr>
                      <w:highlight w:val="none"/>
                    </w:rPr>
                    <w:t>28</w:t>
                  </w:r>
                </w:p>
              </w:tc>
              <w:tc>
                <w:tcPr>
                  <w:tcW w:w="647" w:type="pct"/>
                  <w:tcBorders>
                    <w:left w:val="single" w:color="auto" w:sz="2" w:space="0"/>
                  </w:tcBorders>
                  <w:vAlign w:val="center"/>
                </w:tcPr>
                <w:p>
                  <w:pPr>
                    <w:adjustRightInd w:val="0"/>
                    <w:snapToGrid w:val="0"/>
                    <w:jc w:val="center"/>
                    <w:rPr>
                      <w:highlight w:val="none"/>
                    </w:rPr>
                  </w:pPr>
                  <w:r>
                    <w:rPr>
                      <w:highlight w:val="none"/>
                    </w:rPr>
                    <w:t>达标</w:t>
                  </w:r>
                </w:p>
              </w:tc>
            </w:tr>
          </w:tbl>
          <w:p>
            <w:pPr>
              <w:adjustRightInd w:val="0"/>
              <w:snapToGrid w:val="0"/>
              <w:spacing w:line="360" w:lineRule="auto"/>
              <w:ind w:firstLine="482"/>
              <w:rPr>
                <w:kern w:val="0"/>
                <w:sz w:val="24"/>
                <w:highlight w:val="none"/>
                <w:lang w:val="zh-CN"/>
              </w:rPr>
            </w:pPr>
            <w:r>
              <w:rPr>
                <w:kern w:val="0"/>
                <w:sz w:val="24"/>
                <w:highlight w:val="none"/>
                <w:lang w:val="zh-CN"/>
              </w:rPr>
              <w:t>根据表3-1，</w:t>
            </w:r>
            <w:bookmarkStart w:id="8" w:name="_Hlk42100262"/>
            <w:r>
              <w:rPr>
                <w:kern w:val="0"/>
                <w:sz w:val="24"/>
                <w:highlight w:val="none"/>
                <w:lang w:val="zh-CN"/>
              </w:rPr>
              <w:t>2020年苏州</w:t>
            </w:r>
            <w:r>
              <w:rPr>
                <w:rFonts w:hint="eastAsia"/>
                <w:kern w:val="0"/>
                <w:sz w:val="24"/>
                <w:highlight w:val="none"/>
                <w:lang w:val="zh-CN"/>
              </w:rPr>
              <w:t>市高新区</w:t>
            </w:r>
            <w:r>
              <w:rPr>
                <w:kern w:val="0"/>
                <w:sz w:val="24"/>
                <w:highlight w:val="none"/>
                <w:lang w:val="zh-CN"/>
              </w:rPr>
              <w:t>环境空气质量</w:t>
            </w:r>
            <w:r>
              <w:rPr>
                <w:kern w:val="0"/>
                <w:sz w:val="24"/>
                <w:highlight w:val="none"/>
              </w:rPr>
              <w:t>基本污染物中</w:t>
            </w:r>
            <w:r>
              <w:rPr>
                <w:kern w:val="0"/>
                <w:sz w:val="24"/>
                <w:highlight w:val="none"/>
                <w:lang w:val="zh-CN"/>
              </w:rPr>
              <w:t>O</w:t>
            </w:r>
            <w:r>
              <w:rPr>
                <w:kern w:val="0"/>
                <w:sz w:val="24"/>
                <w:highlight w:val="none"/>
                <w:vertAlign w:val="subscript"/>
                <w:lang w:val="zh-CN"/>
              </w:rPr>
              <w:t>3</w:t>
            </w:r>
            <w:r>
              <w:rPr>
                <w:kern w:val="0"/>
                <w:sz w:val="24"/>
                <w:highlight w:val="none"/>
                <w:lang w:val="zh-CN"/>
              </w:rPr>
              <w:t>超标，PM</w:t>
            </w:r>
            <w:r>
              <w:rPr>
                <w:kern w:val="0"/>
                <w:sz w:val="24"/>
                <w:highlight w:val="none"/>
                <w:vertAlign w:val="subscript"/>
                <w:lang w:val="zh-CN"/>
              </w:rPr>
              <w:t>10</w:t>
            </w:r>
            <w:r>
              <w:rPr>
                <w:kern w:val="0"/>
                <w:sz w:val="24"/>
                <w:highlight w:val="none"/>
                <w:lang w:val="zh-CN"/>
              </w:rPr>
              <w:t>、PM</w:t>
            </w:r>
            <w:r>
              <w:rPr>
                <w:kern w:val="0"/>
                <w:sz w:val="24"/>
                <w:highlight w:val="none"/>
                <w:vertAlign w:val="subscript"/>
                <w:lang w:val="zh-CN"/>
              </w:rPr>
              <w:t>2.5</w:t>
            </w:r>
            <w:r>
              <w:rPr>
                <w:kern w:val="0"/>
                <w:sz w:val="24"/>
                <w:highlight w:val="none"/>
                <w:lang w:val="zh-CN"/>
              </w:rPr>
              <w:t>、NO</w:t>
            </w:r>
            <w:r>
              <w:rPr>
                <w:kern w:val="0"/>
                <w:sz w:val="24"/>
                <w:highlight w:val="none"/>
                <w:vertAlign w:val="subscript"/>
                <w:lang w:val="zh-CN"/>
              </w:rPr>
              <w:t>2</w:t>
            </w:r>
            <w:r>
              <w:rPr>
                <w:kern w:val="0"/>
                <w:sz w:val="24"/>
                <w:highlight w:val="none"/>
                <w:lang w:val="zh-CN"/>
              </w:rPr>
              <w:t>、CO、SO</w:t>
            </w:r>
            <w:r>
              <w:rPr>
                <w:kern w:val="0"/>
                <w:sz w:val="24"/>
                <w:highlight w:val="none"/>
                <w:vertAlign w:val="subscript"/>
                <w:lang w:val="zh-CN"/>
              </w:rPr>
              <w:t>2</w:t>
            </w:r>
            <w:r>
              <w:rPr>
                <w:kern w:val="0"/>
                <w:sz w:val="24"/>
                <w:highlight w:val="none"/>
                <w:lang w:val="zh-CN"/>
              </w:rPr>
              <w:t>达标，</w:t>
            </w:r>
            <w:r>
              <w:rPr>
                <w:bCs/>
                <w:kern w:val="0"/>
                <w:sz w:val="24"/>
                <w:highlight w:val="none"/>
              </w:rPr>
              <w:t>所在区域空气质量为不达标区</w:t>
            </w:r>
            <w:r>
              <w:rPr>
                <w:kern w:val="0"/>
                <w:sz w:val="24"/>
                <w:highlight w:val="none"/>
                <w:lang w:val="zh-CN"/>
              </w:rPr>
              <w:t>。</w:t>
            </w:r>
            <w:bookmarkEnd w:id="8"/>
          </w:p>
          <w:p>
            <w:pPr>
              <w:adjustRightInd w:val="0"/>
              <w:snapToGrid w:val="0"/>
              <w:spacing w:line="360" w:lineRule="auto"/>
              <w:ind w:firstLine="482"/>
              <w:rPr>
                <w:kern w:val="0"/>
                <w:sz w:val="24"/>
                <w:highlight w:val="none"/>
              </w:rPr>
            </w:pPr>
            <w:r>
              <w:rPr>
                <w:kern w:val="0"/>
                <w:sz w:val="24"/>
                <w:highlight w:val="none"/>
              </w:rPr>
              <w:t>《苏州市空气质量改善达标规划(2019～2024)》做出如下规定：</w:t>
            </w:r>
          </w:p>
          <w:p>
            <w:pPr>
              <w:adjustRightInd w:val="0"/>
              <w:snapToGrid w:val="0"/>
              <w:spacing w:line="360" w:lineRule="auto"/>
              <w:ind w:firstLine="482"/>
              <w:rPr>
                <w:kern w:val="0"/>
                <w:sz w:val="24"/>
                <w:highlight w:val="none"/>
              </w:rPr>
            </w:pPr>
            <w:r>
              <w:rPr>
                <w:kern w:val="0"/>
                <w:sz w:val="24"/>
                <w:highlight w:val="none"/>
              </w:rPr>
              <w:t>达标期限：苏州市环境空气质量在2024年实现全面达标。</w:t>
            </w:r>
          </w:p>
          <w:p>
            <w:pPr>
              <w:adjustRightInd w:val="0"/>
              <w:snapToGrid w:val="0"/>
              <w:spacing w:line="360" w:lineRule="auto"/>
              <w:ind w:firstLine="482"/>
              <w:rPr>
                <w:kern w:val="0"/>
                <w:sz w:val="24"/>
                <w:highlight w:val="none"/>
              </w:rPr>
            </w:pPr>
            <w:r>
              <w:rPr>
                <w:kern w:val="0"/>
                <w:sz w:val="24"/>
                <w:highlight w:val="none"/>
              </w:rPr>
              <w:t>近期目标：到2020年，二氧化硫（SO</w:t>
            </w:r>
            <w:r>
              <w:rPr>
                <w:kern w:val="0"/>
                <w:sz w:val="24"/>
                <w:highlight w:val="none"/>
                <w:vertAlign w:val="subscript"/>
              </w:rPr>
              <w:t>2</w:t>
            </w:r>
            <w:r>
              <w:rPr>
                <w:kern w:val="0"/>
                <w:sz w:val="24"/>
                <w:highlight w:val="none"/>
              </w:rPr>
              <w:t>）、氮氧化物（NOx）、挥发性有机物（VOCs）排放总量均比2015年下降20%以上；确保PM</w:t>
            </w:r>
            <w:r>
              <w:rPr>
                <w:kern w:val="0"/>
                <w:sz w:val="24"/>
                <w:highlight w:val="none"/>
                <w:vertAlign w:val="subscript"/>
              </w:rPr>
              <w:t>2.5</w:t>
            </w:r>
            <w:r>
              <w:rPr>
                <w:kern w:val="0"/>
                <w:sz w:val="24"/>
                <w:highlight w:val="none"/>
              </w:rPr>
              <w:t>浓度比2015年下降25%以上，力争达到39微克/立方米；确保空气质量优良天数比率达到75%；确保重度及以上污染天数比率比2015年下降25%以上；确保全面实现“十三五”约束性目标。</w:t>
            </w:r>
          </w:p>
          <w:p>
            <w:pPr>
              <w:adjustRightInd w:val="0"/>
              <w:snapToGrid w:val="0"/>
              <w:spacing w:line="360" w:lineRule="auto"/>
              <w:ind w:firstLine="482"/>
              <w:rPr>
                <w:kern w:val="0"/>
                <w:sz w:val="24"/>
                <w:highlight w:val="none"/>
                <w:lang w:val="zh-CN"/>
              </w:rPr>
            </w:pPr>
            <w:r>
              <w:rPr>
                <w:kern w:val="0"/>
                <w:sz w:val="24"/>
                <w:highlight w:val="none"/>
              </w:rPr>
              <w:t>远期目标：力争到2024年，苏州市PM</w:t>
            </w:r>
            <w:r>
              <w:rPr>
                <w:kern w:val="0"/>
                <w:sz w:val="24"/>
                <w:highlight w:val="none"/>
                <w:vertAlign w:val="subscript"/>
              </w:rPr>
              <w:t>2.5</w:t>
            </w:r>
            <w:r>
              <w:rPr>
                <w:kern w:val="0"/>
                <w:sz w:val="24"/>
                <w:highlight w:val="none"/>
              </w:rPr>
              <w:t>浓度达到35μg/m</w:t>
            </w:r>
            <w:r>
              <w:rPr>
                <w:kern w:val="0"/>
                <w:sz w:val="24"/>
                <w:highlight w:val="none"/>
                <w:vertAlign w:val="superscript"/>
              </w:rPr>
              <w:t>3</w:t>
            </w:r>
            <w:r>
              <w:rPr>
                <w:kern w:val="0"/>
                <w:sz w:val="24"/>
                <w:highlight w:val="none"/>
              </w:rPr>
              <w:t>左右，臭氧浓度达到拐点，除臭氧以外的主要大气污染物浓度达到国家二级标准要求，空气质量优良天数比率达到80%</w:t>
            </w:r>
            <w:r>
              <w:rPr>
                <w:kern w:val="0"/>
                <w:sz w:val="24"/>
                <w:highlight w:val="none"/>
                <w:lang w:val="zh-CN"/>
              </w:rPr>
              <w:t>。</w:t>
            </w:r>
          </w:p>
          <w:p>
            <w:pPr>
              <w:adjustRightInd w:val="0"/>
              <w:snapToGrid w:val="0"/>
              <w:spacing w:line="360" w:lineRule="auto"/>
              <w:ind w:firstLine="482"/>
              <w:rPr>
                <w:rFonts w:hint="eastAsia" w:ascii="Times New Roman" w:hAnsi="Times New Roman" w:eastAsia="宋体" w:cs="Times New Roman"/>
                <w:b w:val="0"/>
                <w:bCs w:val="0"/>
                <w:kern w:val="0"/>
                <w:sz w:val="24"/>
                <w:szCs w:val="24"/>
                <w:highlight w:val="none"/>
                <w:lang w:val="zh-CN" w:eastAsia="zh-CN" w:bidi="ar-SA"/>
              </w:rPr>
            </w:pPr>
            <w:r>
              <w:rPr>
                <w:rFonts w:hint="eastAsia" w:ascii="Times New Roman" w:hAnsi="Times New Roman" w:eastAsia="宋体" w:cs="Times New Roman"/>
                <w:b w:val="0"/>
                <w:bCs w:val="0"/>
                <w:kern w:val="0"/>
                <w:sz w:val="24"/>
                <w:szCs w:val="24"/>
                <w:highlight w:val="none"/>
                <w:lang w:val="zh-CN" w:eastAsia="zh-CN" w:bidi="ar-SA"/>
              </w:rPr>
              <w:t>2024年环境空气质量实现全面达标为远期目标，通过采取如下措施：1）调整能源结构，控制煤炭消费总量（控制煤炭消费总量和强度、深入推进燃煤锅炉整治、提升清洁能源占比、强化高污染染料使用监管）；2）调整产业结构，减少污染物排放（严格 准入条件、加大产业布局调整力度、加大淘汰力度）；3）推进工业领域全行业、全要素达标排放（进一步控制SO2、NOx和烟粉尘排放，强化VOCs污染专项治理）；4）加强交通行业大气污染防治（深化机动车污染防治、开展船舶和港口大气污染防治、优化调整货物运输结构、加强油品供应和质量保障、加强非道路移动机械污染防治）；5）严格控制扬 尘污染（强化施工扬尘管控、加强道路扬尘控制，推进堆场、码头扬尘污染控制，强化裸地治理、实施降尘考核）；6）加强服务业和生活污染防治（全面开展汽修行业VOCs治理，推进建筑装饰、道路施工VOCs综合治理，加强餐饮油烟排放控制）；7）推进农业污染防治（加强秸秆综合利用、控制农业源氨排放）；8）加强重污染天气应对等，提升大气污染精细化防控能力。届时，区域环境空气质 量将得到极大的改善。</w:t>
            </w:r>
          </w:p>
          <w:p>
            <w:pPr>
              <w:pStyle w:val="2"/>
              <w:rPr>
                <w:rFonts w:ascii="Times New Roman" w:hAnsi="Times New Roman" w:eastAsia="宋体" w:cs="Times New Roman"/>
                <w:b/>
                <w:bCs w:val="0"/>
                <w:kern w:val="2"/>
                <w:sz w:val="24"/>
                <w:szCs w:val="24"/>
                <w:highlight w:val="none"/>
                <w:lang w:val="en-US" w:eastAsia="zh-CN" w:bidi="ar-SA"/>
              </w:rPr>
            </w:pPr>
            <w:r>
              <w:rPr>
                <w:rFonts w:ascii="Times New Roman" w:hAnsi="Times New Roman" w:eastAsia="宋体" w:cs="Times New Roman"/>
                <w:b/>
                <w:bCs w:val="0"/>
                <w:kern w:val="2"/>
                <w:sz w:val="24"/>
                <w:szCs w:val="24"/>
                <w:highlight w:val="none"/>
                <w:lang w:val="en-US" w:eastAsia="zh-CN" w:bidi="ar-SA"/>
              </w:rPr>
              <w:t>2、水环境质量现状调查与评价</w:t>
            </w:r>
          </w:p>
          <w:p>
            <w:pPr>
              <w:adjustRightInd w:val="0"/>
              <w:snapToGrid w:val="0"/>
              <w:spacing w:line="360" w:lineRule="auto"/>
              <w:ind w:firstLine="482"/>
              <w:rPr>
                <w:rFonts w:hint="eastAsia" w:ascii="Times New Roman" w:hAnsi="Times New Roman" w:eastAsia="宋体" w:cs="Times New Roman"/>
                <w:b w:val="0"/>
                <w:bCs w:val="0"/>
                <w:kern w:val="0"/>
                <w:sz w:val="24"/>
                <w:szCs w:val="24"/>
                <w:highlight w:val="none"/>
                <w:lang w:val="zh-CN" w:eastAsia="zh-CN" w:bidi="ar-SA"/>
              </w:rPr>
            </w:pPr>
            <w:r>
              <w:rPr>
                <w:rFonts w:hint="eastAsia" w:ascii="Times New Roman" w:hAnsi="Times New Roman" w:eastAsia="宋体" w:cs="Times New Roman"/>
                <w:b w:val="0"/>
                <w:bCs w:val="0"/>
                <w:kern w:val="0"/>
                <w:sz w:val="24"/>
                <w:szCs w:val="24"/>
                <w:highlight w:val="none"/>
                <w:lang w:val="zh-CN" w:eastAsia="zh-CN" w:bidi="ar-SA"/>
              </w:rPr>
              <w:t>根据《环境影响评价技术导则―地表水环境》（HJ2.3-2018），本项目污水接管至科技城水质净化厂集中处理，属于间接排放，因此，本项目水环境影响评价等级为三级B，可不开展区域污染源调查。</w:t>
            </w:r>
          </w:p>
          <w:p>
            <w:pPr>
              <w:adjustRightInd w:val="0"/>
              <w:snapToGrid w:val="0"/>
              <w:spacing w:line="360" w:lineRule="auto"/>
              <w:ind w:firstLine="482"/>
              <w:rPr>
                <w:rFonts w:hint="eastAsia" w:ascii="Times New Roman" w:hAnsi="Times New Roman" w:eastAsia="宋体" w:cs="Times New Roman"/>
                <w:b w:val="0"/>
                <w:bCs w:val="0"/>
                <w:kern w:val="0"/>
                <w:sz w:val="24"/>
                <w:szCs w:val="24"/>
                <w:highlight w:val="none"/>
                <w:lang w:val="zh-CN" w:eastAsia="zh-CN" w:bidi="ar-SA"/>
              </w:rPr>
            </w:pPr>
            <w:r>
              <w:rPr>
                <w:rFonts w:hint="eastAsia" w:ascii="Times New Roman" w:hAnsi="Times New Roman" w:eastAsia="宋体" w:cs="Times New Roman"/>
                <w:b w:val="0"/>
                <w:bCs w:val="0"/>
                <w:kern w:val="0"/>
                <w:sz w:val="24"/>
                <w:szCs w:val="24"/>
                <w:highlight w:val="none"/>
                <w:lang w:val="zh-CN" w:eastAsia="zh-CN" w:bidi="ar-SA"/>
              </w:rPr>
              <w:t>根据2020年度苏州高新区环境质量公报，2个集中式饮用水水源地水质均属安全饮用水，省级断面考核达标率为 100%，重点河流水环境质量基本稳定。</w:t>
            </w:r>
          </w:p>
          <w:p>
            <w:pPr>
              <w:adjustRightInd w:val="0"/>
              <w:snapToGrid w:val="0"/>
              <w:spacing w:line="360" w:lineRule="auto"/>
              <w:ind w:firstLine="482"/>
              <w:rPr>
                <w:rFonts w:hint="eastAsia" w:ascii="Times New Roman" w:hAnsi="Times New Roman" w:eastAsia="宋体" w:cs="Times New Roman"/>
                <w:b w:val="0"/>
                <w:bCs w:val="0"/>
                <w:kern w:val="0"/>
                <w:sz w:val="24"/>
                <w:szCs w:val="24"/>
                <w:highlight w:val="none"/>
                <w:lang w:val="zh-CN" w:eastAsia="zh-CN" w:bidi="ar-SA"/>
              </w:rPr>
            </w:pPr>
            <w:r>
              <w:rPr>
                <w:rFonts w:hint="eastAsia" w:ascii="Times New Roman" w:hAnsi="Times New Roman" w:eastAsia="宋体" w:cs="Times New Roman"/>
                <w:b w:val="0"/>
                <w:bCs w:val="0"/>
                <w:kern w:val="0"/>
                <w:sz w:val="24"/>
                <w:szCs w:val="24"/>
                <w:highlight w:val="none"/>
                <w:lang w:val="zh-CN" w:eastAsia="zh-CN" w:bidi="ar-SA"/>
              </w:rPr>
              <w:t>（一）集中式饮用水源地——上山村饮用水源地水质达标率为 100%；金墅港饮用水源地水质达标率为 100%；</w:t>
            </w:r>
          </w:p>
          <w:p>
            <w:pPr>
              <w:adjustRightInd w:val="0"/>
              <w:snapToGrid w:val="0"/>
              <w:spacing w:line="360" w:lineRule="auto"/>
              <w:ind w:firstLine="482"/>
              <w:rPr>
                <w:rFonts w:hint="eastAsia" w:ascii="Times New Roman" w:hAnsi="Times New Roman" w:eastAsia="宋体" w:cs="Times New Roman"/>
                <w:b w:val="0"/>
                <w:bCs w:val="0"/>
                <w:kern w:val="0"/>
                <w:sz w:val="24"/>
                <w:szCs w:val="24"/>
                <w:highlight w:val="none"/>
                <w:lang w:val="zh-CN" w:eastAsia="zh-CN" w:bidi="ar-SA"/>
              </w:rPr>
            </w:pPr>
            <w:r>
              <w:rPr>
                <w:rFonts w:hint="eastAsia" w:ascii="Times New Roman" w:hAnsi="Times New Roman" w:eastAsia="宋体" w:cs="Times New Roman"/>
                <w:b w:val="0"/>
                <w:bCs w:val="0"/>
                <w:kern w:val="0"/>
                <w:sz w:val="24"/>
                <w:szCs w:val="24"/>
                <w:highlight w:val="none"/>
                <w:lang w:val="zh-CN" w:eastAsia="zh-CN" w:bidi="ar-SA"/>
              </w:rPr>
              <w:t>（二）省级考核断面——省级考核断面京杭运河浒关上游、轻化仓库年度水质达标率 100%，年均水质符合III类；</w:t>
            </w:r>
          </w:p>
          <w:p>
            <w:pPr>
              <w:adjustRightInd w:val="0"/>
              <w:snapToGrid w:val="0"/>
              <w:spacing w:line="360" w:lineRule="auto"/>
              <w:ind w:firstLine="482"/>
              <w:rPr>
                <w:rFonts w:hint="eastAsia" w:ascii="Times New Roman" w:hAnsi="Times New Roman" w:eastAsia="宋体" w:cs="Times New Roman"/>
                <w:b w:val="0"/>
                <w:bCs w:val="0"/>
                <w:kern w:val="0"/>
                <w:sz w:val="24"/>
                <w:szCs w:val="24"/>
                <w:highlight w:val="none"/>
                <w:lang w:val="zh-CN" w:eastAsia="zh-CN" w:bidi="ar-SA"/>
              </w:rPr>
            </w:pPr>
            <w:r>
              <w:rPr>
                <w:rFonts w:hint="eastAsia" w:ascii="Times New Roman" w:hAnsi="Times New Roman" w:eastAsia="宋体" w:cs="Times New Roman"/>
                <w:b w:val="0"/>
                <w:bCs w:val="0"/>
                <w:kern w:val="0"/>
                <w:sz w:val="24"/>
                <w:szCs w:val="24"/>
                <w:highlight w:val="none"/>
                <w:lang w:val="zh-CN" w:eastAsia="zh-CN" w:bidi="ar-SA"/>
              </w:rPr>
              <w:t>（三）主要河流水质——京杭运河（高新区段）：2020 年水质目标IV类，年均水质IV类，达到水质目标，总体水质有所改善。胥江（横塘段）：2020 年水质目标III类，年均水质IV类，未达到水质目标，总体水质基本稳定。浒光运河：2020年水质目标III类，年均水质III类，达到水质目标，总体水质基本稳定。金墅港：2020年水质目标IV类，年均水质III类，优于水质目标，总体水质基本稳定。</w:t>
            </w:r>
          </w:p>
          <w:p>
            <w:pPr>
              <w:adjustRightInd w:val="0"/>
              <w:snapToGrid w:val="0"/>
              <w:spacing w:line="360" w:lineRule="auto"/>
              <w:ind w:firstLine="482"/>
              <w:rPr>
                <w:rFonts w:hint="eastAsia" w:ascii="Times New Roman" w:hAnsi="Times New Roman" w:eastAsia="宋体" w:cs="Times New Roman"/>
                <w:b w:val="0"/>
                <w:bCs w:val="0"/>
                <w:kern w:val="0"/>
                <w:sz w:val="24"/>
                <w:szCs w:val="24"/>
                <w:highlight w:val="none"/>
                <w:lang w:val="zh-CN" w:eastAsia="zh-CN" w:bidi="ar-SA"/>
              </w:rPr>
            </w:pPr>
            <w:r>
              <w:rPr>
                <w:rFonts w:hint="eastAsia" w:ascii="Times New Roman" w:hAnsi="Times New Roman" w:eastAsia="宋体" w:cs="Times New Roman"/>
                <w:b w:val="0"/>
                <w:bCs w:val="0"/>
                <w:kern w:val="0"/>
                <w:sz w:val="24"/>
                <w:szCs w:val="24"/>
                <w:highlight w:val="none"/>
                <w:lang w:val="zh-CN" w:eastAsia="zh-CN" w:bidi="ar-SA"/>
              </w:rPr>
              <w:t>本项纳污河流为京杭运河，由《2020 年度苏州高新区环境质量状况》可知，京杭运河（高新区段）处污染因子均可达到《地表水环境质量标准》（GB3838-2002）IV类标准，达到《江苏省地面水（环境）功能区划》2020年水质目标和“河长制”考核要求。</w:t>
            </w:r>
          </w:p>
          <w:p>
            <w:pPr>
              <w:pStyle w:val="60"/>
              <w:snapToGrid w:val="0"/>
              <w:rPr>
                <w:b/>
                <w:szCs w:val="24"/>
                <w:highlight w:val="none"/>
              </w:rPr>
            </w:pPr>
            <w:r>
              <w:rPr>
                <w:b/>
                <w:szCs w:val="24"/>
                <w:highlight w:val="none"/>
              </w:rPr>
              <w:t>3、声环境质量现状调查与评价</w:t>
            </w:r>
          </w:p>
          <w:p>
            <w:pPr>
              <w:spacing w:line="360" w:lineRule="auto"/>
              <w:ind w:firstLine="480" w:firstLineChars="200"/>
              <w:jc w:val="left"/>
              <w:rPr>
                <w:sz w:val="24"/>
                <w:highlight w:val="none"/>
              </w:rPr>
            </w:pPr>
            <w:r>
              <w:rPr>
                <w:rFonts w:hint="eastAsia"/>
                <w:kern w:val="0"/>
                <w:sz w:val="24"/>
                <w:highlight w:val="none"/>
              </w:rPr>
              <w:t>青山绿水（苏州）检验检测有限公司于</w:t>
            </w:r>
            <w:r>
              <w:rPr>
                <w:kern w:val="0"/>
                <w:sz w:val="24"/>
                <w:highlight w:val="none"/>
              </w:rPr>
              <w:t>202</w:t>
            </w:r>
            <w:r>
              <w:rPr>
                <w:rFonts w:hint="eastAsia"/>
                <w:kern w:val="0"/>
                <w:sz w:val="24"/>
                <w:highlight w:val="none"/>
                <w:lang w:val="en-US" w:eastAsia="zh-CN"/>
              </w:rPr>
              <w:t>2</w:t>
            </w:r>
            <w:r>
              <w:rPr>
                <w:kern w:val="0"/>
                <w:sz w:val="24"/>
                <w:highlight w:val="none"/>
              </w:rPr>
              <w:t>年</w:t>
            </w:r>
            <w:r>
              <w:rPr>
                <w:rFonts w:hint="eastAsia"/>
                <w:kern w:val="0"/>
                <w:sz w:val="24"/>
                <w:highlight w:val="none"/>
                <w:lang w:val="en-US" w:eastAsia="zh-CN"/>
              </w:rPr>
              <w:t>1</w:t>
            </w:r>
            <w:r>
              <w:rPr>
                <w:kern w:val="0"/>
                <w:sz w:val="24"/>
                <w:highlight w:val="none"/>
              </w:rPr>
              <w:t>月</w:t>
            </w:r>
            <w:r>
              <w:rPr>
                <w:rFonts w:hint="eastAsia"/>
                <w:kern w:val="0"/>
                <w:sz w:val="24"/>
                <w:highlight w:val="none"/>
                <w:lang w:val="en-US" w:eastAsia="zh-CN"/>
              </w:rPr>
              <w:t>13~14</w:t>
            </w:r>
            <w:r>
              <w:rPr>
                <w:kern w:val="0"/>
                <w:sz w:val="24"/>
                <w:highlight w:val="none"/>
              </w:rPr>
              <w:t>日对项目边界进行了声环境现状监测，监测时天气晴，风速</w:t>
            </w:r>
            <w:r>
              <w:rPr>
                <w:rFonts w:hint="eastAsia"/>
                <w:kern w:val="0"/>
                <w:sz w:val="24"/>
                <w:highlight w:val="none"/>
                <w:lang w:val="en-US" w:eastAsia="zh-CN"/>
              </w:rPr>
              <w:t>3.0</w:t>
            </w:r>
            <w:r>
              <w:rPr>
                <w:kern w:val="0"/>
                <w:sz w:val="24"/>
                <w:highlight w:val="none"/>
              </w:rPr>
              <w:t>-</w:t>
            </w:r>
            <w:r>
              <w:rPr>
                <w:rFonts w:hint="eastAsia"/>
                <w:kern w:val="0"/>
                <w:sz w:val="24"/>
                <w:highlight w:val="none"/>
                <w:lang w:val="en-US" w:eastAsia="zh-CN"/>
              </w:rPr>
              <w:t>3.3</w:t>
            </w:r>
            <w:r>
              <w:rPr>
                <w:kern w:val="0"/>
                <w:sz w:val="24"/>
                <w:highlight w:val="none"/>
              </w:rPr>
              <w:t>m/s。监测点设置在边界外1米处，共布设4个监测点（监测点位图见附件监测报告），监测结果见下表。</w:t>
            </w:r>
          </w:p>
          <w:p>
            <w:pPr>
              <w:pStyle w:val="56"/>
              <w:rPr>
                <w:highlight w:val="none"/>
              </w:rPr>
            </w:pPr>
            <w:r>
              <w:rPr>
                <w:highlight w:val="none"/>
              </w:rPr>
              <w:t>表3-2  噪声监测结果  单位：Leq[dB(A)]</w:t>
            </w:r>
          </w:p>
          <w:tbl>
            <w:tblPr>
              <w:tblStyle w:val="22"/>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361"/>
              <w:gridCol w:w="934"/>
              <w:gridCol w:w="934"/>
              <w:gridCol w:w="934"/>
              <w:gridCol w:w="934"/>
              <w:gridCol w:w="13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68" w:type="pct"/>
                  <w:vMerge w:val="restart"/>
                  <w:vAlign w:val="center"/>
                </w:tcPr>
                <w:p>
                  <w:pPr>
                    <w:widowControl/>
                    <w:jc w:val="center"/>
                    <w:rPr>
                      <w:b/>
                      <w:bCs/>
                      <w:kern w:val="0"/>
                      <w:szCs w:val="21"/>
                      <w:highlight w:val="none"/>
                    </w:rPr>
                  </w:pPr>
                  <w:r>
                    <w:rPr>
                      <w:b/>
                      <w:bCs/>
                      <w:kern w:val="0"/>
                      <w:szCs w:val="21"/>
                      <w:highlight w:val="none"/>
                    </w:rPr>
                    <w:t>监测日期</w:t>
                  </w:r>
                </w:p>
              </w:tc>
              <w:tc>
                <w:tcPr>
                  <w:tcW w:w="845" w:type="pct"/>
                  <w:vMerge w:val="restart"/>
                  <w:vAlign w:val="center"/>
                </w:tcPr>
                <w:p>
                  <w:pPr>
                    <w:widowControl/>
                    <w:jc w:val="center"/>
                    <w:rPr>
                      <w:b/>
                      <w:bCs/>
                      <w:kern w:val="0"/>
                      <w:szCs w:val="21"/>
                      <w:highlight w:val="none"/>
                    </w:rPr>
                  </w:pPr>
                  <w:r>
                    <w:rPr>
                      <w:b/>
                      <w:bCs/>
                      <w:kern w:val="0"/>
                      <w:szCs w:val="21"/>
                      <w:highlight w:val="none"/>
                    </w:rPr>
                    <w:t>监测位置</w:t>
                  </w:r>
                </w:p>
              </w:tc>
              <w:tc>
                <w:tcPr>
                  <w:tcW w:w="1160" w:type="pct"/>
                  <w:gridSpan w:val="2"/>
                  <w:vAlign w:val="center"/>
                </w:tcPr>
                <w:p>
                  <w:pPr>
                    <w:widowControl/>
                    <w:jc w:val="center"/>
                    <w:rPr>
                      <w:b/>
                      <w:bCs/>
                      <w:kern w:val="0"/>
                      <w:szCs w:val="21"/>
                      <w:highlight w:val="none"/>
                    </w:rPr>
                  </w:pPr>
                  <w:r>
                    <w:rPr>
                      <w:b/>
                      <w:bCs/>
                      <w:kern w:val="0"/>
                      <w:szCs w:val="21"/>
                      <w:highlight w:val="none"/>
                    </w:rPr>
                    <w:t>昼间</w:t>
                  </w:r>
                </w:p>
              </w:tc>
              <w:tc>
                <w:tcPr>
                  <w:tcW w:w="1160" w:type="pct"/>
                  <w:gridSpan w:val="2"/>
                  <w:vAlign w:val="center"/>
                </w:tcPr>
                <w:p>
                  <w:pPr>
                    <w:widowControl/>
                    <w:jc w:val="center"/>
                    <w:rPr>
                      <w:b/>
                      <w:bCs/>
                      <w:kern w:val="0"/>
                      <w:szCs w:val="21"/>
                      <w:highlight w:val="none"/>
                    </w:rPr>
                  </w:pPr>
                  <w:r>
                    <w:rPr>
                      <w:b/>
                      <w:bCs/>
                      <w:kern w:val="0"/>
                      <w:szCs w:val="21"/>
                      <w:highlight w:val="none"/>
                    </w:rPr>
                    <w:t>夜间</w:t>
                  </w:r>
                </w:p>
              </w:tc>
              <w:tc>
                <w:tcPr>
                  <w:tcW w:w="867" w:type="pct"/>
                  <w:vMerge w:val="restart"/>
                  <w:vAlign w:val="center"/>
                </w:tcPr>
                <w:p>
                  <w:pPr>
                    <w:widowControl/>
                    <w:jc w:val="center"/>
                    <w:rPr>
                      <w:b/>
                      <w:bCs/>
                      <w:kern w:val="0"/>
                      <w:szCs w:val="21"/>
                      <w:highlight w:val="none"/>
                    </w:rPr>
                  </w:pPr>
                  <w:r>
                    <w:rPr>
                      <w:b/>
                      <w:bCs/>
                      <w:kern w:val="0"/>
                      <w:szCs w:val="21"/>
                      <w:highlight w:val="none"/>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68" w:type="pct"/>
                  <w:vMerge w:val="continue"/>
                  <w:vAlign w:val="center"/>
                </w:tcPr>
                <w:p>
                  <w:pPr>
                    <w:widowControl/>
                    <w:jc w:val="center"/>
                    <w:rPr>
                      <w:b/>
                      <w:bCs/>
                      <w:kern w:val="0"/>
                      <w:szCs w:val="21"/>
                      <w:highlight w:val="none"/>
                    </w:rPr>
                  </w:pPr>
                </w:p>
              </w:tc>
              <w:tc>
                <w:tcPr>
                  <w:tcW w:w="845" w:type="pct"/>
                  <w:vMerge w:val="continue"/>
                  <w:vAlign w:val="center"/>
                </w:tcPr>
                <w:p>
                  <w:pPr>
                    <w:widowControl/>
                    <w:jc w:val="center"/>
                    <w:rPr>
                      <w:b/>
                      <w:bCs/>
                      <w:kern w:val="0"/>
                      <w:szCs w:val="21"/>
                      <w:highlight w:val="none"/>
                    </w:rPr>
                  </w:pPr>
                </w:p>
              </w:tc>
              <w:tc>
                <w:tcPr>
                  <w:tcW w:w="580" w:type="pct"/>
                  <w:vAlign w:val="center"/>
                </w:tcPr>
                <w:p>
                  <w:pPr>
                    <w:widowControl/>
                    <w:jc w:val="center"/>
                    <w:rPr>
                      <w:b/>
                      <w:bCs/>
                      <w:kern w:val="0"/>
                      <w:szCs w:val="21"/>
                      <w:highlight w:val="none"/>
                    </w:rPr>
                  </w:pPr>
                  <w:r>
                    <w:rPr>
                      <w:b/>
                      <w:bCs/>
                      <w:kern w:val="0"/>
                      <w:szCs w:val="21"/>
                      <w:highlight w:val="none"/>
                    </w:rPr>
                    <w:t>监测值</w:t>
                  </w:r>
                </w:p>
              </w:tc>
              <w:tc>
                <w:tcPr>
                  <w:tcW w:w="580" w:type="pct"/>
                  <w:vAlign w:val="center"/>
                </w:tcPr>
                <w:p>
                  <w:pPr>
                    <w:widowControl/>
                    <w:jc w:val="center"/>
                    <w:rPr>
                      <w:b/>
                      <w:bCs/>
                      <w:kern w:val="0"/>
                      <w:szCs w:val="21"/>
                      <w:highlight w:val="none"/>
                    </w:rPr>
                  </w:pPr>
                  <w:r>
                    <w:rPr>
                      <w:b/>
                      <w:bCs/>
                      <w:kern w:val="0"/>
                      <w:szCs w:val="21"/>
                      <w:highlight w:val="none"/>
                    </w:rPr>
                    <w:t>标准限值</w:t>
                  </w:r>
                </w:p>
              </w:tc>
              <w:tc>
                <w:tcPr>
                  <w:tcW w:w="580" w:type="pct"/>
                  <w:vAlign w:val="center"/>
                </w:tcPr>
                <w:p>
                  <w:pPr>
                    <w:widowControl/>
                    <w:jc w:val="center"/>
                    <w:rPr>
                      <w:b/>
                      <w:bCs/>
                      <w:kern w:val="0"/>
                      <w:szCs w:val="21"/>
                      <w:highlight w:val="none"/>
                    </w:rPr>
                  </w:pPr>
                  <w:r>
                    <w:rPr>
                      <w:b/>
                      <w:bCs/>
                      <w:kern w:val="0"/>
                      <w:szCs w:val="21"/>
                      <w:highlight w:val="none"/>
                    </w:rPr>
                    <w:t>监测值</w:t>
                  </w:r>
                </w:p>
              </w:tc>
              <w:tc>
                <w:tcPr>
                  <w:tcW w:w="580" w:type="pct"/>
                  <w:vAlign w:val="center"/>
                </w:tcPr>
                <w:p>
                  <w:pPr>
                    <w:widowControl/>
                    <w:jc w:val="center"/>
                    <w:rPr>
                      <w:b/>
                      <w:bCs/>
                      <w:kern w:val="0"/>
                      <w:szCs w:val="21"/>
                      <w:highlight w:val="none"/>
                    </w:rPr>
                  </w:pPr>
                  <w:r>
                    <w:rPr>
                      <w:b/>
                      <w:kern w:val="0"/>
                      <w:szCs w:val="21"/>
                      <w:highlight w:val="none"/>
                    </w:rPr>
                    <w:t>标准限值</w:t>
                  </w:r>
                </w:p>
              </w:tc>
              <w:tc>
                <w:tcPr>
                  <w:tcW w:w="867" w:type="pct"/>
                  <w:vMerge w:val="continue"/>
                  <w:vAlign w:val="center"/>
                </w:tcPr>
                <w:p>
                  <w:pPr>
                    <w:widowControl/>
                    <w:jc w:val="center"/>
                    <w:rPr>
                      <w:b/>
                      <w:bCs/>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8" w:type="pct"/>
                  <w:vMerge w:val="restart"/>
                  <w:vAlign w:val="center"/>
                </w:tcPr>
                <w:p>
                  <w:pPr>
                    <w:widowControl/>
                    <w:jc w:val="center"/>
                    <w:rPr>
                      <w:rFonts w:hint="default" w:eastAsia="宋体"/>
                      <w:kern w:val="0"/>
                      <w:szCs w:val="21"/>
                      <w:highlight w:val="none"/>
                      <w:lang w:val="en-US" w:eastAsia="zh-CN"/>
                    </w:rPr>
                  </w:pPr>
                  <w:r>
                    <w:rPr>
                      <w:kern w:val="0"/>
                      <w:szCs w:val="21"/>
                      <w:highlight w:val="none"/>
                    </w:rPr>
                    <w:t>202</w:t>
                  </w:r>
                  <w:r>
                    <w:rPr>
                      <w:rFonts w:hint="eastAsia"/>
                      <w:kern w:val="0"/>
                      <w:szCs w:val="21"/>
                      <w:highlight w:val="none"/>
                      <w:lang w:val="en-US" w:eastAsia="zh-CN"/>
                    </w:rPr>
                    <w:t>2</w:t>
                  </w:r>
                  <w:r>
                    <w:rPr>
                      <w:kern w:val="0"/>
                      <w:szCs w:val="21"/>
                      <w:highlight w:val="none"/>
                    </w:rPr>
                    <w:t>.0</w:t>
                  </w:r>
                  <w:r>
                    <w:rPr>
                      <w:rFonts w:hint="eastAsia"/>
                      <w:kern w:val="0"/>
                      <w:szCs w:val="21"/>
                      <w:highlight w:val="none"/>
                      <w:lang w:val="en-US" w:eastAsia="zh-CN"/>
                    </w:rPr>
                    <w:t>1</w:t>
                  </w:r>
                  <w:r>
                    <w:rPr>
                      <w:kern w:val="0"/>
                      <w:szCs w:val="21"/>
                      <w:highlight w:val="none"/>
                    </w:rPr>
                    <w:t>.</w:t>
                  </w:r>
                  <w:r>
                    <w:rPr>
                      <w:rFonts w:hint="eastAsia"/>
                      <w:kern w:val="0"/>
                      <w:szCs w:val="21"/>
                      <w:highlight w:val="none"/>
                      <w:lang w:val="en-US" w:eastAsia="zh-CN"/>
                    </w:rPr>
                    <w:t>13~14</w:t>
                  </w:r>
                </w:p>
              </w:tc>
              <w:tc>
                <w:tcPr>
                  <w:tcW w:w="845" w:type="pct"/>
                  <w:vAlign w:val="center"/>
                </w:tcPr>
                <w:p>
                  <w:pPr>
                    <w:widowControl/>
                    <w:jc w:val="center"/>
                    <w:rPr>
                      <w:kern w:val="0"/>
                      <w:szCs w:val="21"/>
                      <w:highlight w:val="none"/>
                    </w:rPr>
                  </w:pPr>
                  <w:r>
                    <w:rPr>
                      <w:kern w:val="0"/>
                      <w:szCs w:val="21"/>
                      <w:highlight w:val="none"/>
                    </w:rPr>
                    <w:t>N1东边界</w:t>
                  </w:r>
                </w:p>
              </w:tc>
              <w:tc>
                <w:tcPr>
                  <w:tcW w:w="580" w:type="pct"/>
                  <w:vAlign w:val="center"/>
                </w:tcPr>
                <w:p>
                  <w:pPr>
                    <w:jc w:val="center"/>
                    <w:rPr>
                      <w:rFonts w:hint="default" w:eastAsia="宋体"/>
                      <w:szCs w:val="21"/>
                      <w:highlight w:val="none"/>
                      <w:lang w:val="en-US" w:eastAsia="zh-CN"/>
                    </w:rPr>
                  </w:pPr>
                  <w:r>
                    <w:rPr>
                      <w:rFonts w:hint="eastAsia"/>
                      <w:szCs w:val="21"/>
                      <w:highlight w:val="none"/>
                      <w:lang w:val="en-US" w:eastAsia="zh-CN"/>
                    </w:rPr>
                    <w:t>58</w:t>
                  </w:r>
                </w:p>
              </w:tc>
              <w:tc>
                <w:tcPr>
                  <w:tcW w:w="580" w:type="pct"/>
                  <w:vAlign w:val="center"/>
                </w:tcPr>
                <w:p>
                  <w:pPr>
                    <w:jc w:val="center"/>
                    <w:rPr>
                      <w:szCs w:val="21"/>
                      <w:highlight w:val="none"/>
                    </w:rPr>
                  </w:pPr>
                  <w:r>
                    <w:rPr>
                      <w:rFonts w:hint="eastAsia"/>
                      <w:szCs w:val="21"/>
                      <w:highlight w:val="none"/>
                    </w:rPr>
                    <w:t>6</w:t>
                  </w:r>
                  <w:r>
                    <w:rPr>
                      <w:szCs w:val="21"/>
                      <w:highlight w:val="none"/>
                    </w:rPr>
                    <w:t>0</w:t>
                  </w:r>
                </w:p>
              </w:tc>
              <w:tc>
                <w:tcPr>
                  <w:tcW w:w="580" w:type="pct"/>
                </w:tcPr>
                <w:p>
                  <w:pPr>
                    <w:jc w:val="center"/>
                    <w:rPr>
                      <w:rFonts w:hint="default" w:eastAsia="宋体"/>
                      <w:szCs w:val="21"/>
                      <w:highlight w:val="none"/>
                      <w:lang w:val="en-US" w:eastAsia="zh-CN"/>
                    </w:rPr>
                  </w:pPr>
                  <w:r>
                    <w:rPr>
                      <w:rFonts w:hint="eastAsia"/>
                      <w:szCs w:val="21"/>
                      <w:highlight w:val="none"/>
                      <w:lang w:val="en-US" w:eastAsia="zh-CN"/>
                    </w:rPr>
                    <w:t>46</w:t>
                  </w:r>
                </w:p>
              </w:tc>
              <w:tc>
                <w:tcPr>
                  <w:tcW w:w="580" w:type="pct"/>
                  <w:vAlign w:val="center"/>
                </w:tcPr>
                <w:p>
                  <w:pPr>
                    <w:jc w:val="center"/>
                    <w:rPr>
                      <w:szCs w:val="21"/>
                      <w:highlight w:val="none"/>
                    </w:rPr>
                  </w:pPr>
                  <w:r>
                    <w:rPr>
                      <w:rFonts w:hint="eastAsia"/>
                      <w:szCs w:val="21"/>
                      <w:highlight w:val="none"/>
                    </w:rPr>
                    <w:t>5</w:t>
                  </w:r>
                  <w:r>
                    <w:rPr>
                      <w:szCs w:val="21"/>
                      <w:highlight w:val="none"/>
                    </w:rPr>
                    <w:t>0</w:t>
                  </w:r>
                </w:p>
              </w:tc>
              <w:tc>
                <w:tcPr>
                  <w:tcW w:w="867" w:type="pct"/>
                  <w:vAlign w:val="center"/>
                </w:tcPr>
                <w:p>
                  <w:pPr>
                    <w:widowControl/>
                    <w:jc w:val="center"/>
                    <w:rPr>
                      <w:kern w:val="0"/>
                      <w:szCs w:val="21"/>
                      <w:highlight w:val="none"/>
                    </w:rPr>
                  </w:pPr>
                  <w:r>
                    <w:rPr>
                      <w:kern w:val="0"/>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8" w:type="pct"/>
                  <w:vMerge w:val="continue"/>
                  <w:vAlign w:val="center"/>
                </w:tcPr>
                <w:p>
                  <w:pPr>
                    <w:widowControl/>
                    <w:jc w:val="center"/>
                    <w:rPr>
                      <w:kern w:val="0"/>
                      <w:szCs w:val="21"/>
                      <w:highlight w:val="none"/>
                    </w:rPr>
                  </w:pPr>
                </w:p>
              </w:tc>
              <w:tc>
                <w:tcPr>
                  <w:tcW w:w="845" w:type="pct"/>
                  <w:vAlign w:val="center"/>
                </w:tcPr>
                <w:p>
                  <w:pPr>
                    <w:widowControl/>
                    <w:jc w:val="center"/>
                    <w:rPr>
                      <w:kern w:val="0"/>
                      <w:szCs w:val="21"/>
                      <w:highlight w:val="none"/>
                    </w:rPr>
                  </w:pPr>
                  <w:r>
                    <w:rPr>
                      <w:kern w:val="0"/>
                      <w:szCs w:val="21"/>
                      <w:highlight w:val="none"/>
                    </w:rPr>
                    <w:t>N2南边界</w:t>
                  </w:r>
                </w:p>
              </w:tc>
              <w:tc>
                <w:tcPr>
                  <w:tcW w:w="580" w:type="pct"/>
                  <w:vAlign w:val="center"/>
                </w:tcPr>
                <w:p>
                  <w:pPr>
                    <w:jc w:val="center"/>
                    <w:rPr>
                      <w:rFonts w:hint="default" w:eastAsia="宋体"/>
                      <w:szCs w:val="21"/>
                      <w:highlight w:val="none"/>
                      <w:lang w:val="en-US" w:eastAsia="zh-CN"/>
                    </w:rPr>
                  </w:pPr>
                  <w:r>
                    <w:rPr>
                      <w:rFonts w:hint="eastAsia"/>
                      <w:szCs w:val="21"/>
                      <w:highlight w:val="none"/>
                      <w:lang w:val="en-US" w:eastAsia="zh-CN"/>
                    </w:rPr>
                    <w:t>57</w:t>
                  </w:r>
                </w:p>
              </w:tc>
              <w:tc>
                <w:tcPr>
                  <w:tcW w:w="580" w:type="pct"/>
                </w:tcPr>
                <w:p>
                  <w:pPr>
                    <w:jc w:val="center"/>
                    <w:rPr>
                      <w:szCs w:val="21"/>
                      <w:highlight w:val="none"/>
                    </w:rPr>
                  </w:pPr>
                  <w:r>
                    <w:rPr>
                      <w:rFonts w:hint="eastAsia"/>
                      <w:szCs w:val="21"/>
                      <w:highlight w:val="none"/>
                    </w:rPr>
                    <w:t>6</w:t>
                  </w:r>
                  <w:r>
                    <w:rPr>
                      <w:szCs w:val="21"/>
                      <w:highlight w:val="none"/>
                    </w:rPr>
                    <w:t>0</w:t>
                  </w:r>
                </w:p>
              </w:tc>
              <w:tc>
                <w:tcPr>
                  <w:tcW w:w="580" w:type="pct"/>
                </w:tcPr>
                <w:p>
                  <w:pPr>
                    <w:jc w:val="center"/>
                    <w:rPr>
                      <w:szCs w:val="21"/>
                      <w:highlight w:val="none"/>
                    </w:rPr>
                  </w:pPr>
                  <w:r>
                    <w:rPr>
                      <w:rFonts w:hint="eastAsia"/>
                      <w:szCs w:val="21"/>
                      <w:highlight w:val="none"/>
                    </w:rPr>
                    <w:t>4</w:t>
                  </w:r>
                  <w:r>
                    <w:rPr>
                      <w:szCs w:val="21"/>
                      <w:highlight w:val="none"/>
                    </w:rPr>
                    <w:t>8</w:t>
                  </w:r>
                </w:p>
              </w:tc>
              <w:tc>
                <w:tcPr>
                  <w:tcW w:w="580" w:type="pct"/>
                </w:tcPr>
                <w:p>
                  <w:pPr>
                    <w:jc w:val="center"/>
                    <w:rPr>
                      <w:szCs w:val="21"/>
                      <w:highlight w:val="none"/>
                    </w:rPr>
                  </w:pPr>
                  <w:r>
                    <w:rPr>
                      <w:rFonts w:hint="eastAsia"/>
                      <w:szCs w:val="21"/>
                      <w:highlight w:val="none"/>
                    </w:rPr>
                    <w:t>5</w:t>
                  </w:r>
                  <w:r>
                    <w:rPr>
                      <w:szCs w:val="21"/>
                      <w:highlight w:val="none"/>
                    </w:rPr>
                    <w:t>0</w:t>
                  </w:r>
                </w:p>
              </w:tc>
              <w:tc>
                <w:tcPr>
                  <w:tcW w:w="867" w:type="pct"/>
                  <w:vAlign w:val="center"/>
                </w:tcPr>
                <w:p>
                  <w:pPr>
                    <w:widowControl/>
                    <w:jc w:val="center"/>
                    <w:rPr>
                      <w:kern w:val="0"/>
                      <w:szCs w:val="21"/>
                      <w:highlight w:val="none"/>
                    </w:rPr>
                  </w:pPr>
                  <w:r>
                    <w:rPr>
                      <w:kern w:val="0"/>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68" w:type="pct"/>
                  <w:vMerge w:val="continue"/>
                  <w:vAlign w:val="center"/>
                </w:tcPr>
                <w:p>
                  <w:pPr>
                    <w:widowControl/>
                    <w:jc w:val="left"/>
                    <w:rPr>
                      <w:kern w:val="0"/>
                      <w:szCs w:val="21"/>
                      <w:highlight w:val="none"/>
                    </w:rPr>
                  </w:pPr>
                </w:p>
              </w:tc>
              <w:tc>
                <w:tcPr>
                  <w:tcW w:w="845" w:type="pct"/>
                  <w:vAlign w:val="center"/>
                </w:tcPr>
                <w:p>
                  <w:pPr>
                    <w:widowControl/>
                    <w:jc w:val="center"/>
                    <w:rPr>
                      <w:kern w:val="0"/>
                      <w:szCs w:val="21"/>
                      <w:highlight w:val="none"/>
                    </w:rPr>
                  </w:pPr>
                  <w:r>
                    <w:rPr>
                      <w:kern w:val="0"/>
                      <w:szCs w:val="21"/>
                      <w:highlight w:val="none"/>
                    </w:rPr>
                    <w:t>N3西边界</w:t>
                  </w:r>
                </w:p>
              </w:tc>
              <w:tc>
                <w:tcPr>
                  <w:tcW w:w="580" w:type="pct"/>
                  <w:vAlign w:val="center"/>
                </w:tcPr>
                <w:p>
                  <w:pPr>
                    <w:jc w:val="center"/>
                    <w:rPr>
                      <w:rFonts w:hint="default" w:eastAsia="宋体"/>
                      <w:szCs w:val="21"/>
                      <w:highlight w:val="none"/>
                      <w:lang w:val="en-US" w:eastAsia="zh-CN"/>
                    </w:rPr>
                  </w:pPr>
                  <w:r>
                    <w:rPr>
                      <w:rFonts w:hint="eastAsia"/>
                      <w:szCs w:val="21"/>
                      <w:highlight w:val="none"/>
                      <w:lang w:val="en-US" w:eastAsia="zh-CN"/>
                    </w:rPr>
                    <w:t>59</w:t>
                  </w:r>
                </w:p>
              </w:tc>
              <w:tc>
                <w:tcPr>
                  <w:tcW w:w="580" w:type="pct"/>
                </w:tcPr>
                <w:p>
                  <w:pPr>
                    <w:jc w:val="center"/>
                    <w:rPr>
                      <w:szCs w:val="21"/>
                      <w:highlight w:val="none"/>
                    </w:rPr>
                  </w:pPr>
                  <w:r>
                    <w:rPr>
                      <w:rFonts w:hint="eastAsia"/>
                      <w:szCs w:val="21"/>
                      <w:highlight w:val="none"/>
                    </w:rPr>
                    <w:t>6</w:t>
                  </w:r>
                  <w:r>
                    <w:rPr>
                      <w:szCs w:val="21"/>
                      <w:highlight w:val="none"/>
                    </w:rPr>
                    <w:t>0</w:t>
                  </w:r>
                </w:p>
              </w:tc>
              <w:tc>
                <w:tcPr>
                  <w:tcW w:w="580" w:type="pct"/>
                </w:tcPr>
                <w:p>
                  <w:pPr>
                    <w:jc w:val="center"/>
                    <w:rPr>
                      <w:szCs w:val="21"/>
                      <w:highlight w:val="none"/>
                    </w:rPr>
                  </w:pPr>
                  <w:r>
                    <w:rPr>
                      <w:rFonts w:hint="eastAsia"/>
                      <w:szCs w:val="21"/>
                      <w:highlight w:val="none"/>
                    </w:rPr>
                    <w:t>4</w:t>
                  </w:r>
                  <w:r>
                    <w:rPr>
                      <w:szCs w:val="21"/>
                      <w:highlight w:val="none"/>
                    </w:rPr>
                    <w:t>7</w:t>
                  </w:r>
                </w:p>
              </w:tc>
              <w:tc>
                <w:tcPr>
                  <w:tcW w:w="580" w:type="pct"/>
                </w:tcPr>
                <w:p>
                  <w:pPr>
                    <w:jc w:val="center"/>
                    <w:rPr>
                      <w:szCs w:val="21"/>
                      <w:highlight w:val="none"/>
                    </w:rPr>
                  </w:pPr>
                  <w:r>
                    <w:rPr>
                      <w:rFonts w:hint="eastAsia"/>
                      <w:szCs w:val="21"/>
                      <w:highlight w:val="none"/>
                    </w:rPr>
                    <w:t>5</w:t>
                  </w:r>
                  <w:r>
                    <w:rPr>
                      <w:szCs w:val="21"/>
                      <w:highlight w:val="none"/>
                    </w:rPr>
                    <w:t>0</w:t>
                  </w:r>
                </w:p>
              </w:tc>
              <w:tc>
                <w:tcPr>
                  <w:tcW w:w="867" w:type="pct"/>
                  <w:vAlign w:val="center"/>
                </w:tcPr>
                <w:p>
                  <w:pPr>
                    <w:widowControl/>
                    <w:jc w:val="center"/>
                    <w:rPr>
                      <w:kern w:val="0"/>
                      <w:szCs w:val="21"/>
                      <w:highlight w:val="none"/>
                    </w:rPr>
                  </w:pPr>
                  <w:r>
                    <w:rPr>
                      <w:kern w:val="0"/>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8" w:type="pct"/>
                  <w:vMerge w:val="continue"/>
                  <w:vAlign w:val="center"/>
                </w:tcPr>
                <w:p>
                  <w:pPr>
                    <w:widowControl/>
                    <w:jc w:val="left"/>
                    <w:rPr>
                      <w:kern w:val="0"/>
                      <w:szCs w:val="21"/>
                      <w:highlight w:val="none"/>
                    </w:rPr>
                  </w:pPr>
                </w:p>
              </w:tc>
              <w:tc>
                <w:tcPr>
                  <w:tcW w:w="845" w:type="pct"/>
                  <w:vAlign w:val="center"/>
                </w:tcPr>
                <w:p>
                  <w:pPr>
                    <w:widowControl/>
                    <w:jc w:val="center"/>
                    <w:rPr>
                      <w:kern w:val="0"/>
                      <w:szCs w:val="21"/>
                      <w:highlight w:val="none"/>
                    </w:rPr>
                  </w:pPr>
                  <w:r>
                    <w:rPr>
                      <w:kern w:val="0"/>
                      <w:szCs w:val="21"/>
                      <w:highlight w:val="none"/>
                    </w:rPr>
                    <w:t>N4北边界</w:t>
                  </w:r>
                </w:p>
              </w:tc>
              <w:tc>
                <w:tcPr>
                  <w:tcW w:w="580" w:type="pct"/>
                  <w:vAlign w:val="center"/>
                </w:tcPr>
                <w:p>
                  <w:pPr>
                    <w:jc w:val="center"/>
                    <w:rPr>
                      <w:rFonts w:hint="default" w:eastAsia="宋体"/>
                      <w:szCs w:val="21"/>
                      <w:highlight w:val="none"/>
                      <w:lang w:val="en-US" w:eastAsia="zh-CN"/>
                    </w:rPr>
                  </w:pPr>
                  <w:r>
                    <w:rPr>
                      <w:rFonts w:hint="eastAsia"/>
                      <w:szCs w:val="21"/>
                      <w:highlight w:val="none"/>
                      <w:lang w:val="en-US" w:eastAsia="zh-CN"/>
                    </w:rPr>
                    <w:t>58</w:t>
                  </w:r>
                </w:p>
              </w:tc>
              <w:tc>
                <w:tcPr>
                  <w:tcW w:w="580" w:type="pct"/>
                </w:tcPr>
                <w:p>
                  <w:pPr>
                    <w:jc w:val="center"/>
                    <w:rPr>
                      <w:szCs w:val="21"/>
                      <w:highlight w:val="none"/>
                    </w:rPr>
                  </w:pPr>
                  <w:r>
                    <w:rPr>
                      <w:rFonts w:hint="eastAsia"/>
                      <w:szCs w:val="21"/>
                      <w:highlight w:val="none"/>
                    </w:rPr>
                    <w:t>6</w:t>
                  </w:r>
                  <w:r>
                    <w:rPr>
                      <w:szCs w:val="21"/>
                      <w:highlight w:val="none"/>
                    </w:rPr>
                    <w:t>0</w:t>
                  </w:r>
                </w:p>
              </w:tc>
              <w:tc>
                <w:tcPr>
                  <w:tcW w:w="580" w:type="pct"/>
                </w:tcPr>
                <w:p>
                  <w:pPr>
                    <w:jc w:val="center"/>
                    <w:rPr>
                      <w:rFonts w:hint="default" w:eastAsia="宋体"/>
                      <w:szCs w:val="21"/>
                      <w:highlight w:val="none"/>
                      <w:lang w:val="en-US" w:eastAsia="zh-CN"/>
                    </w:rPr>
                  </w:pPr>
                  <w:r>
                    <w:rPr>
                      <w:rFonts w:hint="eastAsia"/>
                      <w:szCs w:val="21"/>
                      <w:highlight w:val="none"/>
                      <w:lang w:val="en-US" w:eastAsia="zh-CN"/>
                    </w:rPr>
                    <w:t>48</w:t>
                  </w:r>
                </w:p>
              </w:tc>
              <w:tc>
                <w:tcPr>
                  <w:tcW w:w="580" w:type="pct"/>
                </w:tcPr>
                <w:p>
                  <w:pPr>
                    <w:jc w:val="center"/>
                    <w:rPr>
                      <w:szCs w:val="21"/>
                      <w:highlight w:val="none"/>
                    </w:rPr>
                  </w:pPr>
                  <w:r>
                    <w:rPr>
                      <w:rFonts w:hint="eastAsia"/>
                      <w:szCs w:val="21"/>
                      <w:highlight w:val="none"/>
                    </w:rPr>
                    <w:t>5</w:t>
                  </w:r>
                  <w:r>
                    <w:rPr>
                      <w:szCs w:val="21"/>
                      <w:highlight w:val="none"/>
                    </w:rPr>
                    <w:t>0</w:t>
                  </w:r>
                </w:p>
              </w:tc>
              <w:tc>
                <w:tcPr>
                  <w:tcW w:w="867" w:type="pct"/>
                  <w:vAlign w:val="center"/>
                </w:tcPr>
                <w:p>
                  <w:pPr>
                    <w:widowControl/>
                    <w:jc w:val="center"/>
                    <w:rPr>
                      <w:kern w:val="0"/>
                      <w:szCs w:val="21"/>
                      <w:highlight w:val="none"/>
                    </w:rPr>
                  </w:pPr>
                  <w:r>
                    <w:rPr>
                      <w:kern w:val="0"/>
                      <w:szCs w:val="21"/>
                      <w:highlight w:val="none"/>
                    </w:rPr>
                    <w:t>达标</w:t>
                  </w:r>
                </w:p>
              </w:tc>
            </w:tr>
          </w:tbl>
          <w:p>
            <w:pPr>
              <w:spacing w:line="360" w:lineRule="auto"/>
              <w:ind w:firstLine="480" w:firstLineChars="200"/>
              <w:jc w:val="left"/>
              <w:rPr>
                <w:kern w:val="0"/>
                <w:sz w:val="24"/>
                <w:highlight w:val="yellow"/>
              </w:rPr>
            </w:pPr>
            <w:r>
              <w:rPr>
                <w:kern w:val="0"/>
                <w:sz w:val="24"/>
                <w:highlight w:val="none"/>
              </w:rPr>
              <w:t>如表3-2所示，本项目边界昼、夜能达到《声环境质量标准》GB3096-2008）2类标准。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557" w:type="dxa"/>
            <w:vAlign w:val="center"/>
          </w:tcPr>
          <w:p>
            <w:pPr>
              <w:adjustRightInd w:val="0"/>
              <w:snapToGrid w:val="0"/>
              <w:jc w:val="center"/>
              <w:rPr>
                <w:b/>
                <w:bCs/>
                <w:kern w:val="0"/>
                <w:sz w:val="24"/>
                <w:highlight w:val="yellow"/>
              </w:rPr>
            </w:pPr>
            <w:r>
              <w:rPr>
                <w:b/>
                <w:bCs/>
                <w:kern w:val="0"/>
                <w:sz w:val="24"/>
                <w:highlight w:val="yellow"/>
              </w:rPr>
              <w:t>环境</w:t>
            </w:r>
          </w:p>
          <w:p>
            <w:pPr>
              <w:adjustRightInd w:val="0"/>
              <w:snapToGrid w:val="0"/>
              <w:jc w:val="center"/>
              <w:rPr>
                <w:b/>
                <w:bCs/>
                <w:kern w:val="0"/>
                <w:sz w:val="24"/>
                <w:highlight w:val="yellow"/>
              </w:rPr>
            </w:pPr>
            <w:r>
              <w:rPr>
                <w:b/>
                <w:bCs/>
                <w:kern w:val="0"/>
                <w:sz w:val="24"/>
                <w:highlight w:val="yellow"/>
              </w:rPr>
              <w:t>保护</w:t>
            </w:r>
          </w:p>
          <w:p>
            <w:pPr>
              <w:adjustRightInd w:val="0"/>
              <w:snapToGrid w:val="0"/>
              <w:jc w:val="center"/>
              <w:rPr>
                <w:kern w:val="0"/>
                <w:sz w:val="24"/>
                <w:highlight w:val="yellow"/>
              </w:rPr>
            </w:pPr>
            <w:r>
              <w:rPr>
                <w:b/>
                <w:bCs/>
                <w:kern w:val="0"/>
                <w:sz w:val="24"/>
                <w:highlight w:val="yellow"/>
              </w:rPr>
              <w:t>目标</w:t>
            </w:r>
          </w:p>
        </w:tc>
        <w:tc>
          <w:tcPr>
            <w:tcW w:w="8268" w:type="dxa"/>
            <w:vAlign w:val="center"/>
          </w:tcPr>
          <w:p>
            <w:pPr>
              <w:spacing w:line="360" w:lineRule="auto"/>
              <w:ind w:firstLine="420" w:firstLineChars="175"/>
              <w:rPr>
                <w:sz w:val="24"/>
                <w:highlight w:val="none"/>
              </w:rPr>
            </w:pPr>
            <w:r>
              <w:rPr>
                <w:rFonts w:hint="eastAsia"/>
                <w:sz w:val="24"/>
                <w:highlight w:val="none"/>
              </w:rPr>
              <w:t>本项目建设地址位于苏州高新区科技城华佗路12号2号楼。根据现场踏勘，项目区域场地平坦，项目周围主要环境保护目标见下表：</w:t>
            </w:r>
          </w:p>
          <w:p>
            <w:pPr>
              <w:spacing w:line="360" w:lineRule="auto"/>
              <w:ind w:firstLine="241" w:firstLineChars="100"/>
              <w:jc w:val="center"/>
              <w:rPr>
                <w:b/>
                <w:bCs/>
                <w:sz w:val="24"/>
                <w:szCs w:val="21"/>
                <w:highlight w:val="none"/>
              </w:rPr>
            </w:pPr>
            <w:r>
              <w:rPr>
                <w:b/>
                <w:bCs/>
                <w:sz w:val="24"/>
                <w:szCs w:val="21"/>
                <w:highlight w:val="none"/>
              </w:rPr>
              <w:t>表3-3 项目周边</w:t>
            </w:r>
            <w:r>
              <w:rPr>
                <w:rFonts w:hint="eastAsia"/>
                <w:b/>
                <w:bCs/>
                <w:sz w:val="24"/>
                <w:szCs w:val="21"/>
                <w:highlight w:val="none"/>
              </w:rPr>
              <w:t>大气</w:t>
            </w:r>
            <w:r>
              <w:rPr>
                <w:b/>
                <w:bCs/>
                <w:sz w:val="24"/>
                <w:szCs w:val="21"/>
                <w:highlight w:val="none"/>
              </w:rPr>
              <w:t>环境保护目标表</w:t>
            </w:r>
          </w:p>
          <w:tbl>
            <w:tblPr>
              <w:tblStyle w:val="23"/>
              <w:tblW w:w="4893"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98"/>
              <w:gridCol w:w="604"/>
              <w:gridCol w:w="621"/>
              <w:gridCol w:w="682"/>
              <w:gridCol w:w="690"/>
              <w:gridCol w:w="1207"/>
              <w:gridCol w:w="816"/>
              <w:gridCol w:w="96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jc w:val="center"/>
              </w:trPr>
              <w:tc>
                <w:tcPr>
                  <w:tcW w:w="1457" w:type="pct"/>
                  <w:vMerge w:val="restart"/>
                  <w:vAlign w:val="center"/>
                </w:tcPr>
                <w:p>
                  <w:pPr>
                    <w:jc w:val="center"/>
                    <w:rPr>
                      <w:szCs w:val="21"/>
                      <w:highlight w:val="none"/>
                    </w:rPr>
                  </w:pPr>
                  <w:r>
                    <w:rPr>
                      <w:szCs w:val="21"/>
                      <w:highlight w:val="none"/>
                    </w:rPr>
                    <w:t>名称</w:t>
                  </w:r>
                </w:p>
              </w:tc>
              <w:tc>
                <w:tcPr>
                  <w:tcW w:w="777" w:type="pct"/>
                  <w:gridSpan w:val="2"/>
                  <w:vAlign w:val="center"/>
                </w:tcPr>
                <w:p>
                  <w:pPr>
                    <w:jc w:val="center"/>
                    <w:rPr>
                      <w:szCs w:val="21"/>
                      <w:highlight w:val="none"/>
                    </w:rPr>
                  </w:pPr>
                  <w:r>
                    <w:rPr>
                      <w:szCs w:val="21"/>
                      <w:highlight w:val="none"/>
                    </w:rPr>
                    <w:t>坐标/m</w:t>
                  </w:r>
                </w:p>
              </w:tc>
              <w:tc>
                <w:tcPr>
                  <w:tcW w:w="432" w:type="pct"/>
                  <w:vMerge w:val="restart"/>
                  <w:vAlign w:val="center"/>
                </w:tcPr>
                <w:p>
                  <w:pPr>
                    <w:jc w:val="center"/>
                    <w:rPr>
                      <w:szCs w:val="21"/>
                      <w:highlight w:val="none"/>
                    </w:rPr>
                  </w:pPr>
                  <w:r>
                    <w:rPr>
                      <w:szCs w:val="21"/>
                      <w:highlight w:val="none"/>
                    </w:rPr>
                    <w:t>保护对象</w:t>
                  </w:r>
                </w:p>
              </w:tc>
              <w:tc>
                <w:tcPr>
                  <w:tcW w:w="437" w:type="pct"/>
                  <w:vMerge w:val="restart"/>
                  <w:vAlign w:val="center"/>
                </w:tcPr>
                <w:p>
                  <w:pPr>
                    <w:jc w:val="center"/>
                    <w:rPr>
                      <w:szCs w:val="21"/>
                      <w:highlight w:val="none"/>
                    </w:rPr>
                  </w:pPr>
                  <w:r>
                    <w:rPr>
                      <w:szCs w:val="21"/>
                      <w:highlight w:val="none"/>
                    </w:rPr>
                    <w:t>保护内容</w:t>
                  </w:r>
                </w:p>
              </w:tc>
              <w:tc>
                <w:tcPr>
                  <w:tcW w:w="765" w:type="pct"/>
                  <w:vMerge w:val="restart"/>
                  <w:vAlign w:val="center"/>
                </w:tcPr>
                <w:p>
                  <w:pPr>
                    <w:jc w:val="center"/>
                    <w:rPr>
                      <w:szCs w:val="21"/>
                      <w:highlight w:val="none"/>
                    </w:rPr>
                  </w:pPr>
                  <w:r>
                    <w:rPr>
                      <w:szCs w:val="21"/>
                      <w:highlight w:val="none"/>
                    </w:rPr>
                    <w:t>环境功能区</w:t>
                  </w:r>
                </w:p>
              </w:tc>
              <w:tc>
                <w:tcPr>
                  <w:tcW w:w="517" w:type="pct"/>
                  <w:vMerge w:val="restart"/>
                  <w:vAlign w:val="center"/>
                </w:tcPr>
                <w:p>
                  <w:pPr>
                    <w:jc w:val="center"/>
                    <w:rPr>
                      <w:szCs w:val="21"/>
                      <w:highlight w:val="none"/>
                    </w:rPr>
                  </w:pPr>
                  <w:r>
                    <w:rPr>
                      <w:szCs w:val="21"/>
                      <w:highlight w:val="none"/>
                    </w:rPr>
                    <w:t>相对厂址方位</w:t>
                  </w:r>
                </w:p>
              </w:tc>
              <w:tc>
                <w:tcPr>
                  <w:tcW w:w="610" w:type="pct"/>
                  <w:vMerge w:val="restart"/>
                  <w:vAlign w:val="center"/>
                </w:tcPr>
                <w:p>
                  <w:pPr>
                    <w:jc w:val="center"/>
                    <w:rPr>
                      <w:szCs w:val="21"/>
                      <w:highlight w:val="none"/>
                    </w:rPr>
                  </w:pPr>
                  <w:r>
                    <w:rPr>
                      <w:szCs w:val="21"/>
                      <w:highlight w:val="none"/>
                    </w:rPr>
                    <w:t>相对厂界距离/m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7" w:type="pct"/>
                  <w:vMerge w:val="continue"/>
                  <w:vAlign w:val="center"/>
                </w:tcPr>
                <w:p>
                  <w:pPr>
                    <w:jc w:val="center"/>
                    <w:rPr>
                      <w:szCs w:val="21"/>
                      <w:highlight w:val="none"/>
                    </w:rPr>
                  </w:pPr>
                </w:p>
              </w:tc>
              <w:tc>
                <w:tcPr>
                  <w:tcW w:w="383" w:type="pct"/>
                  <w:vAlign w:val="center"/>
                </w:tcPr>
                <w:p>
                  <w:pPr>
                    <w:jc w:val="center"/>
                    <w:rPr>
                      <w:szCs w:val="21"/>
                      <w:highlight w:val="none"/>
                    </w:rPr>
                  </w:pPr>
                  <w:r>
                    <w:rPr>
                      <w:szCs w:val="21"/>
                      <w:highlight w:val="none"/>
                    </w:rPr>
                    <w:t>X</w:t>
                  </w:r>
                </w:p>
              </w:tc>
              <w:tc>
                <w:tcPr>
                  <w:tcW w:w="393" w:type="pct"/>
                  <w:vAlign w:val="center"/>
                </w:tcPr>
                <w:p>
                  <w:pPr>
                    <w:jc w:val="center"/>
                    <w:rPr>
                      <w:szCs w:val="21"/>
                      <w:highlight w:val="none"/>
                    </w:rPr>
                  </w:pPr>
                  <w:r>
                    <w:rPr>
                      <w:szCs w:val="21"/>
                      <w:highlight w:val="none"/>
                    </w:rPr>
                    <w:t>Y</w:t>
                  </w:r>
                </w:p>
              </w:tc>
              <w:tc>
                <w:tcPr>
                  <w:tcW w:w="432" w:type="pct"/>
                  <w:vMerge w:val="continue"/>
                  <w:vAlign w:val="center"/>
                </w:tcPr>
                <w:p>
                  <w:pPr>
                    <w:jc w:val="center"/>
                    <w:rPr>
                      <w:szCs w:val="21"/>
                      <w:highlight w:val="none"/>
                    </w:rPr>
                  </w:pPr>
                </w:p>
              </w:tc>
              <w:tc>
                <w:tcPr>
                  <w:tcW w:w="437" w:type="pct"/>
                  <w:vMerge w:val="continue"/>
                  <w:vAlign w:val="center"/>
                </w:tcPr>
                <w:p>
                  <w:pPr>
                    <w:jc w:val="center"/>
                    <w:rPr>
                      <w:szCs w:val="21"/>
                      <w:highlight w:val="none"/>
                    </w:rPr>
                  </w:pPr>
                </w:p>
              </w:tc>
              <w:tc>
                <w:tcPr>
                  <w:tcW w:w="765" w:type="pct"/>
                  <w:vMerge w:val="continue"/>
                  <w:vAlign w:val="center"/>
                </w:tcPr>
                <w:p>
                  <w:pPr>
                    <w:jc w:val="center"/>
                    <w:rPr>
                      <w:szCs w:val="21"/>
                      <w:highlight w:val="none"/>
                    </w:rPr>
                  </w:pPr>
                </w:p>
              </w:tc>
              <w:tc>
                <w:tcPr>
                  <w:tcW w:w="517" w:type="pct"/>
                  <w:vMerge w:val="continue"/>
                  <w:vAlign w:val="center"/>
                </w:tcPr>
                <w:p>
                  <w:pPr>
                    <w:jc w:val="center"/>
                    <w:rPr>
                      <w:szCs w:val="21"/>
                      <w:highlight w:val="none"/>
                    </w:rPr>
                  </w:pPr>
                </w:p>
              </w:tc>
              <w:tc>
                <w:tcPr>
                  <w:tcW w:w="610" w:type="pct"/>
                  <w:vMerge w:val="continue"/>
                  <w:vAlign w:val="center"/>
                </w:tcPr>
                <w:p>
                  <w:pPr>
                    <w:jc w:val="center"/>
                    <w:rPr>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7" w:type="pct"/>
                  <w:vAlign w:val="center"/>
                </w:tcPr>
                <w:p>
                  <w:pPr>
                    <w:jc w:val="center"/>
                    <w:rPr>
                      <w:rFonts w:hint="eastAsia" w:eastAsia="宋体"/>
                      <w:szCs w:val="21"/>
                      <w:highlight w:val="none"/>
                      <w:lang w:eastAsia="zh-CN"/>
                    </w:rPr>
                  </w:pPr>
                  <w:r>
                    <w:rPr>
                      <w:rFonts w:hint="eastAsia"/>
                      <w:szCs w:val="21"/>
                      <w:highlight w:val="none"/>
                      <w:lang w:eastAsia="zh-CN"/>
                    </w:rPr>
                    <w:t>金融小镇</w:t>
                  </w:r>
                </w:p>
              </w:tc>
              <w:tc>
                <w:tcPr>
                  <w:tcW w:w="383" w:type="pct"/>
                  <w:vAlign w:val="center"/>
                </w:tcPr>
                <w:p>
                  <w:pPr>
                    <w:jc w:val="center"/>
                    <w:rPr>
                      <w:szCs w:val="21"/>
                      <w:highlight w:val="none"/>
                    </w:rPr>
                  </w:pPr>
                  <w:r>
                    <w:rPr>
                      <w:rFonts w:hint="eastAsia"/>
                      <w:szCs w:val="21"/>
                      <w:highlight w:val="none"/>
                    </w:rPr>
                    <w:t>0</w:t>
                  </w:r>
                </w:p>
              </w:tc>
              <w:tc>
                <w:tcPr>
                  <w:tcW w:w="393" w:type="pct"/>
                  <w:vAlign w:val="center"/>
                </w:tcPr>
                <w:p>
                  <w:pPr>
                    <w:jc w:val="center"/>
                    <w:rPr>
                      <w:rFonts w:hint="default" w:eastAsia="宋体"/>
                      <w:szCs w:val="21"/>
                      <w:highlight w:val="none"/>
                      <w:lang w:val="en-US" w:eastAsia="zh-CN"/>
                    </w:rPr>
                  </w:pPr>
                  <w:r>
                    <w:rPr>
                      <w:rFonts w:hint="eastAsia"/>
                      <w:szCs w:val="21"/>
                      <w:highlight w:val="none"/>
                      <w:lang w:val="en-US" w:eastAsia="zh-CN"/>
                    </w:rPr>
                    <w:t>405</w:t>
                  </w:r>
                </w:p>
              </w:tc>
              <w:tc>
                <w:tcPr>
                  <w:tcW w:w="432" w:type="pct"/>
                  <w:vAlign w:val="center"/>
                </w:tcPr>
                <w:p>
                  <w:pPr>
                    <w:jc w:val="center"/>
                    <w:rPr>
                      <w:rFonts w:hint="eastAsia" w:eastAsia="宋体"/>
                      <w:szCs w:val="21"/>
                      <w:highlight w:val="none"/>
                      <w:lang w:eastAsia="zh-CN"/>
                    </w:rPr>
                  </w:pPr>
                  <w:r>
                    <w:rPr>
                      <w:rFonts w:hint="eastAsia"/>
                      <w:szCs w:val="21"/>
                      <w:highlight w:val="none"/>
                      <w:lang w:eastAsia="zh-CN"/>
                    </w:rPr>
                    <w:t>商业</w:t>
                  </w:r>
                </w:p>
              </w:tc>
              <w:tc>
                <w:tcPr>
                  <w:tcW w:w="437" w:type="pct"/>
                  <w:vAlign w:val="center"/>
                </w:tcPr>
                <w:p>
                  <w:pPr>
                    <w:jc w:val="center"/>
                    <w:rPr>
                      <w:szCs w:val="21"/>
                      <w:highlight w:val="none"/>
                    </w:rPr>
                  </w:pPr>
                  <w:r>
                    <w:rPr>
                      <w:szCs w:val="21"/>
                      <w:highlight w:val="none"/>
                    </w:rPr>
                    <w:t>人群</w:t>
                  </w:r>
                </w:p>
              </w:tc>
              <w:tc>
                <w:tcPr>
                  <w:tcW w:w="765" w:type="pct"/>
                  <w:vMerge w:val="restart"/>
                  <w:vAlign w:val="center"/>
                </w:tcPr>
                <w:p>
                  <w:pPr>
                    <w:jc w:val="center"/>
                    <w:rPr>
                      <w:szCs w:val="21"/>
                      <w:highlight w:val="none"/>
                    </w:rPr>
                  </w:pPr>
                  <w:r>
                    <w:rPr>
                      <w:szCs w:val="21"/>
                      <w:highlight w:val="none"/>
                    </w:rPr>
                    <w:t>《环境空气质量标准》（GB3095-2012）二级</w:t>
                  </w:r>
                </w:p>
              </w:tc>
              <w:tc>
                <w:tcPr>
                  <w:tcW w:w="517" w:type="pct"/>
                  <w:vAlign w:val="center"/>
                </w:tcPr>
                <w:p>
                  <w:pPr>
                    <w:jc w:val="center"/>
                    <w:rPr>
                      <w:szCs w:val="21"/>
                      <w:highlight w:val="none"/>
                    </w:rPr>
                  </w:pPr>
                  <w:r>
                    <w:rPr>
                      <w:szCs w:val="21"/>
                      <w:highlight w:val="none"/>
                    </w:rPr>
                    <w:t>N</w:t>
                  </w:r>
                </w:p>
              </w:tc>
              <w:tc>
                <w:tcPr>
                  <w:tcW w:w="610" w:type="pct"/>
                  <w:vAlign w:val="center"/>
                </w:tcPr>
                <w:p>
                  <w:pPr>
                    <w:jc w:val="center"/>
                    <w:rPr>
                      <w:rFonts w:hint="default" w:eastAsia="宋体"/>
                      <w:szCs w:val="21"/>
                      <w:highlight w:val="none"/>
                      <w:lang w:val="en-US" w:eastAsia="zh-CN"/>
                    </w:rPr>
                  </w:pPr>
                  <w:r>
                    <w:rPr>
                      <w:rFonts w:hint="eastAsia"/>
                      <w:szCs w:val="21"/>
                      <w:highlight w:val="none"/>
                      <w:lang w:val="en-US" w:eastAsia="zh-CN"/>
                    </w:rPr>
                    <w:t>405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jc w:val="center"/>
              </w:trPr>
              <w:tc>
                <w:tcPr>
                  <w:tcW w:w="1457" w:type="pct"/>
                  <w:vAlign w:val="center"/>
                </w:tcPr>
                <w:p>
                  <w:pPr>
                    <w:jc w:val="center"/>
                    <w:rPr>
                      <w:rFonts w:hint="eastAsia" w:eastAsia="宋体"/>
                      <w:szCs w:val="21"/>
                      <w:highlight w:val="none"/>
                      <w:lang w:eastAsia="zh-CN"/>
                    </w:rPr>
                  </w:pPr>
                  <w:r>
                    <w:rPr>
                      <w:rFonts w:hint="eastAsia"/>
                      <w:szCs w:val="21"/>
                      <w:highlight w:val="none"/>
                      <w:lang w:eastAsia="zh-CN"/>
                    </w:rPr>
                    <w:t>写字楼</w:t>
                  </w:r>
                </w:p>
              </w:tc>
              <w:tc>
                <w:tcPr>
                  <w:tcW w:w="383" w:type="pct"/>
                  <w:vAlign w:val="center"/>
                </w:tcPr>
                <w:p>
                  <w:pPr>
                    <w:jc w:val="center"/>
                    <w:rPr>
                      <w:rFonts w:hint="default" w:eastAsia="宋体"/>
                      <w:szCs w:val="21"/>
                      <w:highlight w:val="none"/>
                      <w:lang w:val="en-US" w:eastAsia="zh-CN"/>
                    </w:rPr>
                  </w:pPr>
                  <w:r>
                    <w:rPr>
                      <w:rFonts w:hint="eastAsia"/>
                      <w:szCs w:val="21"/>
                      <w:highlight w:val="none"/>
                      <w:lang w:val="en-US" w:eastAsia="zh-CN"/>
                    </w:rPr>
                    <w:t>89</w:t>
                  </w:r>
                </w:p>
              </w:tc>
              <w:tc>
                <w:tcPr>
                  <w:tcW w:w="393" w:type="pct"/>
                  <w:vAlign w:val="center"/>
                </w:tcPr>
                <w:p>
                  <w:pPr>
                    <w:jc w:val="center"/>
                    <w:rPr>
                      <w:rFonts w:hint="default" w:eastAsia="宋体"/>
                      <w:szCs w:val="21"/>
                      <w:highlight w:val="none"/>
                      <w:lang w:val="en-US" w:eastAsia="zh-CN"/>
                    </w:rPr>
                  </w:pPr>
                  <w:r>
                    <w:rPr>
                      <w:rFonts w:hint="eastAsia"/>
                      <w:szCs w:val="21"/>
                      <w:highlight w:val="none"/>
                      <w:lang w:val="en-US" w:eastAsia="zh-CN"/>
                    </w:rPr>
                    <w:t>278</w:t>
                  </w:r>
                </w:p>
              </w:tc>
              <w:tc>
                <w:tcPr>
                  <w:tcW w:w="432" w:type="pct"/>
                  <w:vAlign w:val="center"/>
                </w:tcPr>
                <w:p>
                  <w:pPr>
                    <w:jc w:val="center"/>
                    <w:rPr>
                      <w:szCs w:val="21"/>
                      <w:highlight w:val="none"/>
                    </w:rPr>
                  </w:pPr>
                  <w:r>
                    <w:rPr>
                      <w:rFonts w:hint="eastAsia"/>
                      <w:szCs w:val="21"/>
                      <w:highlight w:val="none"/>
                      <w:lang w:eastAsia="zh-CN"/>
                    </w:rPr>
                    <w:t>商业</w:t>
                  </w:r>
                </w:p>
              </w:tc>
              <w:tc>
                <w:tcPr>
                  <w:tcW w:w="437" w:type="pct"/>
                  <w:vAlign w:val="center"/>
                </w:tcPr>
                <w:p>
                  <w:pPr>
                    <w:jc w:val="center"/>
                    <w:rPr>
                      <w:szCs w:val="21"/>
                      <w:highlight w:val="none"/>
                    </w:rPr>
                  </w:pPr>
                  <w:r>
                    <w:rPr>
                      <w:szCs w:val="21"/>
                      <w:highlight w:val="none"/>
                    </w:rPr>
                    <w:t>人群</w:t>
                  </w:r>
                </w:p>
              </w:tc>
              <w:tc>
                <w:tcPr>
                  <w:tcW w:w="765" w:type="pct"/>
                  <w:vMerge w:val="continue"/>
                  <w:vAlign w:val="center"/>
                </w:tcPr>
                <w:p>
                  <w:pPr>
                    <w:jc w:val="center"/>
                    <w:rPr>
                      <w:szCs w:val="21"/>
                      <w:highlight w:val="none"/>
                    </w:rPr>
                  </w:pPr>
                </w:p>
              </w:tc>
              <w:tc>
                <w:tcPr>
                  <w:tcW w:w="517" w:type="pct"/>
                  <w:vAlign w:val="center"/>
                </w:tcPr>
                <w:p>
                  <w:pPr>
                    <w:jc w:val="center"/>
                    <w:rPr>
                      <w:rFonts w:hint="default" w:eastAsia="宋体"/>
                      <w:szCs w:val="21"/>
                      <w:highlight w:val="none"/>
                      <w:lang w:val="en-US" w:eastAsia="zh-CN"/>
                    </w:rPr>
                  </w:pPr>
                  <w:r>
                    <w:rPr>
                      <w:rFonts w:hint="eastAsia"/>
                      <w:szCs w:val="21"/>
                      <w:highlight w:val="none"/>
                      <w:lang w:val="en-US" w:eastAsia="zh-CN"/>
                    </w:rPr>
                    <w:t>EN</w:t>
                  </w:r>
                </w:p>
              </w:tc>
              <w:tc>
                <w:tcPr>
                  <w:tcW w:w="610" w:type="pct"/>
                  <w:vAlign w:val="center"/>
                </w:tcPr>
                <w:p>
                  <w:pPr>
                    <w:jc w:val="center"/>
                    <w:rPr>
                      <w:rFonts w:hint="default" w:eastAsia="宋体"/>
                      <w:szCs w:val="21"/>
                      <w:highlight w:val="none"/>
                      <w:lang w:val="en-US" w:eastAsia="zh-CN"/>
                    </w:rPr>
                  </w:pPr>
                  <w:r>
                    <w:rPr>
                      <w:rFonts w:hint="eastAsia"/>
                      <w:szCs w:val="21"/>
                      <w:highlight w:val="none"/>
                      <w:lang w:val="en-US" w:eastAsia="zh-CN"/>
                    </w:rPr>
                    <w:t>299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jc w:val="center"/>
              </w:trPr>
              <w:tc>
                <w:tcPr>
                  <w:tcW w:w="1457" w:type="pct"/>
                  <w:vAlign w:val="center"/>
                </w:tcPr>
                <w:p>
                  <w:pPr>
                    <w:jc w:val="center"/>
                    <w:rPr>
                      <w:szCs w:val="21"/>
                      <w:highlight w:val="none"/>
                    </w:rPr>
                  </w:pPr>
                  <w:r>
                    <w:rPr>
                      <w:rFonts w:hint="eastAsia"/>
                      <w:szCs w:val="21"/>
                      <w:highlight w:val="none"/>
                      <w:lang w:eastAsia="zh-CN"/>
                    </w:rPr>
                    <w:t>写字楼</w:t>
                  </w:r>
                </w:p>
              </w:tc>
              <w:tc>
                <w:tcPr>
                  <w:tcW w:w="383" w:type="pct"/>
                  <w:vAlign w:val="center"/>
                </w:tcPr>
                <w:p>
                  <w:pPr>
                    <w:jc w:val="center"/>
                    <w:rPr>
                      <w:rFonts w:hint="default" w:eastAsia="宋体"/>
                      <w:szCs w:val="21"/>
                      <w:highlight w:val="none"/>
                      <w:lang w:val="en-US" w:eastAsia="zh-CN"/>
                    </w:rPr>
                  </w:pPr>
                  <w:r>
                    <w:rPr>
                      <w:rFonts w:hint="eastAsia"/>
                      <w:szCs w:val="21"/>
                      <w:highlight w:val="none"/>
                      <w:lang w:val="en-US" w:eastAsia="zh-CN"/>
                    </w:rPr>
                    <w:t>258</w:t>
                  </w:r>
                </w:p>
              </w:tc>
              <w:tc>
                <w:tcPr>
                  <w:tcW w:w="393" w:type="pct"/>
                  <w:vAlign w:val="center"/>
                </w:tcPr>
                <w:p>
                  <w:pPr>
                    <w:jc w:val="center"/>
                    <w:rPr>
                      <w:rFonts w:hint="default" w:eastAsia="宋体"/>
                      <w:szCs w:val="21"/>
                      <w:highlight w:val="none"/>
                      <w:lang w:val="en-US" w:eastAsia="zh-CN"/>
                    </w:rPr>
                  </w:pPr>
                  <w:r>
                    <w:rPr>
                      <w:rFonts w:hint="eastAsia"/>
                      <w:szCs w:val="21"/>
                      <w:highlight w:val="none"/>
                      <w:lang w:val="en-US" w:eastAsia="zh-CN"/>
                    </w:rPr>
                    <w:t>218</w:t>
                  </w:r>
                </w:p>
              </w:tc>
              <w:tc>
                <w:tcPr>
                  <w:tcW w:w="432" w:type="pct"/>
                  <w:vAlign w:val="center"/>
                </w:tcPr>
                <w:p>
                  <w:pPr>
                    <w:jc w:val="center"/>
                    <w:rPr>
                      <w:szCs w:val="21"/>
                      <w:highlight w:val="none"/>
                    </w:rPr>
                  </w:pPr>
                  <w:r>
                    <w:rPr>
                      <w:rFonts w:hint="eastAsia"/>
                      <w:szCs w:val="21"/>
                      <w:highlight w:val="none"/>
                      <w:lang w:eastAsia="zh-CN"/>
                    </w:rPr>
                    <w:t>商业</w:t>
                  </w:r>
                </w:p>
              </w:tc>
              <w:tc>
                <w:tcPr>
                  <w:tcW w:w="437" w:type="pct"/>
                  <w:vAlign w:val="center"/>
                </w:tcPr>
                <w:p>
                  <w:pPr>
                    <w:jc w:val="center"/>
                    <w:rPr>
                      <w:szCs w:val="21"/>
                      <w:highlight w:val="none"/>
                    </w:rPr>
                  </w:pPr>
                  <w:r>
                    <w:rPr>
                      <w:szCs w:val="21"/>
                      <w:highlight w:val="none"/>
                    </w:rPr>
                    <w:t>人群</w:t>
                  </w:r>
                </w:p>
              </w:tc>
              <w:tc>
                <w:tcPr>
                  <w:tcW w:w="765" w:type="pct"/>
                  <w:vMerge w:val="continue"/>
                  <w:vAlign w:val="center"/>
                </w:tcPr>
                <w:p>
                  <w:pPr>
                    <w:jc w:val="center"/>
                    <w:rPr>
                      <w:szCs w:val="21"/>
                      <w:highlight w:val="none"/>
                    </w:rPr>
                  </w:pPr>
                </w:p>
              </w:tc>
              <w:tc>
                <w:tcPr>
                  <w:tcW w:w="517" w:type="pct"/>
                </w:tcPr>
                <w:p>
                  <w:pPr>
                    <w:jc w:val="center"/>
                    <w:rPr>
                      <w:szCs w:val="21"/>
                      <w:highlight w:val="none"/>
                    </w:rPr>
                  </w:pPr>
                  <w:r>
                    <w:rPr>
                      <w:rFonts w:hint="eastAsia"/>
                      <w:szCs w:val="21"/>
                      <w:highlight w:val="none"/>
                      <w:lang w:val="en-US" w:eastAsia="zh-CN"/>
                    </w:rPr>
                    <w:t>EN</w:t>
                  </w:r>
                </w:p>
              </w:tc>
              <w:tc>
                <w:tcPr>
                  <w:tcW w:w="610" w:type="pct"/>
                  <w:vAlign w:val="center"/>
                </w:tcPr>
                <w:p>
                  <w:pPr>
                    <w:jc w:val="center"/>
                    <w:rPr>
                      <w:rFonts w:hint="default" w:eastAsia="宋体"/>
                      <w:szCs w:val="21"/>
                      <w:highlight w:val="none"/>
                      <w:lang w:val="en-US" w:eastAsia="zh-CN"/>
                    </w:rPr>
                  </w:pPr>
                  <w:r>
                    <w:rPr>
                      <w:rFonts w:hint="eastAsia"/>
                      <w:szCs w:val="21"/>
                      <w:highlight w:val="none"/>
                      <w:lang w:val="en-US" w:eastAsia="zh-CN"/>
                    </w:rPr>
                    <w:t>315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jc w:val="center"/>
              </w:trPr>
              <w:tc>
                <w:tcPr>
                  <w:tcW w:w="1457" w:type="pct"/>
                  <w:vAlign w:val="center"/>
                </w:tcPr>
                <w:p>
                  <w:pPr>
                    <w:jc w:val="center"/>
                    <w:rPr>
                      <w:rFonts w:hint="eastAsia" w:eastAsia="宋体"/>
                      <w:szCs w:val="21"/>
                      <w:highlight w:val="none"/>
                      <w:lang w:eastAsia="zh-CN"/>
                    </w:rPr>
                  </w:pPr>
                  <w:r>
                    <w:rPr>
                      <w:rFonts w:hint="eastAsia"/>
                      <w:szCs w:val="21"/>
                      <w:highlight w:val="none"/>
                      <w:lang w:eastAsia="zh-CN"/>
                    </w:rPr>
                    <w:t>前山澜庭</w:t>
                  </w:r>
                </w:p>
              </w:tc>
              <w:tc>
                <w:tcPr>
                  <w:tcW w:w="383" w:type="pct"/>
                  <w:vAlign w:val="center"/>
                </w:tcPr>
                <w:p>
                  <w:pPr>
                    <w:jc w:val="center"/>
                    <w:rPr>
                      <w:rFonts w:hint="default" w:eastAsia="宋体"/>
                      <w:szCs w:val="21"/>
                      <w:highlight w:val="none"/>
                      <w:lang w:val="en-US" w:eastAsia="zh-CN"/>
                    </w:rPr>
                  </w:pPr>
                  <w:r>
                    <w:rPr>
                      <w:rFonts w:hint="eastAsia"/>
                      <w:szCs w:val="21"/>
                      <w:highlight w:val="none"/>
                      <w:lang w:val="en-US" w:eastAsia="zh-CN"/>
                    </w:rPr>
                    <w:t>-56</w:t>
                  </w:r>
                </w:p>
              </w:tc>
              <w:tc>
                <w:tcPr>
                  <w:tcW w:w="393" w:type="pct"/>
                  <w:vAlign w:val="center"/>
                </w:tcPr>
                <w:p>
                  <w:pPr>
                    <w:jc w:val="center"/>
                    <w:rPr>
                      <w:rFonts w:hint="eastAsia" w:eastAsia="宋体"/>
                      <w:szCs w:val="21"/>
                      <w:highlight w:val="none"/>
                      <w:lang w:eastAsia="zh-CN"/>
                    </w:rPr>
                  </w:pPr>
                  <w:r>
                    <w:rPr>
                      <w:rFonts w:hint="eastAsia"/>
                      <w:szCs w:val="21"/>
                      <w:highlight w:val="none"/>
                      <w:lang w:val="en-US" w:eastAsia="zh-CN"/>
                    </w:rPr>
                    <w:t>0</w:t>
                  </w:r>
                </w:p>
              </w:tc>
              <w:tc>
                <w:tcPr>
                  <w:tcW w:w="432" w:type="pct"/>
                  <w:vAlign w:val="center"/>
                </w:tcPr>
                <w:p>
                  <w:pPr>
                    <w:jc w:val="center"/>
                    <w:rPr>
                      <w:szCs w:val="21"/>
                      <w:highlight w:val="none"/>
                    </w:rPr>
                  </w:pPr>
                  <w:r>
                    <w:rPr>
                      <w:szCs w:val="21"/>
                      <w:highlight w:val="none"/>
                    </w:rPr>
                    <w:t>居民</w:t>
                  </w:r>
                </w:p>
              </w:tc>
              <w:tc>
                <w:tcPr>
                  <w:tcW w:w="437" w:type="pct"/>
                  <w:vAlign w:val="center"/>
                </w:tcPr>
                <w:p>
                  <w:pPr>
                    <w:jc w:val="center"/>
                    <w:rPr>
                      <w:szCs w:val="21"/>
                      <w:highlight w:val="none"/>
                    </w:rPr>
                  </w:pPr>
                  <w:r>
                    <w:rPr>
                      <w:szCs w:val="21"/>
                      <w:highlight w:val="none"/>
                    </w:rPr>
                    <w:t>人群</w:t>
                  </w:r>
                </w:p>
              </w:tc>
              <w:tc>
                <w:tcPr>
                  <w:tcW w:w="765" w:type="pct"/>
                  <w:vMerge w:val="continue"/>
                  <w:vAlign w:val="center"/>
                </w:tcPr>
                <w:p>
                  <w:pPr>
                    <w:jc w:val="center"/>
                    <w:rPr>
                      <w:szCs w:val="21"/>
                      <w:highlight w:val="none"/>
                    </w:rPr>
                  </w:pPr>
                </w:p>
              </w:tc>
              <w:tc>
                <w:tcPr>
                  <w:tcW w:w="517" w:type="pct"/>
                  <w:vAlign w:val="center"/>
                </w:tcPr>
                <w:p>
                  <w:pPr>
                    <w:jc w:val="center"/>
                    <w:rPr>
                      <w:rFonts w:hint="eastAsia" w:eastAsia="宋体"/>
                      <w:szCs w:val="21"/>
                      <w:highlight w:val="none"/>
                      <w:lang w:eastAsia="zh-CN"/>
                    </w:rPr>
                  </w:pPr>
                  <w:r>
                    <w:rPr>
                      <w:rFonts w:hint="eastAsia"/>
                      <w:szCs w:val="21"/>
                      <w:highlight w:val="none"/>
                      <w:lang w:val="en-US" w:eastAsia="zh-CN"/>
                    </w:rPr>
                    <w:t>W</w:t>
                  </w:r>
                </w:p>
              </w:tc>
              <w:tc>
                <w:tcPr>
                  <w:tcW w:w="610" w:type="pct"/>
                  <w:vAlign w:val="center"/>
                </w:tcPr>
                <w:p>
                  <w:pPr>
                    <w:jc w:val="center"/>
                    <w:rPr>
                      <w:rFonts w:hint="default" w:eastAsia="宋体"/>
                      <w:szCs w:val="21"/>
                      <w:highlight w:val="none"/>
                      <w:lang w:val="en-US" w:eastAsia="zh-CN"/>
                    </w:rPr>
                  </w:pPr>
                  <w:r>
                    <w:rPr>
                      <w:rFonts w:hint="eastAsia"/>
                      <w:szCs w:val="21"/>
                      <w:highlight w:val="none"/>
                      <w:lang w:val="en-US" w:eastAsia="zh-CN"/>
                    </w:rPr>
                    <w:t>56</w:t>
                  </w:r>
                </w:p>
              </w:tc>
            </w:tr>
          </w:tbl>
          <w:p>
            <w:pPr>
              <w:spacing w:line="360" w:lineRule="auto"/>
              <w:ind w:firstLine="241" w:firstLineChars="100"/>
              <w:jc w:val="center"/>
              <w:rPr>
                <w:b/>
                <w:bCs/>
                <w:sz w:val="24"/>
                <w:szCs w:val="21"/>
                <w:highlight w:val="none"/>
              </w:rPr>
            </w:pPr>
            <w:r>
              <w:rPr>
                <w:b/>
                <w:bCs/>
                <w:sz w:val="24"/>
                <w:szCs w:val="21"/>
                <w:highlight w:val="none"/>
              </w:rPr>
              <w:t>表3-4 项目周边</w:t>
            </w:r>
            <w:r>
              <w:rPr>
                <w:rFonts w:hint="eastAsia"/>
                <w:b/>
                <w:bCs/>
                <w:sz w:val="24"/>
                <w:szCs w:val="21"/>
                <w:highlight w:val="none"/>
              </w:rPr>
              <w:t>噪声</w:t>
            </w:r>
            <w:r>
              <w:rPr>
                <w:b/>
                <w:bCs/>
                <w:sz w:val="24"/>
                <w:szCs w:val="21"/>
                <w:highlight w:val="none"/>
              </w:rPr>
              <w:t>环境保护目标表</w:t>
            </w:r>
          </w:p>
          <w:tbl>
            <w:tblPr>
              <w:tblStyle w:val="22"/>
              <w:tblW w:w="490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851"/>
              <w:gridCol w:w="496"/>
              <w:gridCol w:w="1236"/>
              <w:gridCol w:w="988"/>
              <w:gridCol w:w="244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563" w:type="pct"/>
                  <w:tcMar>
                    <w:left w:w="57" w:type="dxa"/>
                    <w:right w:w="57" w:type="dxa"/>
                  </w:tcMar>
                  <w:vAlign w:val="center"/>
                </w:tcPr>
                <w:p>
                  <w:pPr>
                    <w:spacing w:line="320" w:lineRule="exact"/>
                    <w:jc w:val="center"/>
                    <w:rPr>
                      <w:color w:val="000000"/>
                      <w:szCs w:val="21"/>
                      <w:highlight w:val="none"/>
                    </w:rPr>
                  </w:pPr>
                  <w:r>
                    <w:rPr>
                      <w:color w:val="000000"/>
                      <w:szCs w:val="21"/>
                      <w:highlight w:val="none"/>
                    </w:rPr>
                    <w:t>环境要素</w:t>
                  </w:r>
                </w:p>
              </w:tc>
              <w:tc>
                <w:tcPr>
                  <w:tcW w:w="1171" w:type="pct"/>
                  <w:tcMar>
                    <w:left w:w="28" w:type="dxa"/>
                    <w:right w:w="28" w:type="dxa"/>
                  </w:tcMar>
                  <w:vAlign w:val="center"/>
                </w:tcPr>
                <w:p>
                  <w:pPr>
                    <w:spacing w:line="320" w:lineRule="exact"/>
                    <w:jc w:val="center"/>
                    <w:rPr>
                      <w:color w:val="000000"/>
                      <w:spacing w:val="-14"/>
                      <w:szCs w:val="21"/>
                      <w:highlight w:val="none"/>
                    </w:rPr>
                  </w:pPr>
                  <w:r>
                    <w:rPr>
                      <w:color w:val="000000"/>
                      <w:szCs w:val="21"/>
                      <w:highlight w:val="none"/>
                    </w:rPr>
                    <w:t>环境保护对象</w:t>
                  </w:r>
                </w:p>
              </w:tc>
              <w:tc>
                <w:tcPr>
                  <w:tcW w:w="313" w:type="pct"/>
                  <w:tcMar>
                    <w:left w:w="57" w:type="dxa"/>
                    <w:right w:w="57" w:type="dxa"/>
                  </w:tcMar>
                  <w:vAlign w:val="center"/>
                </w:tcPr>
                <w:p>
                  <w:pPr>
                    <w:spacing w:line="320" w:lineRule="exact"/>
                    <w:jc w:val="center"/>
                    <w:rPr>
                      <w:color w:val="000000"/>
                      <w:szCs w:val="21"/>
                      <w:highlight w:val="none"/>
                    </w:rPr>
                  </w:pPr>
                  <w:r>
                    <w:rPr>
                      <w:color w:val="000000"/>
                      <w:szCs w:val="21"/>
                      <w:highlight w:val="none"/>
                    </w:rPr>
                    <w:t>方位</w:t>
                  </w:r>
                </w:p>
              </w:tc>
              <w:tc>
                <w:tcPr>
                  <w:tcW w:w="782" w:type="pct"/>
                  <w:tcMar>
                    <w:left w:w="57" w:type="dxa"/>
                    <w:right w:w="57" w:type="dxa"/>
                  </w:tcMar>
                  <w:vAlign w:val="center"/>
                </w:tcPr>
                <w:p>
                  <w:pPr>
                    <w:spacing w:line="320" w:lineRule="exact"/>
                    <w:jc w:val="center"/>
                    <w:rPr>
                      <w:color w:val="000000"/>
                      <w:szCs w:val="21"/>
                      <w:highlight w:val="none"/>
                    </w:rPr>
                  </w:pPr>
                  <w:r>
                    <w:rPr>
                      <w:color w:val="000000"/>
                      <w:szCs w:val="21"/>
                      <w:highlight w:val="none"/>
                    </w:rPr>
                    <w:t>距厂界距离</w:t>
                  </w:r>
                </w:p>
              </w:tc>
              <w:tc>
                <w:tcPr>
                  <w:tcW w:w="625" w:type="pct"/>
                  <w:tcMar>
                    <w:left w:w="57" w:type="dxa"/>
                    <w:right w:w="57" w:type="dxa"/>
                  </w:tcMar>
                  <w:vAlign w:val="center"/>
                </w:tcPr>
                <w:p>
                  <w:pPr>
                    <w:spacing w:line="320" w:lineRule="exact"/>
                    <w:jc w:val="center"/>
                    <w:rPr>
                      <w:color w:val="000000"/>
                      <w:szCs w:val="21"/>
                      <w:highlight w:val="none"/>
                    </w:rPr>
                  </w:pPr>
                  <w:r>
                    <w:rPr>
                      <w:color w:val="000000"/>
                      <w:szCs w:val="21"/>
                      <w:highlight w:val="none"/>
                    </w:rPr>
                    <w:t>规模</w:t>
                  </w:r>
                </w:p>
              </w:tc>
              <w:tc>
                <w:tcPr>
                  <w:tcW w:w="1546" w:type="pct"/>
                  <w:tcMar>
                    <w:left w:w="57" w:type="dxa"/>
                    <w:right w:w="57" w:type="dxa"/>
                  </w:tcMar>
                  <w:vAlign w:val="center"/>
                </w:tcPr>
                <w:p>
                  <w:pPr>
                    <w:spacing w:line="320" w:lineRule="exact"/>
                    <w:jc w:val="center"/>
                    <w:rPr>
                      <w:color w:val="000000"/>
                      <w:szCs w:val="21"/>
                      <w:highlight w:val="none"/>
                    </w:rPr>
                  </w:pPr>
                  <w:r>
                    <w:rPr>
                      <w:color w:val="000000"/>
                      <w:szCs w:val="21"/>
                      <w:highlight w:val="none"/>
                    </w:rPr>
                    <w:t>环境功能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563" w:type="pct"/>
                  <w:vAlign w:val="center"/>
                </w:tcPr>
                <w:p>
                  <w:pPr>
                    <w:spacing w:line="320" w:lineRule="exact"/>
                    <w:jc w:val="center"/>
                    <w:rPr>
                      <w:color w:val="000000"/>
                      <w:szCs w:val="21"/>
                      <w:highlight w:val="none"/>
                    </w:rPr>
                  </w:pPr>
                  <w:r>
                    <w:rPr>
                      <w:color w:val="000000"/>
                      <w:szCs w:val="21"/>
                      <w:highlight w:val="none"/>
                    </w:rPr>
                    <w:t>声环境</w:t>
                  </w:r>
                </w:p>
              </w:tc>
              <w:tc>
                <w:tcPr>
                  <w:tcW w:w="1485" w:type="pct"/>
                  <w:gridSpan w:val="2"/>
                  <w:vAlign w:val="center"/>
                </w:tcPr>
                <w:p>
                  <w:pPr>
                    <w:spacing w:line="320" w:lineRule="exact"/>
                    <w:jc w:val="center"/>
                    <w:rPr>
                      <w:color w:val="000000"/>
                      <w:szCs w:val="21"/>
                      <w:highlight w:val="none"/>
                    </w:rPr>
                  </w:pPr>
                  <w:r>
                    <w:rPr>
                      <w:color w:val="000000"/>
                      <w:szCs w:val="21"/>
                      <w:highlight w:val="none"/>
                    </w:rPr>
                    <w:t>厂界四周</w:t>
                  </w:r>
                </w:p>
              </w:tc>
              <w:tc>
                <w:tcPr>
                  <w:tcW w:w="1407" w:type="pct"/>
                  <w:gridSpan w:val="2"/>
                  <w:vAlign w:val="center"/>
                </w:tcPr>
                <w:p>
                  <w:pPr>
                    <w:spacing w:line="320" w:lineRule="exact"/>
                    <w:jc w:val="center"/>
                    <w:rPr>
                      <w:color w:val="000000"/>
                      <w:szCs w:val="21"/>
                      <w:highlight w:val="none"/>
                    </w:rPr>
                  </w:pPr>
                  <w:r>
                    <w:rPr>
                      <w:color w:val="000000"/>
                      <w:szCs w:val="21"/>
                      <w:highlight w:val="none"/>
                    </w:rPr>
                    <w:t>自身以及边界外200m</w:t>
                  </w:r>
                </w:p>
              </w:tc>
              <w:tc>
                <w:tcPr>
                  <w:tcW w:w="1546" w:type="pct"/>
                  <w:vAlign w:val="center"/>
                </w:tcPr>
                <w:p>
                  <w:pPr>
                    <w:spacing w:line="320" w:lineRule="exact"/>
                    <w:jc w:val="center"/>
                    <w:rPr>
                      <w:color w:val="000000"/>
                      <w:szCs w:val="21"/>
                      <w:highlight w:val="none"/>
                    </w:rPr>
                  </w:pPr>
                  <w:r>
                    <w:rPr>
                      <w:color w:val="000000"/>
                      <w:szCs w:val="21"/>
                      <w:highlight w:val="none"/>
                    </w:rPr>
                    <w:t>《声环境质量标准》（GB3096-2008）2类</w:t>
                  </w:r>
                </w:p>
              </w:tc>
            </w:tr>
          </w:tbl>
          <w:p>
            <w:pPr>
              <w:spacing w:line="360" w:lineRule="auto"/>
              <w:ind w:firstLine="480" w:firstLineChars="200"/>
              <w:jc w:val="left"/>
              <w:rPr>
                <w:sz w:val="24"/>
                <w:highlight w:val="yellow"/>
              </w:rPr>
            </w:pPr>
            <w:r>
              <w:rPr>
                <w:sz w:val="24"/>
                <w:highlight w:val="yellow"/>
              </w:rPr>
              <w:t>项目边界外500米范围内无地下水集中式饮用水水源和热水、矿泉水、温泉等特殊地下水资源。</w:t>
            </w:r>
          </w:p>
          <w:p>
            <w:pPr>
              <w:spacing w:line="360" w:lineRule="auto"/>
              <w:ind w:firstLine="480" w:firstLineChars="200"/>
              <w:jc w:val="left"/>
              <w:rPr>
                <w:kern w:val="0"/>
                <w:sz w:val="24"/>
                <w:highlight w:val="yellow"/>
              </w:rPr>
            </w:pPr>
            <w:r>
              <w:rPr>
                <w:sz w:val="24"/>
                <w:highlight w:val="yellow"/>
              </w:rPr>
              <w:t>本项目用地范围内无生态环境保护目标。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557" w:type="dxa"/>
            <w:tcMar>
              <w:left w:w="28" w:type="dxa"/>
              <w:right w:w="28" w:type="dxa"/>
            </w:tcMar>
            <w:vAlign w:val="center"/>
          </w:tcPr>
          <w:p>
            <w:pPr>
              <w:adjustRightInd w:val="0"/>
              <w:snapToGrid w:val="0"/>
              <w:jc w:val="center"/>
              <w:rPr>
                <w:b/>
                <w:bCs/>
                <w:kern w:val="0"/>
                <w:sz w:val="24"/>
                <w:highlight w:val="none"/>
              </w:rPr>
            </w:pPr>
            <w:r>
              <w:rPr>
                <w:b/>
                <w:bCs/>
                <w:kern w:val="0"/>
                <w:sz w:val="24"/>
                <w:highlight w:val="none"/>
              </w:rPr>
              <w:t>污染</w:t>
            </w:r>
          </w:p>
          <w:p>
            <w:pPr>
              <w:adjustRightInd w:val="0"/>
              <w:snapToGrid w:val="0"/>
              <w:jc w:val="center"/>
              <w:rPr>
                <w:b/>
                <w:bCs/>
                <w:kern w:val="0"/>
                <w:sz w:val="24"/>
                <w:highlight w:val="none"/>
              </w:rPr>
            </w:pPr>
            <w:r>
              <w:rPr>
                <w:b/>
                <w:bCs/>
                <w:kern w:val="0"/>
                <w:sz w:val="24"/>
                <w:highlight w:val="none"/>
              </w:rPr>
              <w:t>物排</w:t>
            </w:r>
          </w:p>
          <w:p>
            <w:pPr>
              <w:adjustRightInd w:val="0"/>
              <w:snapToGrid w:val="0"/>
              <w:jc w:val="center"/>
              <w:rPr>
                <w:b/>
                <w:bCs/>
                <w:kern w:val="0"/>
                <w:sz w:val="24"/>
                <w:highlight w:val="none"/>
              </w:rPr>
            </w:pPr>
            <w:r>
              <w:rPr>
                <w:b/>
                <w:bCs/>
                <w:kern w:val="0"/>
                <w:sz w:val="24"/>
                <w:highlight w:val="none"/>
              </w:rPr>
              <w:t>放控</w:t>
            </w:r>
          </w:p>
          <w:p>
            <w:pPr>
              <w:adjustRightInd w:val="0"/>
              <w:snapToGrid w:val="0"/>
              <w:jc w:val="center"/>
              <w:rPr>
                <w:b/>
                <w:bCs/>
                <w:kern w:val="0"/>
                <w:sz w:val="24"/>
                <w:highlight w:val="none"/>
              </w:rPr>
            </w:pPr>
            <w:r>
              <w:rPr>
                <w:b/>
                <w:bCs/>
                <w:kern w:val="0"/>
                <w:sz w:val="24"/>
                <w:highlight w:val="none"/>
              </w:rPr>
              <w:t>制标</w:t>
            </w:r>
          </w:p>
          <w:p>
            <w:pPr>
              <w:adjustRightInd w:val="0"/>
              <w:snapToGrid w:val="0"/>
              <w:jc w:val="center"/>
              <w:rPr>
                <w:kern w:val="0"/>
                <w:sz w:val="24"/>
                <w:highlight w:val="yellow"/>
              </w:rPr>
            </w:pPr>
            <w:r>
              <w:rPr>
                <w:b/>
                <w:bCs/>
                <w:kern w:val="0"/>
                <w:sz w:val="24"/>
                <w:highlight w:val="none"/>
              </w:rPr>
              <w:t>准</w:t>
            </w:r>
          </w:p>
        </w:tc>
        <w:tc>
          <w:tcPr>
            <w:tcW w:w="8268" w:type="dxa"/>
            <w:vAlign w:val="center"/>
          </w:tcPr>
          <w:p>
            <w:pPr>
              <w:autoSpaceDE w:val="0"/>
              <w:autoSpaceDN w:val="0"/>
              <w:adjustRightInd w:val="0"/>
              <w:snapToGrid w:val="0"/>
              <w:spacing w:line="360" w:lineRule="auto"/>
              <w:ind w:firstLine="482" w:firstLineChars="200"/>
              <w:rPr>
                <w:b/>
                <w:sz w:val="24"/>
                <w:highlight w:val="none"/>
              </w:rPr>
            </w:pPr>
            <w:r>
              <w:rPr>
                <w:b/>
                <w:sz w:val="24"/>
                <w:highlight w:val="none"/>
              </w:rPr>
              <w:t>1、废水排放标准</w:t>
            </w:r>
          </w:p>
          <w:p>
            <w:pPr>
              <w:autoSpaceDE w:val="0"/>
              <w:autoSpaceDN w:val="0"/>
              <w:adjustRightInd w:val="0"/>
              <w:snapToGrid w:val="0"/>
              <w:spacing w:line="360" w:lineRule="auto"/>
              <w:ind w:firstLine="480" w:firstLineChars="200"/>
              <w:rPr>
                <w:b/>
                <w:sz w:val="24"/>
                <w:highlight w:val="none"/>
              </w:rPr>
            </w:pPr>
            <w:r>
              <w:rPr>
                <w:rFonts w:hint="eastAsia"/>
                <w:sz w:val="24"/>
                <w:highlight w:val="none"/>
              </w:rPr>
              <w:t>本项目</w:t>
            </w:r>
            <w:r>
              <w:rPr>
                <w:rFonts w:hint="eastAsia"/>
                <w:sz w:val="24"/>
                <w:highlight w:val="none"/>
                <w:lang w:eastAsia="zh-CN"/>
              </w:rPr>
              <w:t>冷却废水</w:t>
            </w:r>
            <w:r>
              <w:rPr>
                <w:rFonts w:hint="eastAsia"/>
                <w:sz w:val="24"/>
                <w:highlight w:val="none"/>
              </w:rPr>
              <w:t>与生活污水一并接管至市政污水管网，排入</w:t>
            </w:r>
            <w:r>
              <w:rPr>
                <w:rFonts w:hint="eastAsia"/>
                <w:sz w:val="24"/>
                <w:highlight w:val="none"/>
                <w:lang w:eastAsia="zh-CN"/>
              </w:rPr>
              <w:t>科技城</w:t>
            </w:r>
            <w:r>
              <w:rPr>
                <w:rFonts w:hint="eastAsia"/>
                <w:sz w:val="24"/>
                <w:highlight w:val="none"/>
              </w:rPr>
              <w:t>水质净化厂进行处理达标后排放。生活污水接管水质执行《污水综合排放标准》（GB8978-1996）表 4 三级标准，其中未规定标准限值的氨氮、总磷执行《污水排入城镇下水道水质标准》（GB/T31962-2015）。</w:t>
            </w:r>
            <w:r>
              <w:rPr>
                <w:sz w:val="24"/>
                <w:highlight w:val="none"/>
              </w:rPr>
              <w:t>污水厂尾水排放执行《城镇污水处理厂污染物排放标准》（</w:t>
            </w:r>
            <w:r>
              <w:rPr>
                <w:szCs w:val="21"/>
                <w:highlight w:val="none"/>
              </w:rPr>
              <w:t>GB18918-2002</w:t>
            </w:r>
            <w:r>
              <w:rPr>
                <w:sz w:val="24"/>
                <w:highlight w:val="none"/>
              </w:rPr>
              <w:t>）、《太湖地区城镇污水处理厂及重点工业行业主要水污染物排放限值》（DB32/1072-2018）和苏州特别排放限值，具体限值如下表所示。</w:t>
            </w:r>
          </w:p>
          <w:p>
            <w:pPr>
              <w:snapToGrid w:val="0"/>
              <w:jc w:val="center"/>
              <w:rPr>
                <w:b/>
                <w:bCs/>
                <w:sz w:val="24"/>
                <w:highlight w:val="none"/>
              </w:rPr>
            </w:pPr>
            <w:r>
              <w:rPr>
                <w:b/>
                <w:bCs/>
                <w:sz w:val="24"/>
                <w:highlight w:val="none"/>
              </w:rPr>
              <w:t>表3-5  污水排放标准限值表</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2435"/>
              <w:gridCol w:w="1298"/>
              <w:gridCol w:w="1008"/>
              <w:gridCol w:w="865"/>
              <w:gridCol w:w="129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14" w:type="pct"/>
                  <w:vAlign w:val="center"/>
                </w:tcPr>
                <w:p>
                  <w:pPr>
                    <w:autoSpaceDE w:val="0"/>
                    <w:autoSpaceDN w:val="0"/>
                    <w:jc w:val="center"/>
                    <w:rPr>
                      <w:b/>
                      <w:szCs w:val="21"/>
                      <w:highlight w:val="none"/>
                    </w:rPr>
                  </w:pPr>
                  <w:r>
                    <w:rPr>
                      <w:b/>
                      <w:szCs w:val="21"/>
                      <w:highlight w:val="none"/>
                    </w:rPr>
                    <w:t>排放口</w:t>
                  </w:r>
                </w:p>
                <w:p>
                  <w:pPr>
                    <w:autoSpaceDE w:val="0"/>
                    <w:autoSpaceDN w:val="0"/>
                    <w:jc w:val="center"/>
                    <w:rPr>
                      <w:b/>
                      <w:szCs w:val="21"/>
                      <w:highlight w:val="none"/>
                    </w:rPr>
                  </w:pPr>
                  <w:r>
                    <w:rPr>
                      <w:b/>
                      <w:szCs w:val="21"/>
                      <w:highlight w:val="none"/>
                    </w:rPr>
                    <w:t>位置</w:t>
                  </w:r>
                </w:p>
              </w:tc>
              <w:tc>
                <w:tcPr>
                  <w:tcW w:w="1512" w:type="pct"/>
                  <w:vAlign w:val="center"/>
                </w:tcPr>
                <w:p>
                  <w:pPr>
                    <w:autoSpaceDE w:val="0"/>
                    <w:autoSpaceDN w:val="0"/>
                    <w:jc w:val="center"/>
                    <w:rPr>
                      <w:b/>
                      <w:szCs w:val="21"/>
                      <w:highlight w:val="none"/>
                    </w:rPr>
                  </w:pPr>
                  <w:r>
                    <w:rPr>
                      <w:b/>
                      <w:szCs w:val="21"/>
                      <w:highlight w:val="none"/>
                    </w:rPr>
                    <w:t>执行标准</w:t>
                  </w:r>
                </w:p>
              </w:tc>
              <w:tc>
                <w:tcPr>
                  <w:tcW w:w="806" w:type="pct"/>
                  <w:vAlign w:val="center"/>
                </w:tcPr>
                <w:p>
                  <w:pPr>
                    <w:autoSpaceDE w:val="0"/>
                    <w:autoSpaceDN w:val="0"/>
                    <w:jc w:val="center"/>
                    <w:rPr>
                      <w:b/>
                      <w:szCs w:val="21"/>
                      <w:highlight w:val="none"/>
                    </w:rPr>
                  </w:pPr>
                  <w:r>
                    <w:rPr>
                      <w:b/>
                      <w:szCs w:val="21"/>
                      <w:highlight w:val="none"/>
                    </w:rPr>
                    <w:t>取值表号</w:t>
                  </w:r>
                </w:p>
                <w:p>
                  <w:pPr>
                    <w:autoSpaceDE w:val="0"/>
                    <w:autoSpaceDN w:val="0"/>
                    <w:jc w:val="center"/>
                    <w:rPr>
                      <w:b/>
                      <w:szCs w:val="21"/>
                      <w:highlight w:val="none"/>
                    </w:rPr>
                  </w:pPr>
                  <w:r>
                    <w:rPr>
                      <w:b/>
                      <w:szCs w:val="21"/>
                      <w:highlight w:val="none"/>
                    </w:rPr>
                    <w:t>及级别</w:t>
                  </w:r>
                </w:p>
              </w:tc>
              <w:tc>
                <w:tcPr>
                  <w:tcW w:w="625" w:type="pct"/>
                  <w:vAlign w:val="center"/>
                </w:tcPr>
                <w:p>
                  <w:pPr>
                    <w:autoSpaceDE w:val="0"/>
                    <w:autoSpaceDN w:val="0"/>
                    <w:jc w:val="center"/>
                    <w:rPr>
                      <w:b/>
                      <w:szCs w:val="21"/>
                      <w:highlight w:val="none"/>
                    </w:rPr>
                  </w:pPr>
                  <w:r>
                    <w:rPr>
                      <w:b/>
                      <w:szCs w:val="21"/>
                      <w:highlight w:val="none"/>
                    </w:rPr>
                    <w:t>污染物</w:t>
                  </w:r>
                </w:p>
              </w:tc>
              <w:tc>
                <w:tcPr>
                  <w:tcW w:w="537" w:type="pct"/>
                  <w:vAlign w:val="center"/>
                </w:tcPr>
                <w:p>
                  <w:pPr>
                    <w:autoSpaceDE w:val="0"/>
                    <w:autoSpaceDN w:val="0"/>
                    <w:jc w:val="center"/>
                    <w:rPr>
                      <w:b/>
                      <w:szCs w:val="21"/>
                      <w:highlight w:val="none"/>
                    </w:rPr>
                  </w:pPr>
                  <w:r>
                    <w:rPr>
                      <w:b/>
                      <w:szCs w:val="21"/>
                      <w:highlight w:val="none"/>
                    </w:rPr>
                    <w:t>单位</w:t>
                  </w:r>
                </w:p>
              </w:tc>
              <w:tc>
                <w:tcPr>
                  <w:tcW w:w="804" w:type="pct"/>
                  <w:vAlign w:val="center"/>
                </w:tcPr>
                <w:p>
                  <w:pPr>
                    <w:autoSpaceDE w:val="0"/>
                    <w:autoSpaceDN w:val="0"/>
                    <w:jc w:val="center"/>
                    <w:rPr>
                      <w:b/>
                      <w:szCs w:val="21"/>
                      <w:highlight w:val="none"/>
                    </w:rPr>
                  </w:pPr>
                  <w:r>
                    <w:rPr>
                      <w:b/>
                      <w:szCs w:val="21"/>
                      <w:highlight w:val="none"/>
                    </w:rPr>
                    <w:t>标准</w:t>
                  </w:r>
                </w:p>
                <w:p>
                  <w:pPr>
                    <w:autoSpaceDE w:val="0"/>
                    <w:autoSpaceDN w:val="0"/>
                    <w:jc w:val="center"/>
                    <w:rPr>
                      <w:b/>
                      <w:szCs w:val="21"/>
                      <w:highlight w:val="none"/>
                    </w:rPr>
                  </w:pPr>
                  <w:r>
                    <w:rPr>
                      <w:b/>
                      <w:szCs w:val="21"/>
                      <w:highlight w:val="none"/>
                    </w:rPr>
                    <w:t>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14" w:type="pct"/>
                  <w:vMerge w:val="restart"/>
                  <w:vAlign w:val="center"/>
                </w:tcPr>
                <w:p>
                  <w:pPr>
                    <w:autoSpaceDE w:val="0"/>
                    <w:autoSpaceDN w:val="0"/>
                    <w:jc w:val="center"/>
                    <w:rPr>
                      <w:szCs w:val="21"/>
                      <w:highlight w:val="none"/>
                    </w:rPr>
                  </w:pPr>
                  <w:r>
                    <w:rPr>
                      <w:szCs w:val="21"/>
                      <w:highlight w:val="none"/>
                    </w:rPr>
                    <w:t>企业废水总排放口</w:t>
                  </w:r>
                </w:p>
              </w:tc>
              <w:tc>
                <w:tcPr>
                  <w:tcW w:w="1512" w:type="pct"/>
                  <w:vMerge w:val="restart"/>
                  <w:vAlign w:val="center"/>
                </w:tcPr>
                <w:p>
                  <w:pPr>
                    <w:spacing w:line="240" w:lineRule="atLeast"/>
                    <w:jc w:val="center"/>
                    <w:rPr>
                      <w:szCs w:val="21"/>
                      <w:highlight w:val="none"/>
                    </w:rPr>
                  </w:pPr>
                  <w:r>
                    <w:rPr>
                      <w:szCs w:val="21"/>
                      <w:highlight w:val="none"/>
                    </w:rPr>
                    <w:t>《污水综合排放标准》</w:t>
                  </w:r>
                </w:p>
                <w:p>
                  <w:pPr>
                    <w:autoSpaceDE w:val="0"/>
                    <w:autoSpaceDN w:val="0"/>
                    <w:jc w:val="center"/>
                    <w:rPr>
                      <w:szCs w:val="21"/>
                      <w:highlight w:val="none"/>
                    </w:rPr>
                  </w:pPr>
                  <w:r>
                    <w:rPr>
                      <w:szCs w:val="21"/>
                      <w:highlight w:val="none"/>
                    </w:rPr>
                    <w:t>GB8978-96</w:t>
                  </w:r>
                </w:p>
              </w:tc>
              <w:tc>
                <w:tcPr>
                  <w:tcW w:w="806" w:type="pct"/>
                  <w:vMerge w:val="restart"/>
                  <w:vAlign w:val="center"/>
                </w:tcPr>
                <w:p>
                  <w:pPr>
                    <w:autoSpaceDE w:val="0"/>
                    <w:autoSpaceDN w:val="0"/>
                    <w:jc w:val="center"/>
                    <w:rPr>
                      <w:szCs w:val="21"/>
                      <w:highlight w:val="none"/>
                    </w:rPr>
                  </w:pPr>
                  <w:r>
                    <w:rPr>
                      <w:szCs w:val="21"/>
                      <w:highlight w:val="none"/>
                    </w:rPr>
                    <w:t>表4三级</w:t>
                  </w:r>
                </w:p>
              </w:tc>
              <w:tc>
                <w:tcPr>
                  <w:tcW w:w="625" w:type="pct"/>
                  <w:vAlign w:val="center"/>
                </w:tcPr>
                <w:p>
                  <w:pPr>
                    <w:autoSpaceDE w:val="0"/>
                    <w:autoSpaceDN w:val="0"/>
                    <w:jc w:val="center"/>
                    <w:rPr>
                      <w:szCs w:val="21"/>
                      <w:highlight w:val="none"/>
                    </w:rPr>
                  </w:pPr>
                  <w:r>
                    <w:rPr>
                      <w:szCs w:val="21"/>
                      <w:highlight w:val="none"/>
                    </w:rPr>
                    <w:t>pH</w:t>
                  </w:r>
                </w:p>
              </w:tc>
              <w:tc>
                <w:tcPr>
                  <w:tcW w:w="537" w:type="pct"/>
                  <w:vAlign w:val="center"/>
                </w:tcPr>
                <w:p>
                  <w:pPr>
                    <w:autoSpaceDE w:val="0"/>
                    <w:autoSpaceDN w:val="0"/>
                    <w:jc w:val="center"/>
                    <w:rPr>
                      <w:szCs w:val="21"/>
                      <w:highlight w:val="none"/>
                    </w:rPr>
                  </w:pPr>
                  <w:r>
                    <w:rPr>
                      <w:szCs w:val="21"/>
                      <w:highlight w:val="none"/>
                    </w:rPr>
                    <w:t>/</w:t>
                  </w:r>
                </w:p>
              </w:tc>
              <w:tc>
                <w:tcPr>
                  <w:tcW w:w="804" w:type="pct"/>
                  <w:vAlign w:val="center"/>
                </w:tcPr>
                <w:p>
                  <w:pPr>
                    <w:autoSpaceDE w:val="0"/>
                    <w:autoSpaceDN w:val="0"/>
                    <w:jc w:val="center"/>
                    <w:rPr>
                      <w:szCs w:val="21"/>
                      <w:highlight w:val="none"/>
                    </w:rPr>
                  </w:pPr>
                  <w:r>
                    <w:rPr>
                      <w:szCs w:val="21"/>
                      <w:highlight w:val="none"/>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14" w:type="pct"/>
                  <w:vMerge w:val="continue"/>
                  <w:vAlign w:val="center"/>
                </w:tcPr>
                <w:p>
                  <w:pPr>
                    <w:autoSpaceDE w:val="0"/>
                    <w:autoSpaceDN w:val="0"/>
                    <w:jc w:val="center"/>
                    <w:rPr>
                      <w:szCs w:val="21"/>
                      <w:highlight w:val="none"/>
                    </w:rPr>
                  </w:pPr>
                </w:p>
              </w:tc>
              <w:tc>
                <w:tcPr>
                  <w:tcW w:w="1512" w:type="pct"/>
                  <w:vMerge w:val="continue"/>
                  <w:vAlign w:val="center"/>
                </w:tcPr>
                <w:p>
                  <w:pPr>
                    <w:autoSpaceDE w:val="0"/>
                    <w:autoSpaceDN w:val="0"/>
                    <w:jc w:val="center"/>
                    <w:rPr>
                      <w:szCs w:val="21"/>
                      <w:highlight w:val="none"/>
                    </w:rPr>
                  </w:pPr>
                </w:p>
              </w:tc>
              <w:tc>
                <w:tcPr>
                  <w:tcW w:w="806" w:type="pct"/>
                  <w:vMerge w:val="continue"/>
                  <w:vAlign w:val="center"/>
                </w:tcPr>
                <w:p>
                  <w:pPr>
                    <w:autoSpaceDE w:val="0"/>
                    <w:autoSpaceDN w:val="0"/>
                    <w:jc w:val="center"/>
                    <w:rPr>
                      <w:szCs w:val="21"/>
                      <w:highlight w:val="none"/>
                    </w:rPr>
                  </w:pPr>
                </w:p>
              </w:tc>
              <w:tc>
                <w:tcPr>
                  <w:tcW w:w="625" w:type="pct"/>
                  <w:vAlign w:val="center"/>
                </w:tcPr>
                <w:p>
                  <w:pPr>
                    <w:autoSpaceDE w:val="0"/>
                    <w:autoSpaceDN w:val="0"/>
                    <w:jc w:val="center"/>
                    <w:rPr>
                      <w:szCs w:val="21"/>
                      <w:highlight w:val="none"/>
                    </w:rPr>
                  </w:pPr>
                  <w:r>
                    <w:rPr>
                      <w:szCs w:val="21"/>
                      <w:highlight w:val="none"/>
                    </w:rPr>
                    <w:t>COD</w:t>
                  </w:r>
                </w:p>
              </w:tc>
              <w:tc>
                <w:tcPr>
                  <w:tcW w:w="537" w:type="pct"/>
                  <w:vAlign w:val="center"/>
                </w:tcPr>
                <w:p>
                  <w:pPr>
                    <w:autoSpaceDE w:val="0"/>
                    <w:autoSpaceDN w:val="0"/>
                    <w:jc w:val="center"/>
                    <w:rPr>
                      <w:szCs w:val="21"/>
                      <w:highlight w:val="none"/>
                    </w:rPr>
                  </w:pPr>
                  <w:r>
                    <w:rPr>
                      <w:szCs w:val="21"/>
                      <w:highlight w:val="none"/>
                    </w:rPr>
                    <w:t>mg/L</w:t>
                  </w:r>
                </w:p>
              </w:tc>
              <w:tc>
                <w:tcPr>
                  <w:tcW w:w="804" w:type="pct"/>
                  <w:vAlign w:val="center"/>
                </w:tcPr>
                <w:p>
                  <w:pPr>
                    <w:adjustRightInd w:val="0"/>
                    <w:snapToGrid w:val="0"/>
                    <w:jc w:val="center"/>
                    <w:rPr>
                      <w:szCs w:val="21"/>
                      <w:highlight w:val="none"/>
                    </w:rPr>
                  </w:pPr>
                  <w:r>
                    <w:rPr>
                      <w:szCs w:val="21"/>
                      <w:highlight w:val="none"/>
                    </w:rPr>
                    <w:t>350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14" w:type="pct"/>
                  <w:vMerge w:val="continue"/>
                  <w:vAlign w:val="center"/>
                </w:tcPr>
                <w:p>
                  <w:pPr>
                    <w:autoSpaceDE w:val="0"/>
                    <w:autoSpaceDN w:val="0"/>
                    <w:jc w:val="center"/>
                    <w:rPr>
                      <w:szCs w:val="21"/>
                      <w:highlight w:val="none"/>
                    </w:rPr>
                  </w:pPr>
                </w:p>
              </w:tc>
              <w:tc>
                <w:tcPr>
                  <w:tcW w:w="1512" w:type="pct"/>
                  <w:vMerge w:val="continue"/>
                  <w:vAlign w:val="center"/>
                </w:tcPr>
                <w:p>
                  <w:pPr>
                    <w:autoSpaceDE w:val="0"/>
                    <w:autoSpaceDN w:val="0"/>
                    <w:jc w:val="center"/>
                    <w:rPr>
                      <w:szCs w:val="21"/>
                      <w:highlight w:val="none"/>
                    </w:rPr>
                  </w:pPr>
                </w:p>
              </w:tc>
              <w:tc>
                <w:tcPr>
                  <w:tcW w:w="806" w:type="pct"/>
                  <w:vMerge w:val="continue"/>
                  <w:vAlign w:val="center"/>
                </w:tcPr>
                <w:p>
                  <w:pPr>
                    <w:autoSpaceDE w:val="0"/>
                    <w:autoSpaceDN w:val="0"/>
                    <w:jc w:val="center"/>
                    <w:rPr>
                      <w:szCs w:val="21"/>
                      <w:highlight w:val="none"/>
                    </w:rPr>
                  </w:pPr>
                </w:p>
              </w:tc>
              <w:tc>
                <w:tcPr>
                  <w:tcW w:w="625" w:type="pct"/>
                  <w:vAlign w:val="center"/>
                </w:tcPr>
                <w:p>
                  <w:pPr>
                    <w:autoSpaceDE w:val="0"/>
                    <w:autoSpaceDN w:val="0"/>
                    <w:jc w:val="center"/>
                    <w:rPr>
                      <w:szCs w:val="21"/>
                      <w:highlight w:val="none"/>
                    </w:rPr>
                  </w:pPr>
                  <w:r>
                    <w:rPr>
                      <w:szCs w:val="21"/>
                      <w:highlight w:val="none"/>
                    </w:rPr>
                    <w:t>SS</w:t>
                  </w:r>
                </w:p>
              </w:tc>
              <w:tc>
                <w:tcPr>
                  <w:tcW w:w="537" w:type="pct"/>
                  <w:vAlign w:val="center"/>
                </w:tcPr>
                <w:p>
                  <w:pPr>
                    <w:autoSpaceDE w:val="0"/>
                    <w:autoSpaceDN w:val="0"/>
                    <w:jc w:val="center"/>
                    <w:rPr>
                      <w:szCs w:val="21"/>
                      <w:highlight w:val="none"/>
                    </w:rPr>
                  </w:pPr>
                  <w:r>
                    <w:rPr>
                      <w:szCs w:val="21"/>
                      <w:highlight w:val="none"/>
                    </w:rPr>
                    <w:t>mg/L</w:t>
                  </w:r>
                </w:p>
              </w:tc>
              <w:tc>
                <w:tcPr>
                  <w:tcW w:w="804" w:type="pct"/>
                  <w:vAlign w:val="center"/>
                </w:tcPr>
                <w:p>
                  <w:pPr>
                    <w:adjustRightInd w:val="0"/>
                    <w:snapToGrid w:val="0"/>
                    <w:jc w:val="center"/>
                    <w:rPr>
                      <w:szCs w:val="21"/>
                      <w:highlight w:val="none"/>
                    </w:rPr>
                  </w:pPr>
                  <w:r>
                    <w:rPr>
                      <w:szCs w:val="21"/>
                      <w:highlight w:val="none"/>
                    </w:rPr>
                    <w:t>300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20" w:hRule="atLeast"/>
                <w:jc w:val="center"/>
              </w:trPr>
              <w:tc>
                <w:tcPr>
                  <w:tcW w:w="714" w:type="pct"/>
                  <w:vMerge w:val="continue"/>
                  <w:vAlign w:val="center"/>
                </w:tcPr>
                <w:p>
                  <w:pPr>
                    <w:autoSpaceDE w:val="0"/>
                    <w:autoSpaceDN w:val="0"/>
                    <w:jc w:val="center"/>
                    <w:rPr>
                      <w:szCs w:val="21"/>
                      <w:highlight w:val="none"/>
                    </w:rPr>
                  </w:pPr>
                </w:p>
              </w:tc>
              <w:tc>
                <w:tcPr>
                  <w:tcW w:w="1512" w:type="pct"/>
                  <w:vMerge w:val="restart"/>
                  <w:vAlign w:val="center"/>
                </w:tcPr>
                <w:p>
                  <w:pPr>
                    <w:autoSpaceDE w:val="0"/>
                    <w:autoSpaceDN w:val="0"/>
                    <w:jc w:val="center"/>
                    <w:rPr>
                      <w:szCs w:val="21"/>
                      <w:highlight w:val="none"/>
                    </w:rPr>
                  </w:pPr>
                  <w:r>
                    <w:rPr>
                      <w:rFonts w:hint="eastAsia"/>
                      <w:szCs w:val="21"/>
                      <w:highlight w:val="none"/>
                    </w:rPr>
                    <w:t>《污水排入城镇下水道水质标准》（GB/T31962-2015）</w:t>
                  </w:r>
                </w:p>
              </w:tc>
              <w:tc>
                <w:tcPr>
                  <w:tcW w:w="806" w:type="pct"/>
                  <w:vMerge w:val="restart"/>
                  <w:vAlign w:val="center"/>
                </w:tcPr>
                <w:p>
                  <w:pPr>
                    <w:autoSpaceDE w:val="0"/>
                    <w:autoSpaceDN w:val="0"/>
                    <w:jc w:val="center"/>
                    <w:rPr>
                      <w:szCs w:val="21"/>
                      <w:highlight w:val="none"/>
                    </w:rPr>
                  </w:pPr>
                  <w:r>
                    <w:rPr>
                      <w:rFonts w:hint="eastAsia"/>
                      <w:szCs w:val="21"/>
                      <w:highlight w:val="none"/>
                    </w:rPr>
                    <w:t>表1B等级</w:t>
                  </w:r>
                </w:p>
              </w:tc>
              <w:tc>
                <w:tcPr>
                  <w:tcW w:w="625" w:type="pct"/>
                  <w:vAlign w:val="center"/>
                </w:tcPr>
                <w:p>
                  <w:pPr>
                    <w:autoSpaceDE w:val="0"/>
                    <w:autoSpaceDN w:val="0"/>
                    <w:jc w:val="center"/>
                    <w:rPr>
                      <w:szCs w:val="21"/>
                      <w:highlight w:val="none"/>
                    </w:rPr>
                  </w:pPr>
                  <w:r>
                    <w:rPr>
                      <w:szCs w:val="21"/>
                      <w:highlight w:val="none"/>
                    </w:rPr>
                    <w:t>氨氮</w:t>
                  </w:r>
                </w:p>
              </w:tc>
              <w:tc>
                <w:tcPr>
                  <w:tcW w:w="537" w:type="pct"/>
                  <w:vAlign w:val="center"/>
                </w:tcPr>
                <w:p>
                  <w:pPr>
                    <w:autoSpaceDE w:val="0"/>
                    <w:autoSpaceDN w:val="0"/>
                    <w:jc w:val="center"/>
                    <w:rPr>
                      <w:szCs w:val="21"/>
                      <w:highlight w:val="none"/>
                    </w:rPr>
                  </w:pPr>
                  <w:r>
                    <w:rPr>
                      <w:szCs w:val="21"/>
                      <w:highlight w:val="none"/>
                    </w:rPr>
                    <w:t>mg/L</w:t>
                  </w:r>
                </w:p>
              </w:tc>
              <w:tc>
                <w:tcPr>
                  <w:tcW w:w="804" w:type="pct"/>
                  <w:vAlign w:val="center"/>
                </w:tcPr>
                <w:p>
                  <w:pPr>
                    <w:adjustRightInd w:val="0"/>
                    <w:snapToGrid w:val="0"/>
                    <w:jc w:val="center"/>
                    <w:rPr>
                      <w:szCs w:val="21"/>
                      <w:highlight w:val="none"/>
                    </w:rPr>
                  </w:pPr>
                  <w:r>
                    <w:rPr>
                      <w:szCs w:val="21"/>
                      <w:highlight w:val="none"/>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14" w:type="pct"/>
                  <w:vMerge w:val="continue"/>
                  <w:vAlign w:val="center"/>
                </w:tcPr>
                <w:p>
                  <w:pPr>
                    <w:autoSpaceDE w:val="0"/>
                    <w:autoSpaceDN w:val="0"/>
                    <w:jc w:val="center"/>
                    <w:rPr>
                      <w:szCs w:val="21"/>
                      <w:highlight w:val="none"/>
                    </w:rPr>
                  </w:pPr>
                </w:p>
              </w:tc>
              <w:tc>
                <w:tcPr>
                  <w:tcW w:w="1512" w:type="pct"/>
                  <w:vMerge w:val="continue"/>
                  <w:tcBorders>
                    <w:bottom w:val="single" w:color="auto" w:sz="4" w:space="0"/>
                  </w:tcBorders>
                  <w:vAlign w:val="center"/>
                </w:tcPr>
                <w:p>
                  <w:pPr>
                    <w:autoSpaceDE w:val="0"/>
                    <w:autoSpaceDN w:val="0"/>
                    <w:jc w:val="center"/>
                    <w:rPr>
                      <w:szCs w:val="21"/>
                      <w:highlight w:val="none"/>
                    </w:rPr>
                  </w:pPr>
                </w:p>
              </w:tc>
              <w:tc>
                <w:tcPr>
                  <w:tcW w:w="806" w:type="pct"/>
                  <w:vMerge w:val="continue"/>
                  <w:tcBorders>
                    <w:bottom w:val="single" w:color="auto" w:sz="4" w:space="0"/>
                  </w:tcBorders>
                  <w:vAlign w:val="center"/>
                </w:tcPr>
                <w:p>
                  <w:pPr>
                    <w:autoSpaceDE w:val="0"/>
                    <w:autoSpaceDN w:val="0"/>
                    <w:jc w:val="center"/>
                    <w:rPr>
                      <w:szCs w:val="21"/>
                      <w:highlight w:val="none"/>
                    </w:rPr>
                  </w:pPr>
                </w:p>
              </w:tc>
              <w:tc>
                <w:tcPr>
                  <w:tcW w:w="625" w:type="pct"/>
                  <w:tcBorders>
                    <w:bottom w:val="single" w:color="auto" w:sz="4" w:space="0"/>
                  </w:tcBorders>
                  <w:vAlign w:val="center"/>
                </w:tcPr>
                <w:p>
                  <w:pPr>
                    <w:autoSpaceDE w:val="0"/>
                    <w:autoSpaceDN w:val="0"/>
                    <w:jc w:val="center"/>
                    <w:rPr>
                      <w:szCs w:val="21"/>
                      <w:highlight w:val="none"/>
                    </w:rPr>
                  </w:pPr>
                  <w:r>
                    <w:rPr>
                      <w:szCs w:val="21"/>
                      <w:highlight w:val="none"/>
                    </w:rPr>
                    <w:t>总磷</w:t>
                  </w:r>
                </w:p>
              </w:tc>
              <w:tc>
                <w:tcPr>
                  <w:tcW w:w="537" w:type="pct"/>
                  <w:vAlign w:val="center"/>
                </w:tcPr>
                <w:p>
                  <w:pPr>
                    <w:autoSpaceDE w:val="0"/>
                    <w:autoSpaceDN w:val="0"/>
                    <w:jc w:val="center"/>
                    <w:rPr>
                      <w:szCs w:val="21"/>
                      <w:highlight w:val="none"/>
                    </w:rPr>
                  </w:pPr>
                  <w:r>
                    <w:rPr>
                      <w:szCs w:val="21"/>
                      <w:highlight w:val="none"/>
                    </w:rPr>
                    <w:t>mg/L</w:t>
                  </w:r>
                </w:p>
              </w:tc>
              <w:tc>
                <w:tcPr>
                  <w:tcW w:w="804" w:type="pct"/>
                  <w:vAlign w:val="center"/>
                </w:tcPr>
                <w:p>
                  <w:pPr>
                    <w:adjustRightInd w:val="0"/>
                    <w:snapToGrid w:val="0"/>
                    <w:jc w:val="center"/>
                    <w:rPr>
                      <w:szCs w:val="21"/>
                      <w:highlight w:val="none"/>
                    </w:rPr>
                  </w:pPr>
                  <w:r>
                    <w:rPr>
                      <w:szCs w:val="21"/>
                      <w:highlight w:val="none"/>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14" w:type="pct"/>
                  <w:vMerge w:val="restart"/>
                  <w:vAlign w:val="center"/>
                </w:tcPr>
                <w:p>
                  <w:pPr>
                    <w:autoSpaceDE w:val="0"/>
                    <w:autoSpaceDN w:val="0"/>
                    <w:jc w:val="center"/>
                    <w:rPr>
                      <w:szCs w:val="21"/>
                      <w:highlight w:val="none"/>
                    </w:rPr>
                  </w:pPr>
                  <w:r>
                    <w:rPr>
                      <w:szCs w:val="21"/>
                      <w:highlight w:val="none"/>
                    </w:rPr>
                    <w:t>污水厂</w:t>
                  </w:r>
                </w:p>
                <w:p>
                  <w:pPr>
                    <w:autoSpaceDE w:val="0"/>
                    <w:autoSpaceDN w:val="0"/>
                    <w:jc w:val="center"/>
                    <w:rPr>
                      <w:szCs w:val="21"/>
                      <w:highlight w:val="none"/>
                    </w:rPr>
                  </w:pPr>
                  <w:r>
                    <w:rPr>
                      <w:szCs w:val="21"/>
                      <w:highlight w:val="none"/>
                    </w:rPr>
                    <w:t>排口</w:t>
                  </w:r>
                </w:p>
              </w:tc>
              <w:tc>
                <w:tcPr>
                  <w:tcW w:w="1512" w:type="pct"/>
                  <w:vMerge w:val="restart"/>
                  <w:vAlign w:val="center"/>
                </w:tcPr>
                <w:p>
                  <w:pPr>
                    <w:autoSpaceDE w:val="0"/>
                    <w:autoSpaceDN w:val="0"/>
                    <w:jc w:val="center"/>
                    <w:rPr>
                      <w:szCs w:val="21"/>
                      <w:highlight w:val="none"/>
                    </w:rPr>
                  </w:pPr>
                  <w:r>
                    <w:rPr>
                      <w:szCs w:val="21"/>
                      <w:highlight w:val="none"/>
                    </w:rPr>
                    <w:t>《太湖地区城镇污水处理厂及重点工业行业主要水污染物排放限值》(DB32/1072-2018)</w:t>
                  </w:r>
                </w:p>
              </w:tc>
              <w:tc>
                <w:tcPr>
                  <w:tcW w:w="806" w:type="pct"/>
                  <w:vMerge w:val="restart"/>
                  <w:vAlign w:val="center"/>
                </w:tcPr>
                <w:p>
                  <w:pPr>
                    <w:autoSpaceDE w:val="0"/>
                    <w:autoSpaceDN w:val="0"/>
                    <w:jc w:val="center"/>
                    <w:rPr>
                      <w:szCs w:val="21"/>
                      <w:highlight w:val="none"/>
                    </w:rPr>
                  </w:pPr>
                  <w:r>
                    <w:rPr>
                      <w:szCs w:val="21"/>
                      <w:highlight w:val="none"/>
                    </w:rPr>
                    <w:t>表2标准</w:t>
                  </w:r>
                </w:p>
              </w:tc>
              <w:tc>
                <w:tcPr>
                  <w:tcW w:w="625" w:type="pct"/>
                  <w:vAlign w:val="center"/>
                </w:tcPr>
                <w:p>
                  <w:pPr>
                    <w:autoSpaceDE w:val="0"/>
                    <w:autoSpaceDN w:val="0"/>
                    <w:jc w:val="center"/>
                    <w:rPr>
                      <w:szCs w:val="21"/>
                      <w:highlight w:val="none"/>
                    </w:rPr>
                  </w:pPr>
                  <w:r>
                    <w:rPr>
                      <w:szCs w:val="21"/>
                      <w:highlight w:val="none"/>
                    </w:rPr>
                    <w:t>COD</w:t>
                  </w:r>
                </w:p>
              </w:tc>
              <w:tc>
                <w:tcPr>
                  <w:tcW w:w="537" w:type="pct"/>
                  <w:vAlign w:val="center"/>
                </w:tcPr>
                <w:p>
                  <w:pPr>
                    <w:autoSpaceDE w:val="0"/>
                    <w:autoSpaceDN w:val="0"/>
                    <w:jc w:val="center"/>
                    <w:rPr>
                      <w:szCs w:val="21"/>
                      <w:highlight w:val="none"/>
                    </w:rPr>
                  </w:pPr>
                  <w:r>
                    <w:rPr>
                      <w:szCs w:val="21"/>
                      <w:highlight w:val="none"/>
                    </w:rPr>
                    <w:t>mg/L</w:t>
                  </w:r>
                </w:p>
              </w:tc>
              <w:tc>
                <w:tcPr>
                  <w:tcW w:w="804" w:type="pct"/>
                  <w:vAlign w:val="center"/>
                </w:tcPr>
                <w:p>
                  <w:pPr>
                    <w:autoSpaceDE w:val="0"/>
                    <w:autoSpaceDN w:val="0"/>
                    <w:jc w:val="center"/>
                    <w:rPr>
                      <w:szCs w:val="21"/>
                      <w:highlight w:val="none"/>
                    </w:rPr>
                  </w:pPr>
                  <w:r>
                    <w:rPr>
                      <w:szCs w:val="21"/>
                      <w:highlight w:val="none"/>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14" w:type="pct"/>
                  <w:vMerge w:val="continue"/>
                  <w:vAlign w:val="center"/>
                </w:tcPr>
                <w:p>
                  <w:pPr>
                    <w:autoSpaceDE w:val="0"/>
                    <w:autoSpaceDN w:val="0"/>
                    <w:jc w:val="center"/>
                    <w:rPr>
                      <w:szCs w:val="21"/>
                      <w:highlight w:val="none"/>
                    </w:rPr>
                  </w:pPr>
                </w:p>
              </w:tc>
              <w:tc>
                <w:tcPr>
                  <w:tcW w:w="1512" w:type="pct"/>
                  <w:vMerge w:val="continue"/>
                  <w:vAlign w:val="center"/>
                </w:tcPr>
                <w:p>
                  <w:pPr>
                    <w:autoSpaceDE w:val="0"/>
                    <w:autoSpaceDN w:val="0"/>
                    <w:jc w:val="center"/>
                    <w:rPr>
                      <w:szCs w:val="21"/>
                      <w:highlight w:val="none"/>
                    </w:rPr>
                  </w:pPr>
                </w:p>
              </w:tc>
              <w:tc>
                <w:tcPr>
                  <w:tcW w:w="806" w:type="pct"/>
                  <w:vMerge w:val="continue"/>
                  <w:vAlign w:val="center"/>
                </w:tcPr>
                <w:p>
                  <w:pPr>
                    <w:autoSpaceDE w:val="0"/>
                    <w:autoSpaceDN w:val="0"/>
                    <w:jc w:val="center"/>
                    <w:rPr>
                      <w:szCs w:val="21"/>
                      <w:highlight w:val="none"/>
                    </w:rPr>
                  </w:pPr>
                </w:p>
              </w:tc>
              <w:tc>
                <w:tcPr>
                  <w:tcW w:w="625" w:type="pct"/>
                  <w:vAlign w:val="center"/>
                </w:tcPr>
                <w:p>
                  <w:pPr>
                    <w:autoSpaceDE w:val="0"/>
                    <w:autoSpaceDN w:val="0"/>
                    <w:jc w:val="center"/>
                    <w:rPr>
                      <w:szCs w:val="21"/>
                      <w:highlight w:val="none"/>
                    </w:rPr>
                  </w:pPr>
                  <w:r>
                    <w:rPr>
                      <w:szCs w:val="21"/>
                      <w:highlight w:val="none"/>
                    </w:rPr>
                    <w:t>氨氮</w:t>
                  </w:r>
                </w:p>
              </w:tc>
              <w:tc>
                <w:tcPr>
                  <w:tcW w:w="537" w:type="pct"/>
                  <w:vAlign w:val="center"/>
                </w:tcPr>
                <w:p>
                  <w:pPr>
                    <w:autoSpaceDE w:val="0"/>
                    <w:autoSpaceDN w:val="0"/>
                    <w:jc w:val="center"/>
                    <w:rPr>
                      <w:szCs w:val="21"/>
                      <w:highlight w:val="none"/>
                    </w:rPr>
                  </w:pPr>
                  <w:r>
                    <w:rPr>
                      <w:szCs w:val="21"/>
                      <w:highlight w:val="none"/>
                    </w:rPr>
                    <w:t>mg/L</w:t>
                  </w:r>
                </w:p>
              </w:tc>
              <w:tc>
                <w:tcPr>
                  <w:tcW w:w="804" w:type="pct"/>
                  <w:vAlign w:val="center"/>
                </w:tcPr>
                <w:p>
                  <w:pPr>
                    <w:autoSpaceDE w:val="0"/>
                    <w:autoSpaceDN w:val="0"/>
                    <w:jc w:val="center"/>
                    <w:rPr>
                      <w:szCs w:val="21"/>
                      <w:highlight w:val="none"/>
                    </w:rPr>
                  </w:pPr>
                  <w:r>
                    <w:rPr>
                      <w:szCs w:val="21"/>
                      <w:highlight w:val="none"/>
                    </w:rPr>
                    <w:t>4（6）*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14" w:type="pct"/>
                  <w:vMerge w:val="continue"/>
                  <w:vAlign w:val="center"/>
                </w:tcPr>
                <w:p>
                  <w:pPr>
                    <w:autoSpaceDE w:val="0"/>
                    <w:autoSpaceDN w:val="0"/>
                    <w:jc w:val="center"/>
                    <w:rPr>
                      <w:szCs w:val="21"/>
                      <w:highlight w:val="none"/>
                    </w:rPr>
                  </w:pPr>
                </w:p>
              </w:tc>
              <w:tc>
                <w:tcPr>
                  <w:tcW w:w="1512" w:type="pct"/>
                  <w:vMerge w:val="continue"/>
                  <w:vAlign w:val="center"/>
                </w:tcPr>
                <w:p>
                  <w:pPr>
                    <w:autoSpaceDE w:val="0"/>
                    <w:autoSpaceDN w:val="0"/>
                    <w:jc w:val="center"/>
                    <w:rPr>
                      <w:szCs w:val="21"/>
                      <w:highlight w:val="none"/>
                    </w:rPr>
                  </w:pPr>
                </w:p>
              </w:tc>
              <w:tc>
                <w:tcPr>
                  <w:tcW w:w="806" w:type="pct"/>
                  <w:vMerge w:val="continue"/>
                  <w:vAlign w:val="center"/>
                </w:tcPr>
                <w:p>
                  <w:pPr>
                    <w:autoSpaceDE w:val="0"/>
                    <w:autoSpaceDN w:val="0"/>
                    <w:jc w:val="center"/>
                    <w:rPr>
                      <w:szCs w:val="21"/>
                      <w:highlight w:val="none"/>
                    </w:rPr>
                  </w:pPr>
                </w:p>
              </w:tc>
              <w:tc>
                <w:tcPr>
                  <w:tcW w:w="625" w:type="pct"/>
                  <w:vAlign w:val="center"/>
                </w:tcPr>
                <w:p>
                  <w:pPr>
                    <w:autoSpaceDE w:val="0"/>
                    <w:autoSpaceDN w:val="0"/>
                    <w:jc w:val="center"/>
                    <w:rPr>
                      <w:szCs w:val="21"/>
                      <w:highlight w:val="none"/>
                    </w:rPr>
                  </w:pPr>
                  <w:r>
                    <w:rPr>
                      <w:szCs w:val="21"/>
                      <w:highlight w:val="none"/>
                    </w:rPr>
                    <w:t>总氮</w:t>
                  </w:r>
                </w:p>
              </w:tc>
              <w:tc>
                <w:tcPr>
                  <w:tcW w:w="537" w:type="pct"/>
                  <w:vAlign w:val="center"/>
                </w:tcPr>
                <w:p>
                  <w:pPr>
                    <w:autoSpaceDE w:val="0"/>
                    <w:autoSpaceDN w:val="0"/>
                    <w:jc w:val="center"/>
                    <w:rPr>
                      <w:szCs w:val="21"/>
                      <w:highlight w:val="none"/>
                    </w:rPr>
                  </w:pPr>
                  <w:r>
                    <w:rPr>
                      <w:szCs w:val="21"/>
                      <w:highlight w:val="none"/>
                    </w:rPr>
                    <w:t>mg/L</w:t>
                  </w:r>
                </w:p>
              </w:tc>
              <w:tc>
                <w:tcPr>
                  <w:tcW w:w="804" w:type="pct"/>
                  <w:vAlign w:val="center"/>
                </w:tcPr>
                <w:p>
                  <w:pPr>
                    <w:autoSpaceDE w:val="0"/>
                    <w:autoSpaceDN w:val="0"/>
                    <w:jc w:val="center"/>
                    <w:rPr>
                      <w:szCs w:val="21"/>
                      <w:highlight w:val="none"/>
                    </w:rPr>
                  </w:pPr>
                  <w:r>
                    <w:rPr>
                      <w:szCs w:val="21"/>
                      <w:highlight w:val="none"/>
                    </w:rPr>
                    <w:t>12（15）*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14" w:type="pct"/>
                  <w:vMerge w:val="continue"/>
                  <w:vAlign w:val="center"/>
                </w:tcPr>
                <w:p>
                  <w:pPr>
                    <w:autoSpaceDE w:val="0"/>
                    <w:autoSpaceDN w:val="0"/>
                    <w:jc w:val="center"/>
                    <w:rPr>
                      <w:szCs w:val="21"/>
                      <w:highlight w:val="none"/>
                    </w:rPr>
                  </w:pPr>
                </w:p>
              </w:tc>
              <w:tc>
                <w:tcPr>
                  <w:tcW w:w="1512" w:type="pct"/>
                  <w:vMerge w:val="continue"/>
                  <w:vAlign w:val="center"/>
                </w:tcPr>
                <w:p>
                  <w:pPr>
                    <w:autoSpaceDE w:val="0"/>
                    <w:autoSpaceDN w:val="0"/>
                    <w:jc w:val="center"/>
                    <w:rPr>
                      <w:szCs w:val="21"/>
                      <w:highlight w:val="none"/>
                    </w:rPr>
                  </w:pPr>
                </w:p>
              </w:tc>
              <w:tc>
                <w:tcPr>
                  <w:tcW w:w="806" w:type="pct"/>
                  <w:vMerge w:val="continue"/>
                  <w:vAlign w:val="center"/>
                </w:tcPr>
                <w:p>
                  <w:pPr>
                    <w:autoSpaceDE w:val="0"/>
                    <w:autoSpaceDN w:val="0"/>
                    <w:jc w:val="center"/>
                    <w:rPr>
                      <w:szCs w:val="21"/>
                      <w:highlight w:val="none"/>
                    </w:rPr>
                  </w:pPr>
                </w:p>
              </w:tc>
              <w:tc>
                <w:tcPr>
                  <w:tcW w:w="625" w:type="pct"/>
                  <w:vAlign w:val="center"/>
                </w:tcPr>
                <w:p>
                  <w:pPr>
                    <w:autoSpaceDE w:val="0"/>
                    <w:autoSpaceDN w:val="0"/>
                    <w:jc w:val="center"/>
                    <w:rPr>
                      <w:szCs w:val="21"/>
                      <w:highlight w:val="none"/>
                    </w:rPr>
                  </w:pPr>
                  <w:r>
                    <w:rPr>
                      <w:szCs w:val="21"/>
                      <w:highlight w:val="none"/>
                    </w:rPr>
                    <w:t>总磷</w:t>
                  </w:r>
                </w:p>
              </w:tc>
              <w:tc>
                <w:tcPr>
                  <w:tcW w:w="537" w:type="pct"/>
                  <w:vAlign w:val="center"/>
                </w:tcPr>
                <w:p>
                  <w:pPr>
                    <w:autoSpaceDE w:val="0"/>
                    <w:autoSpaceDN w:val="0"/>
                    <w:jc w:val="center"/>
                    <w:rPr>
                      <w:szCs w:val="21"/>
                      <w:highlight w:val="none"/>
                    </w:rPr>
                  </w:pPr>
                  <w:r>
                    <w:rPr>
                      <w:szCs w:val="21"/>
                      <w:highlight w:val="none"/>
                    </w:rPr>
                    <w:t>mg/L</w:t>
                  </w:r>
                </w:p>
              </w:tc>
              <w:tc>
                <w:tcPr>
                  <w:tcW w:w="804" w:type="pct"/>
                  <w:vAlign w:val="center"/>
                </w:tcPr>
                <w:p>
                  <w:pPr>
                    <w:autoSpaceDE w:val="0"/>
                    <w:autoSpaceDN w:val="0"/>
                    <w:jc w:val="center"/>
                    <w:rPr>
                      <w:szCs w:val="21"/>
                      <w:highlight w:val="none"/>
                    </w:rPr>
                  </w:pPr>
                  <w:r>
                    <w:rPr>
                      <w:szCs w:val="21"/>
                      <w:highlight w:val="none"/>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14" w:type="pct"/>
                  <w:vMerge w:val="continue"/>
                  <w:vAlign w:val="center"/>
                </w:tcPr>
                <w:p>
                  <w:pPr>
                    <w:autoSpaceDE w:val="0"/>
                    <w:autoSpaceDN w:val="0"/>
                    <w:jc w:val="center"/>
                    <w:rPr>
                      <w:szCs w:val="21"/>
                      <w:highlight w:val="none"/>
                    </w:rPr>
                  </w:pPr>
                </w:p>
              </w:tc>
              <w:tc>
                <w:tcPr>
                  <w:tcW w:w="1512" w:type="pct"/>
                  <w:vMerge w:val="restart"/>
                  <w:vAlign w:val="center"/>
                </w:tcPr>
                <w:p>
                  <w:pPr>
                    <w:autoSpaceDE w:val="0"/>
                    <w:autoSpaceDN w:val="0"/>
                    <w:jc w:val="center"/>
                    <w:rPr>
                      <w:szCs w:val="21"/>
                      <w:highlight w:val="none"/>
                    </w:rPr>
                  </w:pPr>
                  <w:r>
                    <w:rPr>
                      <w:szCs w:val="21"/>
                      <w:highlight w:val="none"/>
                    </w:rPr>
                    <w:t>《苏州特别排放限值标准》</w:t>
                  </w:r>
                </w:p>
              </w:tc>
              <w:tc>
                <w:tcPr>
                  <w:tcW w:w="806" w:type="pct"/>
                  <w:vMerge w:val="restart"/>
                  <w:vAlign w:val="center"/>
                </w:tcPr>
                <w:p>
                  <w:pPr>
                    <w:autoSpaceDE w:val="0"/>
                    <w:autoSpaceDN w:val="0"/>
                    <w:jc w:val="center"/>
                    <w:rPr>
                      <w:szCs w:val="21"/>
                      <w:highlight w:val="none"/>
                    </w:rPr>
                  </w:pPr>
                  <w:r>
                    <w:rPr>
                      <w:szCs w:val="21"/>
                      <w:highlight w:val="none"/>
                    </w:rPr>
                    <w:t>/</w:t>
                  </w:r>
                </w:p>
              </w:tc>
              <w:tc>
                <w:tcPr>
                  <w:tcW w:w="625" w:type="pct"/>
                  <w:vAlign w:val="center"/>
                </w:tcPr>
                <w:p>
                  <w:pPr>
                    <w:autoSpaceDE w:val="0"/>
                    <w:autoSpaceDN w:val="0"/>
                    <w:jc w:val="center"/>
                    <w:rPr>
                      <w:szCs w:val="21"/>
                      <w:highlight w:val="none"/>
                    </w:rPr>
                  </w:pPr>
                  <w:r>
                    <w:rPr>
                      <w:szCs w:val="21"/>
                      <w:highlight w:val="none"/>
                    </w:rPr>
                    <w:t>COD</w:t>
                  </w:r>
                </w:p>
              </w:tc>
              <w:tc>
                <w:tcPr>
                  <w:tcW w:w="537" w:type="pct"/>
                  <w:vAlign w:val="center"/>
                </w:tcPr>
                <w:p>
                  <w:pPr>
                    <w:autoSpaceDE w:val="0"/>
                    <w:autoSpaceDN w:val="0"/>
                    <w:jc w:val="center"/>
                    <w:rPr>
                      <w:szCs w:val="21"/>
                      <w:highlight w:val="none"/>
                    </w:rPr>
                  </w:pPr>
                  <w:r>
                    <w:rPr>
                      <w:szCs w:val="21"/>
                      <w:highlight w:val="none"/>
                    </w:rPr>
                    <w:t>mg/L</w:t>
                  </w:r>
                </w:p>
              </w:tc>
              <w:tc>
                <w:tcPr>
                  <w:tcW w:w="804" w:type="pct"/>
                  <w:vAlign w:val="center"/>
                </w:tcPr>
                <w:p>
                  <w:pPr>
                    <w:autoSpaceDE w:val="0"/>
                    <w:autoSpaceDN w:val="0"/>
                    <w:jc w:val="center"/>
                    <w:rPr>
                      <w:szCs w:val="21"/>
                      <w:highlight w:val="none"/>
                    </w:rPr>
                  </w:pPr>
                  <w:r>
                    <w:rPr>
                      <w:szCs w:val="21"/>
                      <w:highlight w:val="none"/>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14" w:type="pct"/>
                  <w:vMerge w:val="continue"/>
                  <w:vAlign w:val="center"/>
                </w:tcPr>
                <w:p>
                  <w:pPr>
                    <w:autoSpaceDE w:val="0"/>
                    <w:autoSpaceDN w:val="0"/>
                    <w:jc w:val="center"/>
                    <w:rPr>
                      <w:szCs w:val="21"/>
                      <w:highlight w:val="none"/>
                    </w:rPr>
                  </w:pPr>
                </w:p>
              </w:tc>
              <w:tc>
                <w:tcPr>
                  <w:tcW w:w="1512" w:type="pct"/>
                  <w:vMerge w:val="continue"/>
                  <w:vAlign w:val="center"/>
                </w:tcPr>
                <w:p>
                  <w:pPr>
                    <w:autoSpaceDE w:val="0"/>
                    <w:autoSpaceDN w:val="0"/>
                    <w:jc w:val="center"/>
                    <w:rPr>
                      <w:szCs w:val="21"/>
                      <w:highlight w:val="none"/>
                    </w:rPr>
                  </w:pPr>
                </w:p>
              </w:tc>
              <w:tc>
                <w:tcPr>
                  <w:tcW w:w="806" w:type="pct"/>
                  <w:vMerge w:val="continue"/>
                  <w:vAlign w:val="center"/>
                </w:tcPr>
                <w:p>
                  <w:pPr>
                    <w:autoSpaceDE w:val="0"/>
                    <w:autoSpaceDN w:val="0"/>
                    <w:jc w:val="center"/>
                    <w:rPr>
                      <w:szCs w:val="21"/>
                      <w:highlight w:val="none"/>
                    </w:rPr>
                  </w:pPr>
                </w:p>
              </w:tc>
              <w:tc>
                <w:tcPr>
                  <w:tcW w:w="625" w:type="pct"/>
                  <w:vAlign w:val="center"/>
                </w:tcPr>
                <w:p>
                  <w:pPr>
                    <w:autoSpaceDE w:val="0"/>
                    <w:autoSpaceDN w:val="0"/>
                    <w:jc w:val="center"/>
                    <w:rPr>
                      <w:szCs w:val="21"/>
                      <w:highlight w:val="none"/>
                    </w:rPr>
                  </w:pPr>
                  <w:r>
                    <w:rPr>
                      <w:szCs w:val="21"/>
                      <w:highlight w:val="none"/>
                    </w:rPr>
                    <w:t>氨氮</w:t>
                  </w:r>
                </w:p>
              </w:tc>
              <w:tc>
                <w:tcPr>
                  <w:tcW w:w="537" w:type="pct"/>
                  <w:vAlign w:val="center"/>
                </w:tcPr>
                <w:p>
                  <w:pPr>
                    <w:autoSpaceDE w:val="0"/>
                    <w:autoSpaceDN w:val="0"/>
                    <w:jc w:val="center"/>
                    <w:rPr>
                      <w:szCs w:val="21"/>
                      <w:highlight w:val="none"/>
                    </w:rPr>
                  </w:pPr>
                  <w:r>
                    <w:rPr>
                      <w:szCs w:val="21"/>
                      <w:highlight w:val="none"/>
                    </w:rPr>
                    <w:t>mg/L</w:t>
                  </w:r>
                </w:p>
              </w:tc>
              <w:tc>
                <w:tcPr>
                  <w:tcW w:w="804" w:type="pct"/>
                  <w:vAlign w:val="center"/>
                </w:tcPr>
                <w:p>
                  <w:pPr>
                    <w:autoSpaceDE w:val="0"/>
                    <w:autoSpaceDN w:val="0"/>
                    <w:jc w:val="center"/>
                    <w:rPr>
                      <w:szCs w:val="21"/>
                      <w:highlight w:val="none"/>
                    </w:rPr>
                  </w:pPr>
                  <w:r>
                    <w:rPr>
                      <w:szCs w:val="21"/>
                      <w:highlight w:val="none"/>
                    </w:rPr>
                    <w:t>1.5（3.0）*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14" w:type="pct"/>
                  <w:vMerge w:val="continue"/>
                  <w:vAlign w:val="center"/>
                </w:tcPr>
                <w:p>
                  <w:pPr>
                    <w:autoSpaceDE w:val="0"/>
                    <w:autoSpaceDN w:val="0"/>
                    <w:jc w:val="center"/>
                    <w:rPr>
                      <w:szCs w:val="21"/>
                      <w:highlight w:val="none"/>
                    </w:rPr>
                  </w:pPr>
                </w:p>
              </w:tc>
              <w:tc>
                <w:tcPr>
                  <w:tcW w:w="1512" w:type="pct"/>
                  <w:vMerge w:val="continue"/>
                  <w:vAlign w:val="center"/>
                </w:tcPr>
                <w:p>
                  <w:pPr>
                    <w:autoSpaceDE w:val="0"/>
                    <w:autoSpaceDN w:val="0"/>
                    <w:jc w:val="center"/>
                    <w:rPr>
                      <w:szCs w:val="21"/>
                      <w:highlight w:val="none"/>
                    </w:rPr>
                  </w:pPr>
                </w:p>
              </w:tc>
              <w:tc>
                <w:tcPr>
                  <w:tcW w:w="806" w:type="pct"/>
                  <w:vMerge w:val="continue"/>
                  <w:vAlign w:val="center"/>
                </w:tcPr>
                <w:p>
                  <w:pPr>
                    <w:autoSpaceDE w:val="0"/>
                    <w:autoSpaceDN w:val="0"/>
                    <w:jc w:val="center"/>
                    <w:rPr>
                      <w:szCs w:val="21"/>
                      <w:highlight w:val="none"/>
                    </w:rPr>
                  </w:pPr>
                </w:p>
              </w:tc>
              <w:tc>
                <w:tcPr>
                  <w:tcW w:w="625" w:type="pct"/>
                  <w:vAlign w:val="center"/>
                </w:tcPr>
                <w:p>
                  <w:pPr>
                    <w:autoSpaceDE w:val="0"/>
                    <w:autoSpaceDN w:val="0"/>
                    <w:jc w:val="center"/>
                    <w:rPr>
                      <w:szCs w:val="21"/>
                      <w:highlight w:val="none"/>
                    </w:rPr>
                  </w:pPr>
                  <w:r>
                    <w:rPr>
                      <w:rFonts w:hint="eastAsia"/>
                      <w:szCs w:val="21"/>
                      <w:highlight w:val="none"/>
                    </w:rPr>
                    <w:t>总氮</w:t>
                  </w:r>
                </w:p>
              </w:tc>
              <w:tc>
                <w:tcPr>
                  <w:tcW w:w="537" w:type="pct"/>
                  <w:vAlign w:val="center"/>
                </w:tcPr>
                <w:p>
                  <w:pPr>
                    <w:autoSpaceDE w:val="0"/>
                    <w:autoSpaceDN w:val="0"/>
                    <w:jc w:val="center"/>
                    <w:rPr>
                      <w:szCs w:val="21"/>
                      <w:highlight w:val="none"/>
                    </w:rPr>
                  </w:pPr>
                  <w:r>
                    <w:rPr>
                      <w:szCs w:val="21"/>
                      <w:highlight w:val="none"/>
                    </w:rPr>
                    <w:t>mg/L</w:t>
                  </w:r>
                </w:p>
              </w:tc>
              <w:tc>
                <w:tcPr>
                  <w:tcW w:w="804" w:type="pct"/>
                  <w:vAlign w:val="center"/>
                </w:tcPr>
                <w:p>
                  <w:pPr>
                    <w:autoSpaceDE w:val="0"/>
                    <w:autoSpaceDN w:val="0"/>
                    <w:jc w:val="center"/>
                    <w:rPr>
                      <w:szCs w:val="21"/>
                      <w:highlight w:val="none"/>
                    </w:rPr>
                  </w:pPr>
                  <w:r>
                    <w:rPr>
                      <w:rFonts w:hint="eastAsia"/>
                      <w:szCs w:val="21"/>
                      <w:highlight w:val="none"/>
                    </w:rPr>
                    <w:t>1</w:t>
                  </w:r>
                  <w:r>
                    <w:rPr>
                      <w:szCs w:val="21"/>
                      <w:highlight w:val="none"/>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14" w:type="pct"/>
                  <w:vMerge w:val="continue"/>
                  <w:vAlign w:val="center"/>
                </w:tcPr>
                <w:p>
                  <w:pPr>
                    <w:autoSpaceDE w:val="0"/>
                    <w:autoSpaceDN w:val="0"/>
                    <w:jc w:val="center"/>
                    <w:rPr>
                      <w:szCs w:val="21"/>
                      <w:highlight w:val="none"/>
                    </w:rPr>
                  </w:pPr>
                </w:p>
              </w:tc>
              <w:tc>
                <w:tcPr>
                  <w:tcW w:w="1512" w:type="pct"/>
                  <w:vMerge w:val="continue"/>
                  <w:vAlign w:val="center"/>
                </w:tcPr>
                <w:p>
                  <w:pPr>
                    <w:autoSpaceDE w:val="0"/>
                    <w:autoSpaceDN w:val="0"/>
                    <w:jc w:val="center"/>
                    <w:rPr>
                      <w:szCs w:val="21"/>
                      <w:highlight w:val="none"/>
                    </w:rPr>
                  </w:pPr>
                </w:p>
              </w:tc>
              <w:tc>
                <w:tcPr>
                  <w:tcW w:w="806" w:type="pct"/>
                  <w:vMerge w:val="continue"/>
                  <w:vAlign w:val="center"/>
                </w:tcPr>
                <w:p>
                  <w:pPr>
                    <w:autoSpaceDE w:val="0"/>
                    <w:autoSpaceDN w:val="0"/>
                    <w:jc w:val="center"/>
                    <w:rPr>
                      <w:szCs w:val="21"/>
                      <w:highlight w:val="none"/>
                    </w:rPr>
                  </w:pPr>
                </w:p>
              </w:tc>
              <w:tc>
                <w:tcPr>
                  <w:tcW w:w="625" w:type="pct"/>
                  <w:vAlign w:val="center"/>
                </w:tcPr>
                <w:p>
                  <w:pPr>
                    <w:autoSpaceDE w:val="0"/>
                    <w:autoSpaceDN w:val="0"/>
                    <w:jc w:val="center"/>
                    <w:rPr>
                      <w:szCs w:val="21"/>
                      <w:highlight w:val="none"/>
                    </w:rPr>
                  </w:pPr>
                  <w:r>
                    <w:rPr>
                      <w:szCs w:val="21"/>
                      <w:highlight w:val="none"/>
                    </w:rPr>
                    <w:t>总磷</w:t>
                  </w:r>
                </w:p>
              </w:tc>
              <w:tc>
                <w:tcPr>
                  <w:tcW w:w="537" w:type="pct"/>
                  <w:vAlign w:val="center"/>
                </w:tcPr>
                <w:p>
                  <w:pPr>
                    <w:autoSpaceDE w:val="0"/>
                    <w:autoSpaceDN w:val="0"/>
                    <w:jc w:val="center"/>
                    <w:rPr>
                      <w:szCs w:val="21"/>
                      <w:highlight w:val="none"/>
                    </w:rPr>
                  </w:pPr>
                  <w:r>
                    <w:rPr>
                      <w:szCs w:val="21"/>
                      <w:highlight w:val="none"/>
                    </w:rPr>
                    <w:t>mg/L</w:t>
                  </w:r>
                </w:p>
              </w:tc>
              <w:tc>
                <w:tcPr>
                  <w:tcW w:w="804" w:type="pct"/>
                  <w:vAlign w:val="center"/>
                </w:tcPr>
                <w:p>
                  <w:pPr>
                    <w:autoSpaceDE w:val="0"/>
                    <w:autoSpaceDN w:val="0"/>
                    <w:jc w:val="center"/>
                    <w:rPr>
                      <w:szCs w:val="21"/>
                      <w:highlight w:val="none"/>
                    </w:rPr>
                  </w:pPr>
                  <w:r>
                    <w:rPr>
                      <w:szCs w:val="21"/>
                      <w:highlight w:val="none"/>
                    </w:rPr>
                    <w:t>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20" w:hRule="atLeast"/>
                <w:jc w:val="center"/>
              </w:trPr>
              <w:tc>
                <w:tcPr>
                  <w:tcW w:w="714" w:type="pct"/>
                  <w:vMerge w:val="continue"/>
                  <w:vAlign w:val="center"/>
                </w:tcPr>
                <w:p>
                  <w:pPr>
                    <w:autoSpaceDE w:val="0"/>
                    <w:autoSpaceDN w:val="0"/>
                    <w:jc w:val="center"/>
                    <w:rPr>
                      <w:szCs w:val="21"/>
                      <w:highlight w:val="none"/>
                    </w:rPr>
                  </w:pPr>
                </w:p>
              </w:tc>
              <w:tc>
                <w:tcPr>
                  <w:tcW w:w="1512" w:type="pct"/>
                  <w:vMerge w:val="restart"/>
                  <w:vAlign w:val="center"/>
                </w:tcPr>
                <w:p>
                  <w:pPr>
                    <w:autoSpaceDE w:val="0"/>
                    <w:autoSpaceDN w:val="0"/>
                    <w:jc w:val="center"/>
                    <w:rPr>
                      <w:szCs w:val="21"/>
                      <w:highlight w:val="none"/>
                    </w:rPr>
                  </w:pPr>
                  <w:r>
                    <w:rPr>
                      <w:szCs w:val="21"/>
                      <w:highlight w:val="none"/>
                    </w:rPr>
                    <w:t>《城镇污水处理厂污染物排放限值》(GB18918-2002)</w:t>
                  </w:r>
                </w:p>
              </w:tc>
              <w:tc>
                <w:tcPr>
                  <w:tcW w:w="806" w:type="pct"/>
                  <w:vMerge w:val="restart"/>
                  <w:vAlign w:val="center"/>
                </w:tcPr>
                <w:p>
                  <w:pPr>
                    <w:autoSpaceDE w:val="0"/>
                    <w:autoSpaceDN w:val="0"/>
                    <w:jc w:val="center"/>
                    <w:rPr>
                      <w:szCs w:val="21"/>
                      <w:highlight w:val="none"/>
                    </w:rPr>
                  </w:pPr>
                  <w:r>
                    <w:rPr>
                      <w:szCs w:val="21"/>
                      <w:highlight w:val="none"/>
                    </w:rPr>
                    <w:t>表1 一级</w:t>
                  </w:r>
                </w:p>
                <w:p>
                  <w:pPr>
                    <w:autoSpaceDE w:val="0"/>
                    <w:autoSpaceDN w:val="0"/>
                    <w:jc w:val="center"/>
                    <w:rPr>
                      <w:szCs w:val="21"/>
                      <w:highlight w:val="none"/>
                    </w:rPr>
                  </w:pPr>
                  <w:r>
                    <w:rPr>
                      <w:szCs w:val="21"/>
                      <w:highlight w:val="none"/>
                    </w:rPr>
                    <w:t>A标准</w:t>
                  </w:r>
                </w:p>
              </w:tc>
              <w:tc>
                <w:tcPr>
                  <w:tcW w:w="625" w:type="pct"/>
                  <w:vAlign w:val="center"/>
                </w:tcPr>
                <w:p>
                  <w:pPr>
                    <w:autoSpaceDE w:val="0"/>
                    <w:autoSpaceDN w:val="0"/>
                    <w:jc w:val="center"/>
                    <w:rPr>
                      <w:szCs w:val="21"/>
                      <w:highlight w:val="none"/>
                    </w:rPr>
                  </w:pPr>
                  <w:r>
                    <w:rPr>
                      <w:szCs w:val="21"/>
                      <w:highlight w:val="none"/>
                    </w:rPr>
                    <w:t>pH</w:t>
                  </w:r>
                </w:p>
              </w:tc>
              <w:tc>
                <w:tcPr>
                  <w:tcW w:w="537" w:type="pct"/>
                  <w:vAlign w:val="center"/>
                </w:tcPr>
                <w:p>
                  <w:pPr>
                    <w:autoSpaceDE w:val="0"/>
                    <w:autoSpaceDN w:val="0"/>
                    <w:jc w:val="center"/>
                    <w:rPr>
                      <w:szCs w:val="21"/>
                      <w:highlight w:val="none"/>
                    </w:rPr>
                  </w:pPr>
                  <w:r>
                    <w:rPr>
                      <w:szCs w:val="21"/>
                      <w:highlight w:val="none"/>
                    </w:rPr>
                    <w:t>/</w:t>
                  </w:r>
                </w:p>
              </w:tc>
              <w:tc>
                <w:tcPr>
                  <w:tcW w:w="804" w:type="pct"/>
                  <w:vAlign w:val="center"/>
                </w:tcPr>
                <w:p>
                  <w:pPr>
                    <w:autoSpaceDE w:val="0"/>
                    <w:autoSpaceDN w:val="0"/>
                    <w:jc w:val="center"/>
                    <w:rPr>
                      <w:szCs w:val="21"/>
                      <w:highlight w:val="none"/>
                    </w:rPr>
                  </w:pPr>
                  <w:r>
                    <w:rPr>
                      <w:szCs w:val="21"/>
                      <w:highlight w:val="none"/>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14" w:type="pct"/>
                  <w:vMerge w:val="continue"/>
                  <w:vAlign w:val="center"/>
                </w:tcPr>
                <w:p>
                  <w:pPr>
                    <w:autoSpaceDE w:val="0"/>
                    <w:autoSpaceDN w:val="0"/>
                    <w:jc w:val="center"/>
                    <w:rPr>
                      <w:szCs w:val="21"/>
                      <w:highlight w:val="none"/>
                    </w:rPr>
                  </w:pPr>
                </w:p>
              </w:tc>
              <w:tc>
                <w:tcPr>
                  <w:tcW w:w="1512" w:type="pct"/>
                  <w:vMerge w:val="continue"/>
                  <w:vAlign w:val="center"/>
                </w:tcPr>
                <w:p>
                  <w:pPr>
                    <w:autoSpaceDE w:val="0"/>
                    <w:autoSpaceDN w:val="0"/>
                    <w:jc w:val="center"/>
                    <w:rPr>
                      <w:szCs w:val="21"/>
                      <w:highlight w:val="none"/>
                    </w:rPr>
                  </w:pPr>
                </w:p>
              </w:tc>
              <w:tc>
                <w:tcPr>
                  <w:tcW w:w="806" w:type="pct"/>
                  <w:vMerge w:val="continue"/>
                  <w:vAlign w:val="center"/>
                </w:tcPr>
                <w:p>
                  <w:pPr>
                    <w:autoSpaceDE w:val="0"/>
                    <w:autoSpaceDN w:val="0"/>
                    <w:jc w:val="center"/>
                    <w:rPr>
                      <w:szCs w:val="21"/>
                      <w:highlight w:val="none"/>
                    </w:rPr>
                  </w:pPr>
                </w:p>
              </w:tc>
              <w:tc>
                <w:tcPr>
                  <w:tcW w:w="625" w:type="pct"/>
                  <w:vAlign w:val="center"/>
                </w:tcPr>
                <w:p>
                  <w:pPr>
                    <w:autoSpaceDE w:val="0"/>
                    <w:autoSpaceDN w:val="0"/>
                    <w:jc w:val="center"/>
                    <w:rPr>
                      <w:szCs w:val="21"/>
                      <w:highlight w:val="none"/>
                    </w:rPr>
                  </w:pPr>
                  <w:r>
                    <w:rPr>
                      <w:szCs w:val="21"/>
                      <w:highlight w:val="none"/>
                    </w:rPr>
                    <w:t>SS</w:t>
                  </w:r>
                </w:p>
              </w:tc>
              <w:tc>
                <w:tcPr>
                  <w:tcW w:w="537" w:type="pct"/>
                  <w:vAlign w:val="center"/>
                </w:tcPr>
                <w:p>
                  <w:pPr>
                    <w:autoSpaceDE w:val="0"/>
                    <w:autoSpaceDN w:val="0"/>
                    <w:jc w:val="center"/>
                    <w:rPr>
                      <w:szCs w:val="21"/>
                      <w:highlight w:val="none"/>
                    </w:rPr>
                  </w:pPr>
                  <w:r>
                    <w:rPr>
                      <w:szCs w:val="21"/>
                      <w:highlight w:val="none"/>
                    </w:rPr>
                    <w:t>mg/L</w:t>
                  </w:r>
                </w:p>
              </w:tc>
              <w:tc>
                <w:tcPr>
                  <w:tcW w:w="804" w:type="pct"/>
                  <w:vAlign w:val="center"/>
                </w:tcPr>
                <w:p>
                  <w:pPr>
                    <w:autoSpaceDE w:val="0"/>
                    <w:autoSpaceDN w:val="0"/>
                    <w:jc w:val="center"/>
                    <w:rPr>
                      <w:szCs w:val="21"/>
                      <w:highlight w:val="none"/>
                    </w:rPr>
                  </w:pPr>
                  <w:r>
                    <w:rPr>
                      <w:szCs w:val="21"/>
                      <w:highlight w:val="none"/>
                    </w:rPr>
                    <w:t>10</w:t>
                  </w:r>
                </w:p>
              </w:tc>
            </w:tr>
          </w:tbl>
          <w:p>
            <w:pPr>
              <w:snapToGrid w:val="0"/>
              <w:rPr>
                <w:kern w:val="21"/>
                <w:sz w:val="24"/>
                <w:highlight w:val="yellow"/>
              </w:rPr>
            </w:pPr>
            <w:r>
              <w:rPr>
                <w:kern w:val="21"/>
                <w:sz w:val="24"/>
                <w:highlight w:val="none"/>
              </w:rPr>
              <w:t>注：括号外数值为水温＞12℃时的控制指标，括号内数值为水温≤12℃时的控制指标。</w:t>
            </w:r>
          </w:p>
          <w:p>
            <w:pPr>
              <w:autoSpaceDE w:val="0"/>
              <w:autoSpaceDN w:val="0"/>
              <w:adjustRightInd w:val="0"/>
              <w:snapToGrid w:val="0"/>
              <w:spacing w:line="360" w:lineRule="auto"/>
              <w:ind w:firstLine="482" w:firstLineChars="200"/>
              <w:rPr>
                <w:b/>
                <w:bCs/>
                <w:sz w:val="24"/>
                <w:highlight w:val="none"/>
              </w:rPr>
            </w:pPr>
            <w:r>
              <w:rPr>
                <w:b/>
                <w:bCs/>
                <w:sz w:val="24"/>
                <w:highlight w:val="none"/>
              </w:rPr>
              <w:t>2、废气排放标准</w:t>
            </w:r>
          </w:p>
          <w:p>
            <w:pPr>
              <w:autoSpaceDE w:val="0"/>
              <w:autoSpaceDN w:val="0"/>
              <w:adjustRightInd w:val="0"/>
              <w:snapToGrid w:val="0"/>
              <w:spacing w:line="360" w:lineRule="auto"/>
              <w:ind w:firstLine="480" w:firstLineChars="200"/>
              <w:rPr>
                <w:sz w:val="24"/>
                <w:highlight w:val="none"/>
              </w:rPr>
            </w:pPr>
            <w:r>
              <w:rPr>
                <w:rFonts w:hint="eastAsia"/>
                <w:sz w:val="24"/>
                <w:highlight w:val="none"/>
              </w:rPr>
              <w:t>本项目生产过程中产生的</w:t>
            </w:r>
            <w:r>
              <w:rPr>
                <w:rFonts w:hint="eastAsia"/>
                <w:sz w:val="24"/>
                <w:highlight w:val="none"/>
                <w:lang w:eastAsia="zh-CN"/>
              </w:rPr>
              <w:t>有</w:t>
            </w:r>
            <w:r>
              <w:rPr>
                <w:rFonts w:hint="eastAsia"/>
                <w:sz w:val="24"/>
                <w:highlight w:val="none"/>
              </w:rPr>
              <w:t>组织非甲烷总烃、</w:t>
            </w:r>
            <w:r>
              <w:rPr>
                <w:rFonts w:hint="eastAsia"/>
                <w:sz w:val="24"/>
                <w:highlight w:val="none"/>
                <w:lang w:eastAsia="zh-CN"/>
              </w:rPr>
              <w:t>苯乙烯、丙烯腈、颗粒物</w:t>
            </w:r>
            <w:r>
              <w:rPr>
                <w:rFonts w:hint="eastAsia"/>
                <w:sz w:val="24"/>
                <w:highlight w:val="none"/>
              </w:rPr>
              <w:t>执行江苏省地方标准《大气污染物综合排放标准》（DB32-4041-2021）表1标准限值。具体排放标准见下表。</w:t>
            </w:r>
            <w:r>
              <w:rPr>
                <w:sz w:val="24"/>
                <w:highlight w:val="none"/>
              </w:rPr>
              <w:t>相关标准限值见表</w:t>
            </w:r>
            <w:r>
              <w:rPr>
                <w:rFonts w:hint="eastAsia"/>
                <w:sz w:val="24"/>
                <w:highlight w:val="none"/>
              </w:rPr>
              <w:t>3-</w:t>
            </w:r>
            <w:r>
              <w:rPr>
                <w:sz w:val="24"/>
                <w:highlight w:val="none"/>
              </w:rPr>
              <w:t>6。</w:t>
            </w:r>
          </w:p>
          <w:p>
            <w:pPr>
              <w:widowControl/>
              <w:jc w:val="center"/>
              <w:rPr>
                <w:b/>
                <w:sz w:val="24"/>
                <w:highlight w:val="none"/>
              </w:rPr>
            </w:pPr>
            <w:r>
              <w:rPr>
                <w:b/>
                <w:sz w:val="24"/>
                <w:highlight w:val="none"/>
              </w:rPr>
              <w:t>表</w:t>
            </w:r>
            <w:r>
              <w:rPr>
                <w:rFonts w:hint="eastAsia"/>
                <w:b/>
                <w:sz w:val="24"/>
                <w:highlight w:val="none"/>
              </w:rPr>
              <w:t>3-</w:t>
            </w:r>
            <w:r>
              <w:rPr>
                <w:b/>
                <w:sz w:val="24"/>
                <w:highlight w:val="none"/>
              </w:rPr>
              <w:t xml:space="preserve">6  废气污染物排放浓度限值表 </w:t>
            </w:r>
          </w:p>
          <w:tbl>
            <w:tblPr>
              <w:tblStyle w:val="22"/>
              <w:tblW w:w="7762"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1776"/>
              <w:gridCol w:w="1079"/>
              <w:gridCol w:w="559"/>
              <w:gridCol w:w="624"/>
              <w:gridCol w:w="1040"/>
              <w:gridCol w:w="2684"/>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474" w:hRule="atLeast"/>
                <w:jc w:val="center"/>
              </w:trPr>
              <w:tc>
                <w:tcPr>
                  <w:tcW w:w="1776" w:type="dxa"/>
                  <w:vMerge w:val="restart"/>
                  <w:noWrap w:val="0"/>
                  <w:vAlign w:val="center"/>
                </w:tcPr>
                <w:p>
                  <w:pPr>
                    <w:autoSpaceDE w:val="0"/>
                    <w:autoSpaceDN w:val="0"/>
                    <w:jc w:val="center"/>
                    <w:rPr>
                      <w:rFonts w:hint="eastAsia"/>
                      <w:b/>
                      <w:bCs/>
                      <w:szCs w:val="21"/>
                      <w:highlight w:val="none"/>
                      <w:lang w:val="en-US" w:eastAsia="zh-CN"/>
                    </w:rPr>
                  </w:pPr>
                  <w:r>
                    <w:rPr>
                      <w:rFonts w:hint="eastAsia"/>
                      <w:b/>
                      <w:bCs/>
                      <w:szCs w:val="21"/>
                      <w:highlight w:val="none"/>
                      <w:lang w:val="en-US" w:eastAsia="zh-CN"/>
                    </w:rPr>
                    <w:t>污染物</w:t>
                  </w:r>
                </w:p>
                <w:p>
                  <w:pPr>
                    <w:autoSpaceDE w:val="0"/>
                    <w:autoSpaceDN w:val="0"/>
                    <w:jc w:val="center"/>
                    <w:rPr>
                      <w:rFonts w:hint="eastAsia"/>
                      <w:b/>
                      <w:bCs/>
                      <w:szCs w:val="21"/>
                      <w:highlight w:val="none"/>
                      <w:lang w:val="en-US" w:eastAsia="zh-CN"/>
                    </w:rPr>
                  </w:pPr>
                  <w:r>
                    <w:rPr>
                      <w:rFonts w:hint="eastAsia"/>
                      <w:b/>
                      <w:bCs/>
                      <w:szCs w:val="21"/>
                      <w:highlight w:val="none"/>
                      <w:lang w:val="en-US" w:eastAsia="zh-CN"/>
                    </w:rPr>
                    <w:t>名称</w:t>
                  </w:r>
                </w:p>
              </w:tc>
              <w:tc>
                <w:tcPr>
                  <w:tcW w:w="1079" w:type="dxa"/>
                  <w:vMerge w:val="restart"/>
                  <w:noWrap w:val="0"/>
                  <w:vAlign w:val="center"/>
                </w:tcPr>
                <w:p>
                  <w:pPr>
                    <w:autoSpaceDE w:val="0"/>
                    <w:autoSpaceDN w:val="0"/>
                    <w:jc w:val="center"/>
                    <w:rPr>
                      <w:rFonts w:hint="eastAsia"/>
                      <w:b/>
                      <w:bCs/>
                      <w:szCs w:val="21"/>
                      <w:highlight w:val="none"/>
                      <w:lang w:val="en-US" w:eastAsia="zh-CN"/>
                    </w:rPr>
                  </w:pPr>
                  <w:r>
                    <w:rPr>
                      <w:rFonts w:hint="eastAsia"/>
                      <w:b/>
                      <w:bCs/>
                      <w:szCs w:val="21"/>
                      <w:highlight w:val="none"/>
                      <w:lang w:val="en-US" w:eastAsia="zh-CN"/>
                    </w:rPr>
                    <w:t>最高允许排放浓度(mg/m3)</w:t>
                  </w:r>
                </w:p>
              </w:tc>
              <w:tc>
                <w:tcPr>
                  <w:tcW w:w="559" w:type="dxa"/>
                  <w:vMerge w:val="restart"/>
                  <w:noWrap w:val="0"/>
                  <w:vAlign w:val="center"/>
                </w:tcPr>
                <w:p>
                  <w:pPr>
                    <w:autoSpaceDE w:val="0"/>
                    <w:autoSpaceDN w:val="0"/>
                    <w:jc w:val="center"/>
                    <w:rPr>
                      <w:rFonts w:hint="eastAsia"/>
                      <w:b/>
                      <w:bCs/>
                      <w:szCs w:val="21"/>
                      <w:highlight w:val="none"/>
                      <w:lang w:val="en-US" w:eastAsia="zh-CN"/>
                    </w:rPr>
                  </w:pPr>
                  <w:r>
                    <w:rPr>
                      <w:rFonts w:hint="eastAsia"/>
                      <w:b/>
                      <w:bCs/>
                      <w:szCs w:val="21"/>
                      <w:highlight w:val="none"/>
                      <w:lang w:val="en-US" w:eastAsia="zh-CN"/>
                    </w:rPr>
                    <w:t>排气筒高度(m)</w:t>
                  </w:r>
                </w:p>
              </w:tc>
              <w:tc>
                <w:tcPr>
                  <w:tcW w:w="624" w:type="dxa"/>
                  <w:vMerge w:val="restart"/>
                  <w:noWrap w:val="0"/>
                  <w:vAlign w:val="center"/>
                </w:tcPr>
                <w:p>
                  <w:pPr>
                    <w:autoSpaceDE w:val="0"/>
                    <w:autoSpaceDN w:val="0"/>
                    <w:jc w:val="center"/>
                    <w:rPr>
                      <w:rFonts w:hint="eastAsia"/>
                      <w:b/>
                      <w:bCs/>
                      <w:szCs w:val="21"/>
                      <w:highlight w:val="none"/>
                      <w:lang w:val="en-US" w:eastAsia="zh-CN"/>
                    </w:rPr>
                  </w:pPr>
                  <w:r>
                    <w:rPr>
                      <w:rFonts w:hint="eastAsia"/>
                      <w:b/>
                      <w:bCs/>
                      <w:szCs w:val="21"/>
                      <w:highlight w:val="none"/>
                      <w:lang w:val="en-US" w:eastAsia="zh-CN"/>
                    </w:rPr>
                    <w:t>最高允许排放</w:t>
                  </w:r>
                </w:p>
                <w:p>
                  <w:pPr>
                    <w:autoSpaceDE w:val="0"/>
                    <w:autoSpaceDN w:val="0"/>
                    <w:jc w:val="center"/>
                    <w:rPr>
                      <w:rFonts w:hint="eastAsia"/>
                      <w:b/>
                      <w:bCs/>
                      <w:szCs w:val="21"/>
                      <w:highlight w:val="none"/>
                      <w:lang w:val="en-US" w:eastAsia="zh-CN"/>
                    </w:rPr>
                  </w:pPr>
                  <w:r>
                    <w:rPr>
                      <w:rFonts w:hint="eastAsia"/>
                      <w:b/>
                      <w:bCs/>
                      <w:szCs w:val="21"/>
                      <w:highlight w:val="none"/>
                      <w:lang w:val="en-US" w:eastAsia="zh-CN"/>
                    </w:rPr>
                    <w:t>速率(kg/h)</w:t>
                  </w:r>
                </w:p>
              </w:tc>
              <w:tc>
                <w:tcPr>
                  <w:tcW w:w="1040" w:type="dxa"/>
                  <w:vMerge w:val="restart"/>
                  <w:noWrap w:val="0"/>
                  <w:vAlign w:val="center"/>
                </w:tcPr>
                <w:p>
                  <w:pPr>
                    <w:autoSpaceDE w:val="0"/>
                    <w:autoSpaceDN w:val="0"/>
                    <w:jc w:val="center"/>
                    <w:rPr>
                      <w:rFonts w:hint="eastAsia"/>
                      <w:b/>
                      <w:bCs/>
                      <w:szCs w:val="21"/>
                      <w:highlight w:val="none"/>
                      <w:lang w:val="en-US" w:eastAsia="zh-CN"/>
                    </w:rPr>
                  </w:pPr>
                  <w:r>
                    <w:rPr>
                      <w:rFonts w:hint="eastAsia"/>
                      <w:b/>
                      <w:bCs/>
                      <w:szCs w:val="21"/>
                      <w:highlight w:val="none"/>
                      <w:lang w:val="en-US" w:eastAsia="zh-CN"/>
                    </w:rPr>
                    <w:t>单位产品非甲烷总烃排放量（kg/t产品）</w:t>
                  </w:r>
                </w:p>
              </w:tc>
              <w:tc>
                <w:tcPr>
                  <w:tcW w:w="2684" w:type="dxa"/>
                  <w:vMerge w:val="restart"/>
                  <w:noWrap w:val="0"/>
                  <w:vAlign w:val="center"/>
                </w:tcPr>
                <w:p>
                  <w:pPr>
                    <w:autoSpaceDE w:val="0"/>
                    <w:autoSpaceDN w:val="0"/>
                    <w:jc w:val="center"/>
                    <w:rPr>
                      <w:rFonts w:hint="eastAsia"/>
                      <w:b/>
                      <w:bCs/>
                      <w:szCs w:val="21"/>
                      <w:highlight w:val="none"/>
                      <w:lang w:val="en-US" w:eastAsia="zh-CN"/>
                    </w:rPr>
                  </w:pPr>
                  <w:r>
                    <w:rPr>
                      <w:rFonts w:hint="eastAsia"/>
                      <w:b/>
                      <w:bCs/>
                      <w:szCs w:val="21"/>
                      <w:highlight w:val="none"/>
                      <w:lang w:val="en-US" w:eastAsia="zh-CN"/>
                    </w:rPr>
                    <w:t>标准来源</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445" w:hRule="atLeast"/>
                <w:jc w:val="center"/>
              </w:trPr>
              <w:tc>
                <w:tcPr>
                  <w:tcW w:w="1776" w:type="dxa"/>
                  <w:vMerge w:val="continue"/>
                  <w:noWrap w:val="0"/>
                  <w:vAlign w:val="center"/>
                </w:tcPr>
                <w:p>
                  <w:pPr>
                    <w:autoSpaceDE w:val="0"/>
                    <w:autoSpaceDN w:val="0"/>
                    <w:jc w:val="center"/>
                    <w:rPr>
                      <w:rFonts w:hint="eastAsia"/>
                      <w:szCs w:val="21"/>
                      <w:highlight w:val="none"/>
                      <w:lang w:val="en-US" w:eastAsia="zh-CN"/>
                    </w:rPr>
                  </w:pPr>
                </w:p>
              </w:tc>
              <w:tc>
                <w:tcPr>
                  <w:tcW w:w="1079" w:type="dxa"/>
                  <w:vMerge w:val="continue"/>
                  <w:noWrap w:val="0"/>
                  <w:vAlign w:val="center"/>
                </w:tcPr>
                <w:p>
                  <w:pPr>
                    <w:autoSpaceDE w:val="0"/>
                    <w:autoSpaceDN w:val="0"/>
                    <w:jc w:val="center"/>
                    <w:rPr>
                      <w:rFonts w:hint="eastAsia"/>
                      <w:szCs w:val="21"/>
                      <w:highlight w:val="none"/>
                      <w:lang w:val="en-US" w:eastAsia="zh-CN"/>
                    </w:rPr>
                  </w:pPr>
                </w:p>
              </w:tc>
              <w:tc>
                <w:tcPr>
                  <w:tcW w:w="559" w:type="dxa"/>
                  <w:vMerge w:val="continue"/>
                  <w:noWrap w:val="0"/>
                  <w:vAlign w:val="center"/>
                </w:tcPr>
                <w:p>
                  <w:pPr>
                    <w:autoSpaceDE w:val="0"/>
                    <w:autoSpaceDN w:val="0"/>
                    <w:jc w:val="center"/>
                    <w:rPr>
                      <w:rFonts w:hint="eastAsia"/>
                      <w:szCs w:val="21"/>
                      <w:highlight w:val="none"/>
                      <w:lang w:val="en-US" w:eastAsia="zh-CN"/>
                    </w:rPr>
                  </w:pPr>
                </w:p>
              </w:tc>
              <w:tc>
                <w:tcPr>
                  <w:tcW w:w="624" w:type="dxa"/>
                  <w:vMerge w:val="continue"/>
                  <w:noWrap w:val="0"/>
                  <w:vAlign w:val="center"/>
                </w:tcPr>
                <w:p>
                  <w:pPr>
                    <w:autoSpaceDE w:val="0"/>
                    <w:autoSpaceDN w:val="0"/>
                    <w:jc w:val="center"/>
                    <w:rPr>
                      <w:rFonts w:hint="eastAsia"/>
                      <w:szCs w:val="21"/>
                      <w:highlight w:val="none"/>
                      <w:lang w:val="en-US" w:eastAsia="zh-CN"/>
                    </w:rPr>
                  </w:pPr>
                </w:p>
              </w:tc>
              <w:tc>
                <w:tcPr>
                  <w:tcW w:w="1040" w:type="dxa"/>
                  <w:vMerge w:val="continue"/>
                  <w:noWrap w:val="0"/>
                  <w:vAlign w:val="center"/>
                </w:tcPr>
                <w:p>
                  <w:pPr>
                    <w:autoSpaceDE w:val="0"/>
                    <w:autoSpaceDN w:val="0"/>
                    <w:jc w:val="center"/>
                    <w:rPr>
                      <w:rFonts w:hint="eastAsia"/>
                      <w:szCs w:val="21"/>
                      <w:highlight w:val="none"/>
                      <w:lang w:val="en-US" w:eastAsia="zh-CN"/>
                    </w:rPr>
                  </w:pPr>
                </w:p>
              </w:tc>
              <w:tc>
                <w:tcPr>
                  <w:tcW w:w="2684" w:type="dxa"/>
                  <w:vMerge w:val="continue"/>
                  <w:noWrap w:val="0"/>
                  <w:vAlign w:val="center"/>
                </w:tcPr>
                <w:p>
                  <w:pPr>
                    <w:autoSpaceDE w:val="0"/>
                    <w:autoSpaceDN w:val="0"/>
                    <w:jc w:val="center"/>
                    <w:rPr>
                      <w:rFonts w:hint="eastAsia"/>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1134" w:hRule="atLeast"/>
                <w:jc w:val="center"/>
              </w:trPr>
              <w:tc>
                <w:tcPr>
                  <w:tcW w:w="1776" w:type="dxa"/>
                  <w:noWrap w:val="0"/>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非甲烷总烃</w:t>
                  </w:r>
                </w:p>
              </w:tc>
              <w:tc>
                <w:tcPr>
                  <w:tcW w:w="1079" w:type="dxa"/>
                  <w:noWrap w:val="0"/>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60</w:t>
                  </w:r>
                </w:p>
              </w:tc>
              <w:tc>
                <w:tcPr>
                  <w:tcW w:w="559" w:type="dxa"/>
                  <w:noWrap w:val="0"/>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15</w:t>
                  </w:r>
                </w:p>
              </w:tc>
              <w:tc>
                <w:tcPr>
                  <w:tcW w:w="624" w:type="dxa"/>
                  <w:noWrap w:val="0"/>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3</w:t>
                  </w:r>
                </w:p>
              </w:tc>
              <w:tc>
                <w:tcPr>
                  <w:tcW w:w="1040" w:type="dxa"/>
                  <w:noWrap w:val="0"/>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0.3</w:t>
                  </w:r>
                </w:p>
              </w:tc>
              <w:tc>
                <w:tcPr>
                  <w:tcW w:w="2684" w:type="dxa"/>
                  <w:noWrap w:val="0"/>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《大气污染物综合排放标准》（DB32-4041-2021）表1标准</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1134" w:hRule="atLeast"/>
                <w:jc w:val="center"/>
              </w:trPr>
              <w:tc>
                <w:tcPr>
                  <w:tcW w:w="1776" w:type="dxa"/>
                  <w:noWrap w:val="0"/>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苯乙烯</w:t>
                  </w:r>
                </w:p>
              </w:tc>
              <w:tc>
                <w:tcPr>
                  <w:tcW w:w="1079" w:type="dxa"/>
                  <w:noWrap w:val="0"/>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25</w:t>
                  </w:r>
                </w:p>
              </w:tc>
              <w:tc>
                <w:tcPr>
                  <w:tcW w:w="559" w:type="dxa"/>
                  <w:noWrap w:val="0"/>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15</w:t>
                  </w:r>
                </w:p>
              </w:tc>
              <w:tc>
                <w:tcPr>
                  <w:tcW w:w="624" w:type="dxa"/>
                  <w:noWrap w:val="0"/>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1.6</w:t>
                  </w:r>
                </w:p>
              </w:tc>
              <w:tc>
                <w:tcPr>
                  <w:tcW w:w="1040" w:type="dxa"/>
                  <w:noWrap w:val="0"/>
                  <w:vAlign w:val="center"/>
                </w:tcPr>
                <w:p>
                  <w:pPr>
                    <w:autoSpaceDE w:val="0"/>
                    <w:autoSpaceDN w:val="0"/>
                    <w:jc w:val="center"/>
                    <w:rPr>
                      <w:rFonts w:hint="eastAsia"/>
                      <w:szCs w:val="21"/>
                      <w:highlight w:val="none"/>
                      <w:lang w:val="en-US" w:eastAsia="zh-CN"/>
                    </w:rPr>
                  </w:pPr>
                </w:p>
              </w:tc>
              <w:tc>
                <w:tcPr>
                  <w:tcW w:w="2684" w:type="dxa"/>
                  <w:noWrap w:val="0"/>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《大气污染物综合排放标准》（DB32-4041-2021）表1标准</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cantSplit/>
                <w:trHeight w:val="1134" w:hRule="atLeast"/>
                <w:jc w:val="center"/>
              </w:trPr>
              <w:tc>
                <w:tcPr>
                  <w:tcW w:w="1776" w:type="dxa"/>
                  <w:noWrap w:val="0"/>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丙烯腈</w:t>
                  </w:r>
                </w:p>
              </w:tc>
              <w:tc>
                <w:tcPr>
                  <w:tcW w:w="1079" w:type="dxa"/>
                  <w:noWrap w:val="0"/>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5</w:t>
                  </w:r>
                </w:p>
              </w:tc>
              <w:tc>
                <w:tcPr>
                  <w:tcW w:w="559" w:type="dxa"/>
                  <w:noWrap w:val="0"/>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15</w:t>
                  </w:r>
                </w:p>
              </w:tc>
              <w:tc>
                <w:tcPr>
                  <w:tcW w:w="624" w:type="dxa"/>
                  <w:noWrap w:val="0"/>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0.3</w:t>
                  </w:r>
                </w:p>
              </w:tc>
              <w:tc>
                <w:tcPr>
                  <w:tcW w:w="1040" w:type="dxa"/>
                  <w:noWrap w:val="0"/>
                  <w:vAlign w:val="center"/>
                </w:tcPr>
                <w:p>
                  <w:pPr>
                    <w:autoSpaceDE w:val="0"/>
                    <w:autoSpaceDN w:val="0"/>
                    <w:jc w:val="center"/>
                    <w:rPr>
                      <w:rFonts w:hint="eastAsia"/>
                      <w:szCs w:val="21"/>
                      <w:highlight w:val="none"/>
                      <w:lang w:val="en-US" w:eastAsia="zh-CN"/>
                    </w:rPr>
                  </w:pPr>
                </w:p>
              </w:tc>
              <w:tc>
                <w:tcPr>
                  <w:tcW w:w="2684" w:type="dxa"/>
                  <w:noWrap w:val="0"/>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《大气污染物综合排放标准》（DB32-4041-2021）表1标准</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1134" w:hRule="atLeast"/>
                <w:jc w:val="center"/>
              </w:trPr>
              <w:tc>
                <w:tcPr>
                  <w:tcW w:w="1776" w:type="dxa"/>
                  <w:noWrap w:val="0"/>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颗粒物</w:t>
                  </w:r>
                </w:p>
              </w:tc>
              <w:tc>
                <w:tcPr>
                  <w:tcW w:w="1079" w:type="dxa"/>
                  <w:noWrap w:val="0"/>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20</w:t>
                  </w:r>
                </w:p>
              </w:tc>
              <w:tc>
                <w:tcPr>
                  <w:tcW w:w="559" w:type="dxa"/>
                  <w:noWrap w:val="0"/>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15</w:t>
                  </w:r>
                </w:p>
              </w:tc>
              <w:tc>
                <w:tcPr>
                  <w:tcW w:w="624" w:type="dxa"/>
                  <w:noWrap w:val="0"/>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w:t>
                  </w:r>
                </w:p>
              </w:tc>
              <w:tc>
                <w:tcPr>
                  <w:tcW w:w="1040" w:type="dxa"/>
                  <w:noWrap w:val="0"/>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w:t>
                  </w:r>
                </w:p>
              </w:tc>
              <w:tc>
                <w:tcPr>
                  <w:tcW w:w="2684" w:type="dxa"/>
                  <w:noWrap w:val="0"/>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《大气污染物综合排放标准》（DB32-4041-2021）表1标准</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467" w:hRule="atLeast"/>
                <w:jc w:val="center"/>
              </w:trPr>
              <w:tc>
                <w:tcPr>
                  <w:tcW w:w="1776" w:type="dxa"/>
                  <w:vMerge w:val="restart"/>
                  <w:noWrap w:val="0"/>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厂区内非甲烷总烃</w:t>
                  </w:r>
                </w:p>
              </w:tc>
              <w:tc>
                <w:tcPr>
                  <w:tcW w:w="1079" w:type="dxa"/>
                  <w:vMerge w:val="restart"/>
                  <w:noWrap w:val="0"/>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在厂房外设置监控点</w:t>
                  </w:r>
                </w:p>
              </w:tc>
              <w:tc>
                <w:tcPr>
                  <w:tcW w:w="2223" w:type="dxa"/>
                  <w:gridSpan w:val="3"/>
                  <w:noWrap w:val="0"/>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6（监控点处1h平均浓度值）</w:t>
                  </w:r>
                </w:p>
              </w:tc>
              <w:tc>
                <w:tcPr>
                  <w:tcW w:w="2684" w:type="dxa"/>
                  <w:vMerge w:val="restart"/>
                  <w:noWrap w:val="0"/>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《大气污染物综合排放标准》（DB32/4041-2021）表2标准</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479" w:hRule="atLeast"/>
                <w:jc w:val="center"/>
              </w:trPr>
              <w:tc>
                <w:tcPr>
                  <w:tcW w:w="1776" w:type="dxa"/>
                  <w:vMerge w:val="continue"/>
                  <w:noWrap w:val="0"/>
                  <w:vAlign w:val="center"/>
                </w:tcPr>
                <w:p>
                  <w:pPr>
                    <w:jc w:val="center"/>
                    <w:rPr>
                      <w:szCs w:val="21"/>
                      <w:highlight w:val="green"/>
                    </w:rPr>
                  </w:pPr>
                  <w:r>
                    <w:rPr>
                      <w:rFonts w:hint="eastAsia"/>
                      <w:szCs w:val="21"/>
                      <w:highlight w:val="green"/>
                    </w:rPr>
                    <w:t>0</w:t>
                  </w:r>
                </w:p>
              </w:tc>
              <w:tc>
                <w:tcPr>
                  <w:tcW w:w="1079" w:type="dxa"/>
                  <w:vMerge w:val="continue"/>
                  <w:noWrap w:val="0"/>
                  <w:vAlign w:val="center"/>
                </w:tcPr>
                <w:p>
                  <w:pPr>
                    <w:autoSpaceDE w:val="0"/>
                    <w:autoSpaceDN w:val="0"/>
                    <w:jc w:val="center"/>
                    <w:rPr>
                      <w:rFonts w:hint="eastAsia"/>
                      <w:szCs w:val="21"/>
                      <w:highlight w:val="none"/>
                      <w:lang w:val="en-US" w:eastAsia="zh-CN"/>
                    </w:rPr>
                  </w:pPr>
                </w:p>
              </w:tc>
              <w:tc>
                <w:tcPr>
                  <w:tcW w:w="2223" w:type="dxa"/>
                  <w:gridSpan w:val="3"/>
                  <w:noWrap w:val="0"/>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20（监控点处任意一次浓度值）</w:t>
                  </w:r>
                </w:p>
              </w:tc>
              <w:tc>
                <w:tcPr>
                  <w:tcW w:w="2684" w:type="dxa"/>
                  <w:vMerge w:val="continue"/>
                  <w:noWrap w:val="0"/>
                  <w:vAlign w:val="center"/>
                </w:tcPr>
                <w:p>
                  <w:pPr>
                    <w:jc w:val="center"/>
                    <w:rPr>
                      <w:szCs w:val="21"/>
                      <w:highlight w:val="green"/>
                    </w:rPr>
                  </w:pPr>
                </w:p>
              </w:tc>
            </w:tr>
          </w:tbl>
          <w:p>
            <w:pPr>
              <w:autoSpaceDE w:val="0"/>
              <w:autoSpaceDN w:val="0"/>
              <w:adjustRightInd w:val="0"/>
              <w:snapToGrid w:val="0"/>
              <w:spacing w:line="400" w:lineRule="exact"/>
              <w:ind w:firstLine="482" w:firstLineChars="200"/>
              <w:rPr>
                <w:b/>
                <w:bCs/>
                <w:sz w:val="24"/>
                <w:highlight w:val="none"/>
              </w:rPr>
            </w:pPr>
            <w:r>
              <w:rPr>
                <w:b/>
                <w:bCs/>
                <w:sz w:val="24"/>
                <w:highlight w:val="none"/>
              </w:rPr>
              <w:t>3、噪声排放标准</w:t>
            </w:r>
          </w:p>
          <w:p>
            <w:pPr>
              <w:autoSpaceDE w:val="0"/>
              <w:autoSpaceDN w:val="0"/>
              <w:adjustRightInd w:val="0"/>
              <w:snapToGrid w:val="0"/>
              <w:spacing w:line="360" w:lineRule="auto"/>
              <w:ind w:firstLine="482" w:firstLineChars="200"/>
              <w:jc w:val="center"/>
              <w:rPr>
                <w:b/>
                <w:sz w:val="24"/>
                <w:highlight w:val="none"/>
              </w:rPr>
            </w:pPr>
            <w:r>
              <w:rPr>
                <w:b/>
                <w:sz w:val="24"/>
                <w:highlight w:val="none"/>
              </w:rPr>
              <w:t>表3-7  噪声排放标准限值</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2921"/>
              <w:gridCol w:w="1161"/>
              <w:gridCol w:w="1027"/>
              <w:gridCol w:w="783"/>
              <w:gridCol w:w="9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724" w:type="pct"/>
                  <w:vMerge w:val="restart"/>
                  <w:vAlign w:val="center"/>
                </w:tcPr>
                <w:p>
                  <w:pPr>
                    <w:jc w:val="center"/>
                    <w:rPr>
                      <w:b/>
                      <w:bCs/>
                      <w:szCs w:val="21"/>
                      <w:highlight w:val="none"/>
                    </w:rPr>
                  </w:pPr>
                  <w:r>
                    <w:rPr>
                      <w:b/>
                      <w:bCs/>
                      <w:szCs w:val="21"/>
                      <w:highlight w:val="none"/>
                    </w:rPr>
                    <w:t>边界名</w:t>
                  </w:r>
                </w:p>
              </w:tc>
              <w:tc>
                <w:tcPr>
                  <w:tcW w:w="1814" w:type="pct"/>
                  <w:vMerge w:val="restart"/>
                  <w:vAlign w:val="center"/>
                </w:tcPr>
                <w:p>
                  <w:pPr>
                    <w:jc w:val="center"/>
                    <w:rPr>
                      <w:b/>
                      <w:bCs/>
                      <w:szCs w:val="21"/>
                      <w:highlight w:val="none"/>
                    </w:rPr>
                  </w:pPr>
                  <w:r>
                    <w:rPr>
                      <w:b/>
                      <w:bCs/>
                      <w:szCs w:val="21"/>
                      <w:highlight w:val="none"/>
                    </w:rPr>
                    <w:t>执行标准</w:t>
                  </w:r>
                </w:p>
              </w:tc>
              <w:tc>
                <w:tcPr>
                  <w:tcW w:w="721" w:type="pct"/>
                  <w:vMerge w:val="restart"/>
                  <w:vAlign w:val="center"/>
                </w:tcPr>
                <w:p>
                  <w:pPr>
                    <w:jc w:val="center"/>
                    <w:rPr>
                      <w:b/>
                      <w:bCs/>
                      <w:szCs w:val="21"/>
                      <w:highlight w:val="none"/>
                    </w:rPr>
                  </w:pPr>
                  <w:r>
                    <w:rPr>
                      <w:b/>
                      <w:bCs/>
                      <w:szCs w:val="21"/>
                      <w:highlight w:val="none"/>
                    </w:rPr>
                    <w:t>级别</w:t>
                  </w:r>
                </w:p>
              </w:tc>
              <w:tc>
                <w:tcPr>
                  <w:tcW w:w="638" w:type="pct"/>
                  <w:vMerge w:val="restart"/>
                  <w:vAlign w:val="center"/>
                </w:tcPr>
                <w:p>
                  <w:pPr>
                    <w:jc w:val="center"/>
                    <w:rPr>
                      <w:b/>
                      <w:bCs/>
                      <w:szCs w:val="21"/>
                      <w:highlight w:val="none"/>
                    </w:rPr>
                  </w:pPr>
                  <w:r>
                    <w:rPr>
                      <w:b/>
                      <w:bCs/>
                      <w:szCs w:val="21"/>
                      <w:highlight w:val="none"/>
                    </w:rPr>
                    <w:t>单位</w:t>
                  </w:r>
                </w:p>
              </w:tc>
              <w:tc>
                <w:tcPr>
                  <w:tcW w:w="1102" w:type="pct"/>
                  <w:gridSpan w:val="2"/>
                  <w:vAlign w:val="center"/>
                </w:tcPr>
                <w:p>
                  <w:pPr>
                    <w:jc w:val="center"/>
                    <w:rPr>
                      <w:b/>
                      <w:bCs/>
                      <w:szCs w:val="21"/>
                      <w:highlight w:val="none"/>
                    </w:rPr>
                  </w:pPr>
                  <w:r>
                    <w:rPr>
                      <w:b/>
                      <w:bCs/>
                      <w:szCs w:val="21"/>
                      <w:highlight w:val="none"/>
                    </w:rPr>
                    <w:t>标准限值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9" w:hRule="atLeast"/>
                <w:jc w:val="center"/>
              </w:trPr>
              <w:tc>
                <w:tcPr>
                  <w:tcW w:w="724" w:type="pct"/>
                  <w:vMerge w:val="continue"/>
                  <w:vAlign w:val="center"/>
                </w:tcPr>
                <w:p>
                  <w:pPr>
                    <w:jc w:val="center"/>
                    <w:rPr>
                      <w:b/>
                      <w:bCs/>
                      <w:szCs w:val="21"/>
                      <w:highlight w:val="none"/>
                    </w:rPr>
                  </w:pPr>
                </w:p>
              </w:tc>
              <w:tc>
                <w:tcPr>
                  <w:tcW w:w="1814" w:type="pct"/>
                  <w:vMerge w:val="continue"/>
                  <w:vAlign w:val="center"/>
                </w:tcPr>
                <w:p>
                  <w:pPr>
                    <w:jc w:val="center"/>
                    <w:rPr>
                      <w:b/>
                      <w:bCs/>
                      <w:szCs w:val="21"/>
                      <w:highlight w:val="none"/>
                    </w:rPr>
                  </w:pPr>
                </w:p>
              </w:tc>
              <w:tc>
                <w:tcPr>
                  <w:tcW w:w="721" w:type="pct"/>
                  <w:vMerge w:val="continue"/>
                  <w:vAlign w:val="center"/>
                </w:tcPr>
                <w:p>
                  <w:pPr>
                    <w:jc w:val="center"/>
                    <w:rPr>
                      <w:b/>
                      <w:bCs/>
                      <w:szCs w:val="21"/>
                      <w:highlight w:val="none"/>
                    </w:rPr>
                  </w:pPr>
                </w:p>
              </w:tc>
              <w:tc>
                <w:tcPr>
                  <w:tcW w:w="638" w:type="pct"/>
                  <w:vMerge w:val="continue"/>
                  <w:vAlign w:val="center"/>
                </w:tcPr>
                <w:p>
                  <w:pPr>
                    <w:jc w:val="center"/>
                    <w:rPr>
                      <w:b/>
                      <w:bCs/>
                      <w:szCs w:val="21"/>
                      <w:highlight w:val="none"/>
                    </w:rPr>
                  </w:pPr>
                </w:p>
              </w:tc>
              <w:tc>
                <w:tcPr>
                  <w:tcW w:w="486" w:type="pct"/>
                  <w:vAlign w:val="center"/>
                </w:tcPr>
                <w:p>
                  <w:pPr>
                    <w:jc w:val="center"/>
                    <w:rPr>
                      <w:b/>
                      <w:bCs/>
                      <w:szCs w:val="21"/>
                      <w:highlight w:val="none"/>
                    </w:rPr>
                  </w:pPr>
                  <w:r>
                    <w:rPr>
                      <w:b/>
                      <w:bCs/>
                      <w:szCs w:val="21"/>
                      <w:highlight w:val="none"/>
                    </w:rPr>
                    <w:t>昼</w:t>
                  </w:r>
                </w:p>
              </w:tc>
              <w:tc>
                <w:tcPr>
                  <w:tcW w:w="617" w:type="pct"/>
                  <w:vAlign w:val="center"/>
                </w:tcPr>
                <w:p>
                  <w:pPr>
                    <w:jc w:val="center"/>
                    <w:rPr>
                      <w:b/>
                      <w:bCs/>
                      <w:szCs w:val="21"/>
                      <w:highlight w:val="none"/>
                    </w:rPr>
                  </w:pPr>
                  <w:r>
                    <w:rPr>
                      <w:b/>
                      <w:bCs/>
                      <w:szCs w:val="21"/>
                      <w:highlight w:val="none"/>
                    </w:rPr>
                    <w:t>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4" w:type="pct"/>
                  <w:vAlign w:val="center"/>
                </w:tcPr>
                <w:p>
                  <w:pPr>
                    <w:adjustRightInd w:val="0"/>
                    <w:snapToGrid w:val="0"/>
                    <w:jc w:val="center"/>
                    <w:rPr>
                      <w:szCs w:val="21"/>
                      <w:highlight w:val="none"/>
                    </w:rPr>
                  </w:pPr>
                  <w:r>
                    <w:rPr>
                      <w:szCs w:val="21"/>
                      <w:highlight w:val="none"/>
                    </w:rPr>
                    <w:t>边界</w:t>
                  </w:r>
                </w:p>
              </w:tc>
              <w:tc>
                <w:tcPr>
                  <w:tcW w:w="1814" w:type="pct"/>
                  <w:vAlign w:val="center"/>
                </w:tcPr>
                <w:p>
                  <w:pPr>
                    <w:jc w:val="center"/>
                    <w:rPr>
                      <w:szCs w:val="21"/>
                      <w:highlight w:val="none"/>
                    </w:rPr>
                  </w:pPr>
                  <w:r>
                    <w:rPr>
                      <w:rFonts w:hint="eastAsia"/>
                      <w:szCs w:val="21"/>
                      <w:highlight w:val="none"/>
                    </w:rPr>
                    <w:t>《社会生活环境噪声排放标准》（GB22337-2008）</w:t>
                  </w:r>
                </w:p>
              </w:tc>
              <w:tc>
                <w:tcPr>
                  <w:tcW w:w="721" w:type="pct"/>
                  <w:vAlign w:val="center"/>
                </w:tcPr>
                <w:p>
                  <w:pPr>
                    <w:jc w:val="center"/>
                    <w:rPr>
                      <w:szCs w:val="21"/>
                      <w:highlight w:val="none"/>
                    </w:rPr>
                  </w:pPr>
                  <w:r>
                    <w:rPr>
                      <w:szCs w:val="21"/>
                      <w:highlight w:val="none"/>
                    </w:rPr>
                    <w:t>2类</w:t>
                  </w:r>
                </w:p>
              </w:tc>
              <w:tc>
                <w:tcPr>
                  <w:tcW w:w="638" w:type="pct"/>
                  <w:vAlign w:val="center"/>
                </w:tcPr>
                <w:p>
                  <w:pPr>
                    <w:jc w:val="center"/>
                    <w:rPr>
                      <w:szCs w:val="21"/>
                      <w:highlight w:val="none"/>
                    </w:rPr>
                  </w:pPr>
                  <w:r>
                    <w:rPr>
                      <w:szCs w:val="21"/>
                      <w:highlight w:val="none"/>
                    </w:rPr>
                    <w:t>dB(A)</w:t>
                  </w:r>
                </w:p>
              </w:tc>
              <w:tc>
                <w:tcPr>
                  <w:tcW w:w="486" w:type="pct"/>
                  <w:vAlign w:val="center"/>
                </w:tcPr>
                <w:p>
                  <w:pPr>
                    <w:jc w:val="center"/>
                    <w:rPr>
                      <w:szCs w:val="21"/>
                      <w:highlight w:val="none"/>
                    </w:rPr>
                  </w:pPr>
                  <w:r>
                    <w:rPr>
                      <w:rFonts w:hint="eastAsia"/>
                      <w:szCs w:val="21"/>
                      <w:highlight w:val="none"/>
                    </w:rPr>
                    <w:t>6</w:t>
                  </w:r>
                  <w:r>
                    <w:rPr>
                      <w:szCs w:val="21"/>
                      <w:highlight w:val="none"/>
                    </w:rPr>
                    <w:t>0</w:t>
                  </w:r>
                </w:p>
              </w:tc>
              <w:tc>
                <w:tcPr>
                  <w:tcW w:w="617" w:type="pct"/>
                  <w:vAlign w:val="center"/>
                </w:tcPr>
                <w:p>
                  <w:pPr>
                    <w:jc w:val="center"/>
                    <w:rPr>
                      <w:szCs w:val="21"/>
                      <w:highlight w:val="none"/>
                    </w:rPr>
                  </w:pPr>
                  <w:r>
                    <w:rPr>
                      <w:rFonts w:hint="eastAsia"/>
                      <w:szCs w:val="21"/>
                      <w:highlight w:val="none"/>
                    </w:rPr>
                    <w:t>5</w:t>
                  </w:r>
                  <w:r>
                    <w:rPr>
                      <w:szCs w:val="21"/>
                      <w:highlight w:val="none"/>
                    </w:rPr>
                    <w:t>0</w:t>
                  </w:r>
                </w:p>
              </w:tc>
            </w:tr>
          </w:tbl>
          <w:p>
            <w:pPr>
              <w:autoSpaceDE w:val="0"/>
              <w:autoSpaceDN w:val="0"/>
              <w:adjustRightInd w:val="0"/>
              <w:snapToGrid w:val="0"/>
              <w:spacing w:line="360" w:lineRule="auto"/>
              <w:ind w:firstLine="482" w:firstLineChars="200"/>
              <w:rPr>
                <w:b/>
                <w:bCs/>
                <w:sz w:val="24"/>
                <w:highlight w:val="none"/>
              </w:rPr>
            </w:pPr>
            <w:r>
              <w:rPr>
                <w:b/>
                <w:bCs/>
                <w:sz w:val="24"/>
                <w:highlight w:val="none"/>
              </w:rPr>
              <w:t>4、固废</w:t>
            </w:r>
          </w:p>
          <w:p>
            <w:pPr>
              <w:autoSpaceDE w:val="0"/>
              <w:autoSpaceDN w:val="0"/>
              <w:adjustRightInd w:val="0"/>
              <w:snapToGrid w:val="0"/>
              <w:spacing w:line="360" w:lineRule="auto"/>
              <w:ind w:firstLine="480" w:firstLineChars="200"/>
              <w:rPr>
                <w:kern w:val="0"/>
                <w:sz w:val="24"/>
                <w:highlight w:val="yellow"/>
              </w:rPr>
            </w:pPr>
            <w:r>
              <w:rPr>
                <w:sz w:val="24"/>
                <w:highlight w:val="none"/>
              </w:rPr>
              <w:t>固废处置应执行《一般工业固体废物贮存</w:t>
            </w:r>
            <w:r>
              <w:rPr>
                <w:rFonts w:hint="eastAsia"/>
                <w:sz w:val="24"/>
                <w:highlight w:val="none"/>
              </w:rPr>
              <w:t>和填埋污染</w:t>
            </w:r>
            <w:r>
              <w:rPr>
                <w:sz w:val="24"/>
                <w:highlight w:val="none"/>
              </w:rPr>
              <w:t>控制标准》（GB18599-2020）的相关要求。危险废物处置应执行《危险废物贮存污染控制标准》（GB18597-2001）及其修改单的相关要求。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55" w:hRule="atLeast"/>
          <w:jc w:val="center"/>
        </w:trPr>
        <w:tc>
          <w:tcPr>
            <w:tcW w:w="557" w:type="dxa"/>
            <w:vAlign w:val="center"/>
          </w:tcPr>
          <w:p>
            <w:pPr>
              <w:adjustRightInd w:val="0"/>
              <w:snapToGrid w:val="0"/>
              <w:jc w:val="center"/>
              <w:rPr>
                <w:b/>
                <w:bCs/>
                <w:kern w:val="0"/>
                <w:sz w:val="24"/>
                <w:highlight w:val="none"/>
              </w:rPr>
            </w:pPr>
            <w:r>
              <w:rPr>
                <w:b/>
                <w:bCs/>
                <w:kern w:val="0"/>
                <w:sz w:val="24"/>
                <w:highlight w:val="none"/>
              </w:rPr>
              <w:t>总量</w:t>
            </w:r>
          </w:p>
          <w:p>
            <w:pPr>
              <w:adjustRightInd w:val="0"/>
              <w:snapToGrid w:val="0"/>
              <w:jc w:val="center"/>
              <w:rPr>
                <w:b/>
                <w:bCs/>
                <w:kern w:val="0"/>
                <w:sz w:val="24"/>
                <w:highlight w:val="none"/>
              </w:rPr>
            </w:pPr>
            <w:r>
              <w:rPr>
                <w:b/>
                <w:bCs/>
                <w:kern w:val="0"/>
                <w:sz w:val="24"/>
                <w:highlight w:val="none"/>
              </w:rPr>
              <w:t>控制</w:t>
            </w:r>
          </w:p>
          <w:p>
            <w:pPr>
              <w:adjustRightInd w:val="0"/>
              <w:snapToGrid w:val="0"/>
              <w:jc w:val="center"/>
              <w:rPr>
                <w:kern w:val="0"/>
                <w:sz w:val="24"/>
                <w:highlight w:val="yellow"/>
              </w:rPr>
            </w:pPr>
            <w:r>
              <w:rPr>
                <w:b/>
                <w:bCs/>
                <w:kern w:val="0"/>
                <w:sz w:val="24"/>
                <w:highlight w:val="none"/>
              </w:rPr>
              <w:t>指标</w:t>
            </w:r>
          </w:p>
        </w:tc>
        <w:tc>
          <w:tcPr>
            <w:tcW w:w="8268" w:type="dxa"/>
          </w:tcPr>
          <w:p>
            <w:pPr>
              <w:spacing w:line="360" w:lineRule="auto"/>
              <w:ind w:firstLine="480" w:firstLineChars="200"/>
              <w:rPr>
                <w:bCs/>
                <w:kern w:val="0"/>
                <w:sz w:val="24"/>
                <w:highlight w:val="none"/>
              </w:rPr>
            </w:pPr>
            <w:r>
              <w:rPr>
                <w:bCs/>
                <w:kern w:val="0"/>
                <w:sz w:val="24"/>
                <w:highlight w:val="none"/>
              </w:rPr>
              <w:t>污染物产生排放“三本帐”见下表。本项目的污染物汇总如下表。</w:t>
            </w:r>
          </w:p>
          <w:p>
            <w:pPr>
              <w:spacing w:line="360" w:lineRule="auto"/>
              <w:ind w:firstLine="482" w:firstLineChars="200"/>
              <w:jc w:val="center"/>
              <w:rPr>
                <w:b/>
                <w:bCs/>
                <w:kern w:val="0"/>
                <w:sz w:val="24"/>
                <w:highlight w:val="none"/>
              </w:rPr>
            </w:pPr>
            <w:r>
              <w:rPr>
                <w:b/>
                <w:bCs/>
                <w:kern w:val="0"/>
                <w:sz w:val="24"/>
                <w:highlight w:val="none"/>
              </w:rPr>
              <w:t>表3-8  污染物排放总量指标</w:t>
            </w:r>
            <w:r>
              <w:rPr>
                <w:b/>
                <w:bCs/>
                <w:kern w:val="0"/>
                <w:highlight w:val="none"/>
              </w:rPr>
              <w:t xml:space="preserve">   单位：t/a</w:t>
            </w:r>
          </w:p>
          <w:tbl>
            <w:tblPr>
              <w:tblStyle w:val="22"/>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727"/>
              <w:gridCol w:w="960"/>
              <w:gridCol w:w="1575"/>
              <w:gridCol w:w="1035"/>
              <w:gridCol w:w="967"/>
              <w:gridCol w:w="915"/>
              <w:gridCol w:w="12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1687" w:type="dxa"/>
                  <w:gridSpan w:val="2"/>
                  <w:noWrap w:val="0"/>
                  <w:vAlign w:val="center"/>
                </w:tcPr>
                <w:p>
                  <w:pPr>
                    <w:spacing w:line="320" w:lineRule="exact"/>
                    <w:jc w:val="center"/>
                    <w:rPr>
                      <w:rFonts w:hint="default" w:ascii="Times New Roman" w:hAnsi="Times New Roman" w:cs="Times New Roman"/>
                      <w:sz w:val="21"/>
                      <w:szCs w:val="21"/>
                    </w:rPr>
                  </w:pPr>
                  <w:r>
                    <w:rPr>
                      <w:rFonts w:hint="default" w:ascii="Times New Roman" w:hAnsi="Times New Roman" w:cs="Times New Roman"/>
                      <w:sz w:val="21"/>
                      <w:szCs w:val="21"/>
                    </w:rPr>
                    <w:t>类别</w:t>
                  </w:r>
                </w:p>
              </w:tc>
              <w:tc>
                <w:tcPr>
                  <w:tcW w:w="1575" w:type="dxa"/>
                  <w:noWrap w:val="0"/>
                  <w:vAlign w:val="center"/>
                </w:tcPr>
                <w:p>
                  <w:pPr>
                    <w:spacing w:line="320" w:lineRule="exact"/>
                    <w:jc w:val="center"/>
                    <w:rPr>
                      <w:rFonts w:hint="default" w:ascii="Times New Roman" w:hAnsi="Times New Roman" w:cs="Times New Roman"/>
                      <w:sz w:val="21"/>
                      <w:szCs w:val="21"/>
                    </w:rPr>
                  </w:pPr>
                  <w:r>
                    <w:rPr>
                      <w:rFonts w:hint="default" w:ascii="Times New Roman" w:hAnsi="Times New Roman" w:cs="Times New Roman"/>
                      <w:sz w:val="21"/>
                      <w:szCs w:val="21"/>
                    </w:rPr>
                    <w:t>污染物</w:t>
                  </w:r>
                </w:p>
                <w:p>
                  <w:pPr>
                    <w:spacing w:line="320" w:lineRule="exact"/>
                    <w:jc w:val="center"/>
                    <w:rPr>
                      <w:rFonts w:hint="default" w:ascii="Times New Roman" w:hAnsi="Times New Roman" w:cs="Times New Roman"/>
                      <w:sz w:val="21"/>
                      <w:szCs w:val="21"/>
                    </w:rPr>
                  </w:pPr>
                  <w:r>
                    <w:rPr>
                      <w:rFonts w:hint="default" w:ascii="Times New Roman" w:hAnsi="Times New Roman" w:cs="Times New Roman"/>
                      <w:sz w:val="21"/>
                      <w:szCs w:val="21"/>
                    </w:rPr>
                    <w:t>名称</w:t>
                  </w:r>
                </w:p>
              </w:tc>
              <w:tc>
                <w:tcPr>
                  <w:tcW w:w="1035" w:type="dxa"/>
                  <w:noWrap w:val="0"/>
                  <w:vAlign w:val="center"/>
                </w:tcPr>
                <w:p>
                  <w:pPr>
                    <w:spacing w:line="320" w:lineRule="exact"/>
                    <w:jc w:val="center"/>
                    <w:rPr>
                      <w:rFonts w:hint="default" w:ascii="Times New Roman" w:hAnsi="Times New Roman" w:cs="Times New Roman"/>
                      <w:sz w:val="21"/>
                      <w:szCs w:val="21"/>
                    </w:rPr>
                  </w:pPr>
                  <w:r>
                    <w:rPr>
                      <w:rFonts w:hint="default" w:ascii="Times New Roman" w:hAnsi="Times New Roman" w:cs="Times New Roman"/>
                      <w:sz w:val="21"/>
                      <w:szCs w:val="21"/>
                    </w:rPr>
                    <w:t>产生量</w:t>
                  </w:r>
                </w:p>
              </w:tc>
              <w:tc>
                <w:tcPr>
                  <w:tcW w:w="967" w:type="dxa"/>
                  <w:noWrap w:val="0"/>
                  <w:vAlign w:val="center"/>
                </w:tcPr>
                <w:p>
                  <w:pPr>
                    <w:spacing w:line="320" w:lineRule="exact"/>
                    <w:jc w:val="center"/>
                    <w:rPr>
                      <w:rFonts w:hint="default" w:ascii="Times New Roman" w:hAnsi="Times New Roman" w:cs="Times New Roman"/>
                      <w:sz w:val="21"/>
                      <w:szCs w:val="21"/>
                    </w:rPr>
                  </w:pPr>
                  <w:r>
                    <w:rPr>
                      <w:rFonts w:hint="default" w:ascii="Times New Roman" w:hAnsi="Times New Roman" w:cs="Times New Roman"/>
                      <w:sz w:val="21"/>
                      <w:szCs w:val="21"/>
                    </w:rPr>
                    <w:t>削减量</w:t>
                  </w:r>
                </w:p>
              </w:tc>
              <w:tc>
                <w:tcPr>
                  <w:tcW w:w="915" w:type="dxa"/>
                  <w:noWrap w:val="0"/>
                  <w:vAlign w:val="center"/>
                </w:tcPr>
                <w:p>
                  <w:pPr>
                    <w:spacing w:line="320" w:lineRule="exact"/>
                    <w:jc w:val="center"/>
                    <w:rPr>
                      <w:rFonts w:hint="default" w:ascii="Times New Roman" w:hAnsi="Times New Roman" w:cs="Times New Roman"/>
                      <w:sz w:val="21"/>
                      <w:szCs w:val="21"/>
                    </w:rPr>
                  </w:pPr>
                  <w:r>
                    <w:rPr>
                      <w:rFonts w:hint="default" w:ascii="Times New Roman" w:hAnsi="Times New Roman" w:cs="Times New Roman"/>
                      <w:sz w:val="21"/>
                      <w:szCs w:val="21"/>
                    </w:rPr>
                    <w:t>排放量</w:t>
                  </w:r>
                </w:p>
              </w:tc>
              <w:tc>
                <w:tcPr>
                  <w:tcW w:w="1246" w:type="dxa"/>
                  <w:noWrap w:val="0"/>
                  <w:vAlign w:val="center"/>
                </w:tcPr>
                <w:p>
                  <w:pPr>
                    <w:spacing w:line="320" w:lineRule="exact"/>
                    <w:jc w:val="center"/>
                    <w:rPr>
                      <w:rFonts w:hint="default" w:ascii="Times New Roman" w:hAnsi="Times New Roman" w:cs="Times New Roman"/>
                      <w:sz w:val="21"/>
                      <w:szCs w:val="21"/>
                    </w:rPr>
                  </w:pPr>
                  <w:r>
                    <w:rPr>
                      <w:rFonts w:hint="default" w:ascii="Times New Roman" w:hAnsi="Times New Roman" w:cs="Times New Roman"/>
                      <w:sz w:val="21"/>
                      <w:szCs w:val="21"/>
                    </w:rPr>
                    <w:t>全厂总排放量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727" w:type="dxa"/>
                  <w:vMerge w:val="restart"/>
                  <w:noWrap w:val="0"/>
                  <w:vAlign w:val="center"/>
                </w:tcPr>
                <w:p>
                  <w:pPr>
                    <w:spacing w:line="320" w:lineRule="exact"/>
                    <w:jc w:val="center"/>
                    <w:rPr>
                      <w:rFonts w:hint="default" w:ascii="Times New Roman" w:hAnsi="Times New Roman" w:cs="Times New Roman"/>
                      <w:sz w:val="21"/>
                      <w:szCs w:val="21"/>
                    </w:rPr>
                  </w:pPr>
                  <w:r>
                    <w:rPr>
                      <w:rFonts w:hint="default" w:ascii="Times New Roman" w:hAnsi="Times New Roman" w:cs="Times New Roman"/>
                      <w:sz w:val="21"/>
                      <w:szCs w:val="21"/>
                    </w:rPr>
                    <w:t>废气</w:t>
                  </w:r>
                </w:p>
              </w:tc>
              <w:tc>
                <w:tcPr>
                  <w:tcW w:w="960" w:type="dxa"/>
                  <w:vMerge w:val="restart"/>
                  <w:noWrap w:val="0"/>
                  <w:vAlign w:val="center"/>
                </w:tcPr>
                <w:p>
                  <w:pPr>
                    <w:spacing w:line="320" w:lineRule="exact"/>
                    <w:jc w:val="center"/>
                    <w:rPr>
                      <w:rFonts w:hint="default" w:ascii="Times New Roman" w:hAnsi="Times New Roman" w:cs="Times New Roman"/>
                      <w:sz w:val="21"/>
                      <w:szCs w:val="21"/>
                    </w:rPr>
                  </w:pPr>
                  <w:r>
                    <w:rPr>
                      <w:rFonts w:hint="default" w:ascii="Times New Roman" w:hAnsi="Times New Roman" w:cs="Times New Roman"/>
                      <w:sz w:val="21"/>
                      <w:szCs w:val="21"/>
                    </w:rPr>
                    <w:t>有组织</w:t>
                  </w:r>
                </w:p>
              </w:tc>
              <w:tc>
                <w:tcPr>
                  <w:tcW w:w="1575" w:type="dxa"/>
                  <w:noWrap w:val="0"/>
                  <w:vAlign w:val="center"/>
                </w:tcPr>
                <w:p>
                  <w:pPr>
                    <w:widowControl/>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颗粒物</w:t>
                  </w:r>
                </w:p>
              </w:tc>
              <w:tc>
                <w:tcPr>
                  <w:tcW w:w="1035" w:type="dxa"/>
                  <w:noWrap w:val="0"/>
                  <w:vAlign w:val="center"/>
                </w:tcPr>
                <w:p>
                  <w:pPr>
                    <w:widowControl/>
                    <w:jc w:val="center"/>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0.055475</w:t>
                  </w:r>
                </w:p>
              </w:tc>
              <w:tc>
                <w:tcPr>
                  <w:tcW w:w="967" w:type="dxa"/>
                  <w:noWrap w:val="0"/>
                  <w:vAlign w:val="center"/>
                </w:tcPr>
                <w:p>
                  <w:pPr>
                    <w:widowControl/>
                    <w:jc w:val="center"/>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0.0499</w:t>
                  </w:r>
                </w:p>
              </w:tc>
              <w:tc>
                <w:tcPr>
                  <w:tcW w:w="915" w:type="dxa"/>
                  <w:noWrap w:val="0"/>
                  <w:vAlign w:val="center"/>
                </w:tcPr>
                <w:p>
                  <w:pPr>
                    <w:widowControl/>
                    <w:jc w:val="center"/>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0.005548</w:t>
                  </w:r>
                </w:p>
              </w:tc>
              <w:tc>
                <w:tcPr>
                  <w:tcW w:w="1246" w:type="dxa"/>
                  <w:noWrap w:val="0"/>
                  <w:vAlign w:val="center"/>
                </w:tcPr>
                <w:p>
                  <w:pPr>
                    <w:widowControl/>
                    <w:jc w:val="center"/>
                    <w:textAlignment w:val="center"/>
                    <w:rPr>
                      <w:rFonts w:hint="default" w:ascii="Times New Roman" w:hAnsi="Times New Roman" w:cs="Times New Roman"/>
                      <w:sz w:val="21"/>
                      <w:szCs w:val="21"/>
                    </w:rPr>
                  </w:pPr>
                  <w:r>
                    <w:rPr>
                      <w:rFonts w:hint="eastAsia" w:cs="Times New Roman"/>
                      <w:sz w:val="21"/>
                      <w:szCs w:val="21"/>
                      <w:lang w:val="en-US" w:eastAsia="zh-CN"/>
                    </w:rPr>
                    <w:t>0.005548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727" w:type="dxa"/>
                  <w:vMerge w:val="continue"/>
                  <w:noWrap w:val="0"/>
                  <w:vAlign w:val="center"/>
                </w:tcPr>
                <w:p>
                  <w:pPr>
                    <w:spacing w:line="320" w:lineRule="exact"/>
                    <w:jc w:val="center"/>
                    <w:rPr>
                      <w:rFonts w:hint="default" w:ascii="Times New Roman" w:hAnsi="Times New Roman" w:cs="Times New Roman"/>
                      <w:sz w:val="21"/>
                      <w:szCs w:val="21"/>
                    </w:rPr>
                  </w:pPr>
                </w:p>
              </w:tc>
              <w:tc>
                <w:tcPr>
                  <w:tcW w:w="960" w:type="dxa"/>
                  <w:vMerge w:val="continue"/>
                  <w:noWrap w:val="0"/>
                  <w:vAlign w:val="center"/>
                </w:tcPr>
                <w:p>
                  <w:pPr>
                    <w:spacing w:line="320" w:lineRule="exact"/>
                    <w:jc w:val="center"/>
                    <w:rPr>
                      <w:rFonts w:hint="default" w:ascii="Times New Roman" w:hAnsi="Times New Roman" w:cs="Times New Roman"/>
                      <w:sz w:val="21"/>
                      <w:szCs w:val="21"/>
                    </w:rPr>
                  </w:pPr>
                </w:p>
              </w:tc>
              <w:tc>
                <w:tcPr>
                  <w:tcW w:w="1575" w:type="dxa"/>
                  <w:noWrap w:val="0"/>
                  <w:vAlign w:val="center"/>
                </w:tcPr>
                <w:p>
                  <w:pPr>
                    <w:widowControl/>
                    <w:jc w:val="center"/>
                    <w:textAlignment w:val="center"/>
                    <w:rPr>
                      <w:rFonts w:hint="eastAsia" w:ascii="Times New Roman" w:hAnsi="Times New Roman" w:eastAsia="宋体" w:cs="Times New Roman"/>
                      <w:sz w:val="21"/>
                      <w:szCs w:val="21"/>
                      <w:lang w:eastAsia="zh-CN"/>
                    </w:rPr>
                  </w:pPr>
                  <w:r>
                    <w:rPr>
                      <w:rFonts w:hint="eastAsia" w:cs="Times New Roman"/>
                      <w:sz w:val="21"/>
                      <w:szCs w:val="21"/>
                      <w:lang w:eastAsia="zh-CN"/>
                    </w:rPr>
                    <w:t>非甲烷总烃</w:t>
                  </w:r>
                </w:p>
              </w:tc>
              <w:tc>
                <w:tcPr>
                  <w:tcW w:w="1035" w:type="dxa"/>
                  <w:noWrap w:val="0"/>
                  <w:vAlign w:val="center"/>
                </w:tcPr>
                <w:p>
                  <w:pPr>
                    <w:widowControl/>
                    <w:jc w:val="center"/>
                    <w:textAlignment w:val="center"/>
                    <w:rPr>
                      <w:rFonts w:hint="default" w:ascii="Times New Roman" w:hAnsi="Times New Roman" w:cs="Times New Roman"/>
                      <w:sz w:val="21"/>
                      <w:szCs w:val="21"/>
                      <w:lang w:val="en-US" w:eastAsia="zh-CN"/>
                    </w:rPr>
                  </w:pPr>
                  <w:r>
                    <w:rPr>
                      <w:rFonts w:hint="eastAsia" w:cs="Times New Roman"/>
                      <w:sz w:val="21"/>
                      <w:szCs w:val="21"/>
                      <w:lang w:val="en-US" w:eastAsia="zh-CN"/>
                    </w:rPr>
                    <w:t>2.1247</w:t>
                  </w:r>
                </w:p>
              </w:tc>
              <w:tc>
                <w:tcPr>
                  <w:tcW w:w="967" w:type="dxa"/>
                  <w:noWrap w:val="0"/>
                  <w:vAlign w:val="center"/>
                </w:tcPr>
                <w:p>
                  <w:pPr>
                    <w:widowControl/>
                    <w:jc w:val="center"/>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1.9121877</w:t>
                  </w:r>
                </w:p>
              </w:tc>
              <w:tc>
                <w:tcPr>
                  <w:tcW w:w="915" w:type="dxa"/>
                  <w:noWrap w:val="0"/>
                  <w:vAlign w:val="center"/>
                </w:tcPr>
                <w:p>
                  <w:pPr>
                    <w:widowControl/>
                    <w:jc w:val="center"/>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0.21247</w:t>
                  </w:r>
                </w:p>
              </w:tc>
              <w:tc>
                <w:tcPr>
                  <w:tcW w:w="1246" w:type="dxa"/>
                  <w:noWrap w:val="0"/>
                  <w:vAlign w:val="center"/>
                </w:tcPr>
                <w:p>
                  <w:pPr>
                    <w:widowControl/>
                    <w:jc w:val="center"/>
                    <w:textAlignment w:val="center"/>
                    <w:rPr>
                      <w:rFonts w:hint="default" w:ascii="Times New Roman" w:hAnsi="Times New Roman" w:cs="Times New Roman"/>
                      <w:sz w:val="21"/>
                      <w:szCs w:val="21"/>
                    </w:rPr>
                  </w:pPr>
                  <w:r>
                    <w:rPr>
                      <w:rFonts w:hint="eastAsia" w:cs="Times New Roman"/>
                      <w:sz w:val="21"/>
                      <w:szCs w:val="21"/>
                      <w:lang w:val="en-US" w:eastAsia="zh-CN"/>
                    </w:rPr>
                    <w:t>0.21247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727" w:type="dxa"/>
                  <w:vMerge w:val="continue"/>
                  <w:noWrap w:val="0"/>
                  <w:vAlign w:val="center"/>
                </w:tcPr>
                <w:p>
                  <w:pPr>
                    <w:spacing w:line="320" w:lineRule="exact"/>
                    <w:jc w:val="center"/>
                    <w:rPr>
                      <w:rFonts w:hint="default" w:ascii="Times New Roman" w:hAnsi="Times New Roman" w:cs="Times New Roman"/>
                      <w:sz w:val="21"/>
                      <w:szCs w:val="21"/>
                    </w:rPr>
                  </w:pPr>
                </w:p>
              </w:tc>
              <w:tc>
                <w:tcPr>
                  <w:tcW w:w="960" w:type="dxa"/>
                  <w:vMerge w:val="continue"/>
                  <w:noWrap w:val="0"/>
                  <w:vAlign w:val="center"/>
                </w:tcPr>
                <w:p>
                  <w:pPr>
                    <w:spacing w:line="320" w:lineRule="exact"/>
                    <w:jc w:val="center"/>
                    <w:rPr>
                      <w:rFonts w:hint="default" w:ascii="Times New Roman" w:hAnsi="Times New Roman" w:cs="Times New Roman"/>
                      <w:sz w:val="21"/>
                      <w:szCs w:val="21"/>
                    </w:rPr>
                  </w:pPr>
                </w:p>
              </w:tc>
              <w:tc>
                <w:tcPr>
                  <w:tcW w:w="1575" w:type="dxa"/>
                  <w:noWrap w:val="0"/>
                  <w:vAlign w:val="center"/>
                </w:tcPr>
                <w:p>
                  <w:pPr>
                    <w:widowControl/>
                    <w:jc w:val="center"/>
                    <w:textAlignment w:val="center"/>
                    <w:rPr>
                      <w:rFonts w:hint="eastAsia" w:ascii="Times New Roman" w:hAnsi="Times New Roman" w:eastAsia="宋体" w:cs="Times New Roman"/>
                      <w:sz w:val="21"/>
                      <w:szCs w:val="21"/>
                      <w:lang w:eastAsia="zh-CN"/>
                    </w:rPr>
                  </w:pPr>
                  <w:r>
                    <w:rPr>
                      <w:rFonts w:hint="eastAsia" w:cs="Times New Roman"/>
                      <w:sz w:val="21"/>
                      <w:szCs w:val="21"/>
                      <w:lang w:eastAsia="zh-CN"/>
                    </w:rPr>
                    <w:t>苯乙烯</w:t>
                  </w:r>
                </w:p>
              </w:tc>
              <w:tc>
                <w:tcPr>
                  <w:tcW w:w="1035" w:type="dxa"/>
                  <w:noWrap w:val="0"/>
                  <w:vAlign w:val="center"/>
                </w:tcPr>
                <w:p>
                  <w:pPr>
                    <w:widowControl/>
                    <w:jc w:val="center"/>
                    <w:textAlignment w:val="center"/>
                    <w:rPr>
                      <w:rFonts w:hint="default" w:ascii="Times New Roman" w:hAnsi="Times New Roman" w:cs="Times New Roman"/>
                      <w:sz w:val="21"/>
                      <w:szCs w:val="21"/>
                      <w:lang w:val="en-US" w:eastAsia="zh-CN"/>
                    </w:rPr>
                  </w:pPr>
                  <w:r>
                    <w:rPr>
                      <w:rFonts w:hint="eastAsia" w:cs="Times New Roman"/>
                      <w:sz w:val="21"/>
                      <w:szCs w:val="21"/>
                      <w:lang w:val="en-US" w:eastAsia="zh-CN"/>
                    </w:rPr>
                    <w:t>0.075</w:t>
                  </w:r>
                </w:p>
              </w:tc>
              <w:tc>
                <w:tcPr>
                  <w:tcW w:w="967" w:type="dxa"/>
                  <w:noWrap w:val="0"/>
                  <w:vAlign w:val="center"/>
                </w:tcPr>
                <w:p>
                  <w:pPr>
                    <w:widowControl/>
                    <w:jc w:val="center"/>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0.0675</w:t>
                  </w:r>
                </w:p>
              </w:tc>
              <w:tc>
                <w:tcPr>
                  <w:tcW w:w="915" w:type="dxa"/>
                  <w:noWrap w:val="0"/>
                  <w:vAlign w:val="center"/>
                </w:tcPr>
                <w:p>
                  <w:pPr>
                    <w:widowControl/>
                    <w:jc w:val="center"/>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0.0075</w:t>
                  </w:r>
                </w:p>
              </w:tc>
              <w:tc>
                <w:tcPr>
                  <w:tcW w:w="1246" w:type="dxa"/>
                  <w:noWrap w:val="0"/>
                  <w:vAlign w:val="center"/>
                </w:tcPr>
                <w:p>
                  <w:pPr>
                    <w:widowControl/>
                    <w:jc w:val="center"/>
                    <w:textAlignment w:val="center"/>
                    <w:rPr>
                      <w:rFonts w:hint="default" w:ascii="Times New Roman" w:hAnsi="Times New Roman" w:cs="Times New Roman"/>
                      <w:sz w:val="21"/>
                      <w:szCs w:val="21"/>
                    </w:rPr>
                  </w:pPr>
                  <w:r>
                    <w:rPr>
                      <w:rFonts w:hint="eastAsia" w:cs="Times New Roman"/>
                      <w:sz w:val="21"/>
                      <w:szCs w:val="21"/>
                      <w:lang w:val="en-US" w:eastAsia="zh-CN"/>
                    </w:rPr>
                    <w:t>0.0075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727" w:type="dxa"/>
                  <w:vMerge w:val="continue"/>
                  <w:noWrap w:val="0"/>
                  <w:vAlign w:val="center"/>
                </w:tcPr>
                <w:p>
                  <w:pPr>
                    <w:spacing w:line="320" w:lineRule="exact"/>
                    <w:jc w:val="center"/>
                    <w:rPr>
                      <w:rFonts w:hint="default" w:ascii="Times New Roman" w:hAnsi="Times New Roman" w:cs="Times New Roman"/>
                      <w:sz w:val="21"/>
                      <w:szCs w:val="21"/>
                    </w:rPr>
                  </w:pPr>
                </w:p>
              </w:tc>
              <w:tc>
                <w:tcPr>
                  <w:tcW w:w="960" w:type="dxa"/>
                  <w:vMerge w:val="continue"/>
                  <w:noWrap w:val="0"/>
                  <w:vAlign w:val="center"/>
                </w:tcPr>
                <w:p>
                  <w:pPr>
                    <w:spacing w:line="320" w:lineRule="exact"/>
                    <w:jc w:val="center"/>
                    <w:rPr>
                      <w:rFonts w:hint="default" w:ascii="Times New Roman" w:hAnsi="Times New Roman" w:cs="Times New Roman"/>
                      <w:sz w:val="21"/>
                      <w:szCs w:val="21"/>
                    </w:rPr>
                  </w:pPr>
                </w:p>
              </w:tc>
              <w:tc>
                <w:tcPr>
                  <w:tcW w:w="1575" w:type="dxa"/>
                  <w:noWrap w:val="0"/>
                  <w:vAlign w:val="center"/>
                </w:tcPr>
                <w:p>
                  <w:pPr>
                    <w:widowControl/>
                    <w:jc w:val="center"/>
                    <w:textAlignment w:val="center"/>
                    <w:rPr>
                      <w:rFonts w:hint="eastAsia" w:ascii="Times New Roman" w:hAnsi="Times New Roman" w:eastAsia="宋体" w:cs="Times New Roman"/>
                      <w:sz w:val="21"/>
                      <w:szCs w:val="21"/>
                      <w:lang w:eastAsia="zh-CN"/>
                    </w:rPr>
                  </w:pPr>
                  <w:r>
                    <w:rPr>
                      <w:rFonts w:hint="eastAsia" w:cs="Times New Roman"/>
                      <w:sz w:val="21"/>
                      <w:szCs w:val="21"/>
                      <w:lang w:eastAsia="zh-CN"/>
                    </w:rPr>
                    <w:t>丙烯腈</w:t>
                  </w:r>
                </w:p>
              </w:tc>
              <w:tc>
                <w:tcPr>
                  <w:tcW w:w="1035" w:type="dxa"/>
                  <w:noWrap w:val="0"/>
                  <w:vAlign w:val="center"/>
                </w:tcPr>
                <w:p>
                  <w:pPr>
                    <w:widowControl/>
                    <w:jc w:val="center"/>
                    <w:textAlignment w:val="center"/>
                    <w:rPr>
                      <w:rFonts w:hint="default" w:ascii="Times New Roman" w:hAnsi="Times New Roman" w:cs="Times New Roman"/>
                      <w:sz w:val="21"/>
                      <w:szCs w:val="21"/>
                      <w:lang w:val="en-US" w:eastAsia="zh-CN"/>
                    </w:rPr>
                  </w:pPr>
                  <w:r>
                    <w:rPr>
                      <w:rFonts w:hint="eastAsia" w:cs="Times New Roman"/>
                      <w:sz w:val="21"/>
                      <w:szCs w:val="21"/>
                      <w:lang w:val="en-US" w:eastAsia="zh-CN"/>
                    </w:rPr>
                    <w:t>0.045</w:t>
                  </w:r>
                </w:p>
              </w:tc>
              <w:tc>
                <w:tcPr>
                  <w:tcW w:w="967" w:type="dxa"/>
                  <w:noWrap w:val="0"/>
                  <w:vAlign w:val="center"/>
                </w:tcPr>
                <w:p>
                  <w:pPr>
                    <w:widowControl/>
                    <w:jc w:val="center"/>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0.0405</w:t>
                  </w:r>
                </w:p>
              </w:tc>
              <w:tc>
                <w:tcPr>
                  <w:tcW w:w="915" w:type="dxa"/>
                  <w:noWrap w:val="0"/>
                  <w:vAlign w:val="center"/>
                </w:tcPr>
                <w:p>
                  <w:pPr>
                    <w:widowControl/>
                    <w:jc w:val="center"/>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0.0045</w:t>
                  </w:r>
                </w:p>
              </w:tc>
              <w:tc>
                <w:tcPr>
                  <w:tcW w:w="1246" w:type="dxa"/>
                  <w:noWrap w:val="0"/>
                  <w:vAlign w:val="center"/>
                </w:tcPr>
                <w:p>
                  <w:pPr>
                    <w:widowControl/>
                    <w:jc w:val="center"/>
                    <w:textAlignment w:val="center"/>
                    <w:rPr>
                      <w:rFonts w:hint="default" w:ascii="Times New Roman" w:hAnsi="Times New Roman" w:cs="Times New Roman"/>
                      <w:sz w:val="21"/>
                      <w:szCs w:val="21"/>
                    </w:rPr>
                  </w:pPr>
                  <w:r>
                    <w:rPr>
                      <w:rFonts w:hint="eastAsia" w:cs="Times New Roman"/>
                      <w:sz w:val="21"/>
                      <w:szCs w:val="21"/>
                      <w:lang w:val="en-US" w:eastAsia="zh-CN"/>
                    </w:rPr>
                    <w:t>0.0045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727" w:type="dxa"/>
                  <w:vMerge w:val="restart"/>
                  <w:noWrap w:val="0"/>
                  <w:vAlign w:val="center"/>
                </w:tcPr>
                <w:p>
                  <w:pPr>
                    <w:widowControl/>
                    <w:jc w:val="center"/>
                    <w:textAlignment w:val="center"/>
                    <w:rPr>
                      <w:rFonts w:hint="default" w:cs="Times New Roman"/>
                      <w:sz w:val="21"/>
                      <w:szCs w:val="21"/>
                      <w:lang w:val="en-US" w:eastAsia="zh-CN"/>
                    </w:rPr>
                  </w:pPr>
                  <w:r>
                    <w:rPr>
                      <w:rFonts w:hint="default" w:cs="Times New Roman"/>
                      <w:sz w:val="21"/>
                      <w:szCs w:val="21"/>
                      <w:lang w:val="en-US" w:eastAsia="zh-CN"/>
                    </w:rPr>
                    <w:t>废水</w:t>
                  </w:r>
                </w:p>
              </w:tc>
              <w:tc>
                <w:tcPr>
                  <w:tcW w:w="960" w:type="dxa"/>
                  <w:vMerge w:val="restart"/>
                  <w:noWrap w:val="0"/>
                  <w:vAlign w:val="center"/>
                </w:tcPr>
                <w:p>
                  <w:pPr>
                    <w:widowControl/>
                    <w:jc w:val="center"/>
                    <w:textAlignment w:val="center"/>
                    <w:rPr>
                      <w:rFonts w:hint="default" w:cs="Times New Roman"/>
                      <w:sz w:val="21"/>
                      <w:szCs w:val="21"/>
                      <w:lang w:val="en-US" w:eastAsia="zh-CN"/>
                    </w:rPr>
                  </w:pPr>
                  <w:r>
                    <w:rPr>
                      <w:rFonts w:hint="default" w:cs="Times New Roman"/>
                      <w:sz w:val="21"/>
                      <w:szCs w:val="21"/>
                      <w:lang w:val="en-US" w:eastAsia="zh-CN"/>
                    </w:rPr>
                    <w:t>生活污水</w:t>
                  </w:r>
                </w:p>
              </w:tc>
              <w:tc>
                <w:tcPr>
                  <w:tcW w:w="1575" w:type="dxa"/>
                  <w:noWrap w:val="0"/>
                  <w:vAlign w:val="center"/>
                </w:tcPr>
                <w:p>
                  <w:pPr>
                    <w:widowControl/>
                    <w:jc w:val="center"/>
                    <w:textAlignment w:val="center"/>
                    <w:rPr>
                      <w:rFonts w:hint="default" w:cs="Times New Roman"/>
                      <w:sz w:val="21"/>
                      <w:szCs w:val="21"/>
                      <w:lang w:val="en-US" w:eastAsia="zh-CN"/>
                    </w:rPr>
                  </w:pPr>
                  <w:r>
                    <w:rPr>
                      <w:rFonts w:hint="default" w:cs="Times New Roman"/>
                      <w:sz w:val="21"/>
                      <w:szCs w:val="21"/>
                      <w:lang w:val="en-US" w:eastAsia="zh-CN"/>
                    </w:rPr>
                    <w:t>水量（m3/a）</w:t>
                  </w:r>
                </w:p>
              </w:tc>
              <w:tc>
                <w:tcPr>
                  <w:tcW w:w="1035" w:type="dxa"/>
                  <w:noWrap w:val="0"/>
                  <w:vAlign w:val="center"/>
                </w:tcPr>
                <w:p>
                  <w:pPr>
                    <w:widowControl/>
                    <w:jc w:val="center"/>
                    <w:textAlignment w:val="center"/>
                    <w:rPr>
                      <w:rFonts w:hint="default" w:cs="Times New Roman"/>
                      <w:sz w:val="21"/>
                      <w:szCs w:val="21"/>
                      <w:lang w:val="en-US" w:eastAsia="zh-CN"/>
                    </w:rPr>
                  </w:pPr>
                  <w:r>
                    <w:rPr>
                      <w:rFonts w:hint="eastAsia" w:cs="Times New Roman"/>
                      <w:sz w:val="21"/>
                      <w:szCs w:val="21"/>
                      <w:lang w:val="en-US" w:eastAsia="zh-CN"/>
                    </w:rPr>
                    <w:t>1200</w:t>
                  </w:r>
                </w:p>
              </w:tc>
              <w:tc>
                <w:tcPr>
                  <w:tcW w:w="967" w:type="dxa"/>
                  <w:noWrap w:val="0"/>
                  <w:vAlign w:val="center"/>
                </w:tcPr>
                <w:p>
                  <w:pPr>
                    <w:widowControl/>
                    <w:jc w:val="center"/>
                    <w:textAlignment w:val="center"/>
                    <w:rPr>
                      <w:rFonts w:hint="default" w:cs="Times New Roman"/>
                      <w:sz w:val="21"/>
                      <w:szCs w:val="21"/>
                      <w:lang w:val="en-US" w:eastAsia="zh-CN"/>
                    </w:rPr>
                  </w:pPr>
                  <w:r>
                    <w:rPr>
                      <w:rFonts w:hint="default" w:cs="Times New Roman"/>
                      <w:sz w:val="21"/>
                      <w:szCs w:val="21"/>
                      <w:lang w:val="en-US" w:eastAsia="zh-CN"/>
                    </w:rPr>
                    <w:t>0</w:t>
                  </w:r>
                </w:p>
              </w:tc>
              <w:tc>
                <w:tcPr>
                  <w:tcW w:w="915" w:type="dxa"/>
                  <w:noWrap w:val="0"/>
                  <w:vAlign w:val="center"/>
                </w:tcPr>
                <w:p>
                  <w:pPr>
                    <w:widowControl/>
                    <w:jc w:val="center"/>
                    <w:textAlignment w:val="center"/>
                    <w:rPr>
                      <w:rFonts w:hint="default" w:cs="Times New Roman"/>
                      <w:sz w:val="21"/>
                      <w:szCs w:val="21"/>
                      <w:lang w:val="en-US" w:eastAsia="zh-CN"/>
                    </w:rPr>
                  </w:pPr>
                  <w:r>
                    <w:rPr>
                      <w:rFonts w:hint="eastAsia" w:cs="Times New Roman"/>
                      <w:sz w:val="21"/>
                      <w:szCs w:val="21"/>
                      <w:lang w:val="en-US" w:eastAsia="zh-CN"/>
                    </w:rPr>
                    <w:t>1200</w:t>
                  </w:r>
                </w:p>
              </w:tc>
              <w:tc>
                <w:tcPr>
                  <w:tcW w:w="1246" w:type="dxa"/>
                  <w:noWrap w:val="0"/>
                  <w:vAlign w:val="center"/>
                </w:tcPr>
                <w:p>
                  <w:pPr>
                    <w:widowControl/>
                    <w:jc w:val="center"/>
                    <w:textAlignment w:val="center"/>
                    <w:rPr>
                      <w:rFonts w:hint="default" w:cs="Times New Roman"/>
                      <w:sz w:val="21"/>
                      <w:szCs w:val="21"/>
                      <w:lang w:val="en-US" w:eastAsia="zh-CN"/>
                    </w:rPr>
                  </w:pPr>
                  <w:r>
                    <w:rPr>
                      <w:rFonts w:hint="eastAsia" w:cs="Times New Roman"/>
                      <w:sz w:val="21"/>
                      <w:szCs w:val="21"/>
                      <w:lang w:val="en-US" w:eastAsia="zh-CN"/>
                    </w:rPr>
                    <w:t>1200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6" w:hRule="atLeast"/>
                <w:jc w:val="center"/>
              </w:trPr>
              <w:tc>
                <w:tcPr>
                  <w:tcW w:w="727" w:type="dxa"/>
                  <w:vMerge w:val="continue"/>
                  <w:noWrap w:val="0"/>
                  <w:vAlign w:val="center"/>
                </w:tcPr>
                <w:p>
                  <w:pPr>
                    <w:widowControl/>
                    <w:jc w:val="center"/>
                    <w:textAlignment w:val="center"/>
                    <w:rPr>
                      <w:rFonts w:hint="default" w:cs="Times New Roman"/>
                      <w:sz w:val="21"/>
                      <w:szCs w:val="21"/>
                      <w:lang w:val="en-US" w:eastAsia="zh-CN"/>
                    </w:rPr>
                  </w:pPr>
                </w:p>
              </w:tc>
              <w:tc>
                <w:tcPr>
                  <w:tcW w:w="960" w:type="dxa"/>
                  <w:vMerge w:val="continue"/>
                  <w:noWrap w:val="0"/>
                  <w:vAlign w:val="center"/>
                </w:tcPr>
                <w:p>
                  <w:pPr>
                    <w:widowControl/>
                    <w:jc w:val="center"/>
                    <w:textAlignment w:val="center"/>
                    <w:rPr>
                      <w:rFonts w:hint="default" w:cs="Times New Roman"/>
                      <w:sz w:val="21"/>
                      <w:szCs w:val="21"/>
                      <w:lang w:val="en-US" w:eastAsia="zh-CN"/>
                    </w:rPr>
                  </w:pPr>
                </w:p>
              </w:tc>
              <w:tc>
                <w:tcPr>
                  <w:tcW w:w="1575" w:type="dxa"/>
                  <w:noWrap w:val="0"/>
                  <w:vAlign w:val="center"/>
                </w:tcPr>
                <w:p>
                  <w:pPr>
                    <w:widowControl/>
                    <w:jc w:val="center"/>
                    <w:textAlignment w:val="center"/>
                    <w:rPr>
                      <w:rFonts w:hint="default" w:cs="Times New Roman"/>
                      <w:sz w:val="21"/>
                      <w:szCs w:val="21"/>
                      <w:lang w:val="en-US" w:eastAsia="zh-CN"/>
                    </w:rPr>
                  </w:pPr>
                  <w:r>
                    <w:rPr>
                      <w:rFonts w:hint="eastAsia" w:cs="Times New Roman"/>
                      <w:sz w:val="21"/>
                      <w:szCs w:val="21"/>
                      <w:lang w:val="en-US" w:eastAsia="zh-CN"/>
                    </w:rPr>
                    <w:t>COD</w:t>
                  </w:r>
                </w:p>
              </w:tc>
              <w:tc>
                <w:tcPr>
                  <w:tcW w:w="1035" w:type="dxa"/>
                  <w:noWrap w:val="0"/>
                  <w:vAlign w:val="bottom"/>
                </w:tcPr>
                <w:p>
                  <w:pPr>
                    <w:jc w:val="center"/>
                    <w:rPr>
                      <w:rFonts w:hint="default" w:cs="Times New Roman"/>
                      <w:sz w:val="21"/>
                      <w:szCs w:val="21"/>
                      <w:lang w:val="en-US" w:eastAsia="zh-CN"/>
                    </w:rPr>
                  </w:pPr>
                  <w:r>
                    <w:rPr>
                      <w:rFonts w:hint="eastAsia"/>
                      <w:szCs w:val="21"/>
                      <w:highlight w:val="none"/>
                      <w:lang w:val="en-US" w:eastAsia="zh-CN"/>
                    </w:rPr>
                    <w:t>0.42</w:t>
                  </w:r>
                </w:p>
              </w:tc>
              <w:tc>
                <w:tcPr>
                  <w:tcW w:w="967" w:type="dxa"/>
                  <w:noWrap w:val="0"/>
                  <w:vAlign w:val="center"/>
                </w:tcPr>
                <w:p>
                  <w:pPr>
                    <w:widowControl/>
                    <w:jc w:val="center"/>
                    <w:textAlignment w:val="center"/>
                    <w:rPr>
                      <w:rFonts w:hint="default" w:cs="Times New Roman"/>
                      <w:sz w:val="21"/>
                      <w:szCs w:val="21"/>
                      <w:lang w:val="en-US" w:eastAsia="zh-CN"/>
                    </w:rPr>
                  </w:pPr>
                  <w:r>
                    <w:rPr>
                      <w:rFonts w:hint="default" w:cs="Times New Roman"/>
                      <w:sz w:val="21"/>
                      <w:szCs w:val="21"/>
                      <w:lang w:val="en-US" w:eastAsia="zh-CN"/>
                    </w:rPr>
                    <w:t>0</w:t>
                  </w:r>
                </w:p>
              </w:tc>
              <w:tc>
                <w:tcPr>
                  <w:tcW w:w="915" w:type="dxa"/>
                  <w:noWrap w:val="0"/>
                  <w:vAlign w:val="bottom"/>
                </w:tcPr>
                <w:p>
                  <w:pPr>
                    <w:jc w:val="center"/>
                    <w:rPr>
                      <w:rFonts w:hint="default" w:cs="Times New Roman"/>
                      <w:sz w:val="21"/>
                      <w:szCs w:val="21"/>
                      <w:lang w:val="en-US" w:eastAsia="zh-CN"/>
                    </w:rPr>
                  </w:pPr>
                  <w:r>
                    <w:rPr>
                      <w:rFonts w:hint="eastAsia"/>
                      <w:szCs w:val="21"/>
                      <w:highlight w:val="none"/>
                      <w:lang w:val="en-US" w:eastAsia="zh-CN"/>
                    </w:rPr>
                    <w:t>0.42</w:t>
                  </w:r>
                </w:p>
              </w:tc>
              <w:tc>
                <w:tcPr>
                  <w:tcW w:w="1246" w:type="dxa"/>
                  <w:noWrap w:val="0"/>
                  <w:vAlign w:val="bottom"/>
                </w:tcPr>
                <w:p>
                  <w:pPr>
                    <w:jc w:val="center"/>
                    <w:rPr>
                      <w:rFonts w:hint="default" w:cs="Times New Roman"/>
                      <w:sz w:val="21"/>
                      <w:szCs w:val="21"/>
                      <w:lang w:val="en-US" w:eastAsia="zh-CN"/>
                    </w:rPr>
                  </w:pPr>
                  <w:r>
                    <w:rPr>
                      <w:rFonts w:hint="eastAsia"/>
                      <w:szCs w:val="21"/>
                      <w:highlight w:val="none"/>
                      <w:lang w:val="en-US" w:eastAsia="zh-CN"/>
                    </w:rPr>
                    <w:t>0.42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727" w:type="dxa"/>
                  <w:vMerge w:val="continue"/>
                  <w:noWrap w:val="0"/>
                  <w:vAlign w:val="center"/>
                </w:tcPr>
                <w:p>
                  <w:pPr>
                    <w:widowControl/>
                    <w:jc w:val="center"/>
                    <w:textAlignment w:val="center"/>
                    <w:rPr>
                      <w:rFonts w:hint="default" w:cs="Times New Roman"/>
                      <w:sz w:val="21"/>
                      <w:szCs w:val="21"/>
                      <w:lang w:val="en-US" w:eastAsia="zh-CN"/>
                    </w:rPr>
                  </w:pPr>
                </w:p>
              </w:tc>
              <w:tc>
                <w:tcPr>
                  <w:tcW w:w="960" w:type="dxa"/>
                  <w:vMerge w:val="continue"/>
                  <w:noWrap w:val="0"/>
                  <w:vAlign w:val="center"/>
                </w:tcPr>
                <w:p>
                  <w:pPr>
                    <w:widowControl/>
                    <w:jc w:val="center"/>
                    <w:textAlignment w:val="center"/>
                    <w:rPr>
                      <w:rFonts w:hint="default" w:cs="Times New Roman"/>
                      <w:sz w:val="21"/>
                      <w:szCs w:val="21"/>
                      <w:lang w:val="en-US" w:eastAsia="zh-CN"/>
                    </w:rPr>
                  </w:pPr>
                </w:p>
              </w:tc>
              <w:tc>
                <w:tcPr>
                  <w:tcW w:w="1575" w:type="dxa"/>
                  <w:noWrap w:val="0"/>
                  <w:vAlign w:val="center"/>
                </w:tcPr>
                <w:p>
                  <w:pPr>
                    <w:widowControl/>
                    <w:jc w:val="center"/>
                    <w:textAlignment w:val="center"/>
                    <w:rPr>
                      <w:rFonts w:hint="default" w:cs="Times New Roman"/>
                      <w:sz w:val="21"/>
                      <w:szCs w:val="21"/>
                      <w:lang w:val="en-US" w:eastAsia="zh-CN"/>
                    </w:rPr>
                  </w:pPr>
                  <w:r>
                    <w:rPr>
                      <w:rFonts w:hint="eastAsia" w:cs="Times New Roman"/>
                      <w:sz w:val="21"/>
                      <w:szCs w:val="21"/>
                      <w:lang w:val="en-US" w:eastAsia="zh-CN"/>
                    </w:rPr>
                    <w:t>SS</w:t>
                  </w:r>
                </w:p>
              </w:tc>
              <w:tc>
                <w:tcPr>
                  <w:tcW w:w="1035" w:type="dxa"/>
                  <w:noWrap w:val="0"/>
                  <w:vAlign w:val="bottom"/>
                </w:tcPr>
                <w:p>
                  <w:pPr>
                    <w:jc w:val="center"/>
                    <w:rPr>
                      <w:rFonts w:hint="default" w:cs="Times New Roman"/>
                      <w:sz w:val="21"/>
                      <w:szCs w:val="21"/>
                      <w:lang w:val="en-US" w:eastAsia="zh-CN"/>
                    </w:rPr>
                  </w:pPr>
                  <w:r>
                    <w:rPr>
                      <w:rFonts w:hint="eastAsia"/>
                      <w:szCs w:val="21"/>
                      <w:highlight w:val="none"/>
                      <w:lang w:val="en-US" w:eastAsia="zh-CN"/>
                    </w:rPr>
                    <w:t>0.36</w:t>
                  </w:r>
                </w:p>
              </w:tc>
              <w:tc>
                <w:tcPr>
                  <w:tcW w:w="967" w:type="dxa"/>
                  <w:noWrap w:val="0"/>
                  <w:vAlign w:val="center"/>
                </w:tcPr>
                <w:p>
                  <w:pPr>
                    <w:widowControl/>
                    <w:jc w:val="center"/>
                    <w:textAlignment w:val="center"/>
                    <w:rPr>
                      <w:rFonts w:hint="default" w:cs="Times New Roman"/>
                      <w:sz w:val="21"/>
                      <w:szCs w:val="21"/>
                      <w:lang w:val="en-US" w:eastAsia="zh-CN"/>
                    </w:rPr>
                  </w:pPr>
                  <w:r>
                    <w:rPr>
                      <w:rFonts w:hint="default" w:cs="Times New Roman"/>
                      <w:sz w:val="21"/>
                      <w:szCs w:val="21"/>
                      <w:lang w:val="en-US" w:eastAsia="zh-CN"/>
                    </w:rPr>
                    <w:t>0</w:t>
                  </w:r>
                </w:p>
              </w:tc>
              <w:tc>
                <w:tcPr>
                  <w:tcW w:w="915" w:type="dxa"/>
                  <w:noWrap w:val="0"/>
                  <w:vAlign w:val="bottom"/>
                </w:tcPr>
                <w:p>
                  <w:pPr>
                    <w:jc w:val="center"/>
                    <w:rPr>
                      <w:rFonts w:hint="default" w:cs="Times New Roman"/>
                      <w:sz w:val="21"/>
                      <w:szCs w:val="21"/>
                      <w:lang w:val="en-US" w:eastAsia="zh-CN"/>
                    </w:rPr>
                  </w:pPr>
                  <w:r>
                    <w:rPr>
                      <w:rFonts w:hint="eastAsia"/>
                      <w:szCs w:val="21"/>
                      <w:highlight w:val="none"/>
                      <w:lang w:val="en-US" w:eastAsia="zh-CN"/>
                    </w:rPr>
                    <w:t>0.36</w:t>
                  </w:r>
                </w:p>
              </w:tc>
              <w:tc>
                <w:tcPr>
                  <w:tcW w:w="1246" w:type="dxa"/>
                  <w:noWrap w:val="0"/>
                  <w:vAlign w:val="bottom"/>
                </w:tcPr>
                <w:p>
                  <w:pPr>
                    <w:jc w:val="center"/>
                    <w:rPr>
                      <w:rFonts w:hint="default" w:cs="Times New Roman"/>
                      <w:sz w:val="21"/>
                      <w:szCs w:val="21"/>
                      <w:lang w:val="en-US" w:eastAsia="zh-CN"/>
                    </w:rPr>
                  </w:pPr>
                  <w:r>
                    <w:rPr>
                      <w:rFonts w:hint="eastAsia"/>
                      <w:szCs w:val="21"/>
                      <w:highlight w:val="none"/>
                      <w:lang w:val="en-US" w:eastAsia="zh-CN"/>
                    </w:rPr>
                    <w:t>0.36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727" w:type="dxa"/>
                  <w:vMerge w:val="continue"/>
                  <w:noWrap w:val="0"/>
                  <w:vAlign w:val="center"/>
                </w:tcPr>
                <w:p>
                  <w:pPr>
                    <w:widowControl/>
                    <w:jc w:val="center"/>
                    <w:textAlignment w:val="center"/>
                    <w:rPr>
                      <w:rFonts w:hint="default" w:cs="Times New Roman"/>
                      <w:sz w:val="21"/>
                      <w:szCs w:val="21"/>
                      <w:lang w:val="en-US" w:eastAsia="zh-CN"/>
                    </w:rPr>
                  </w:pPr>
                </w:p>
              </w:tc>
              <w:tc>
                <w:tcPr>
                  <w:tcW w:w="960" w:type="dxa"/>
                  <w:vMerge w:val="continue"/>
                  <w:noWrap w:val="0"/>
                  <w:vAlign w:val="center"/>
                </w:tcPr>
                <w:p>
                  <w:pPr>
                    <w:widowControl/>
                    <w:jc w:val="center"/>
                    <w:textAlignment w:val="center"/>
                    <w:rPr>
                      <w:rFonts w:hint="default" w:cs="Times New Roman"/>
                      <w:sz w:val="21"/>
                      <w:szCs w:val="21"/>
                      <w:lang w:val="en-US" w:eastAsia="zh-CN"/>
                    </w:rPr>
                  </w:pPr>
                </w:p>
              </w:tc>
              <w:tc>
                <w:tcPr>
                  <w:tcW w:w="1575" w:type="dxa"/>
                  <w:noWrap w:val="0"/>
                  <w:vAlign w:val="center"/>
                </w:tcPr>
                <w:p>
                  <w:pPr>
                    <w:widowControl/>
                    <w:jc w:val="center"/>
                    <w:textAlignment w:val="center"/>
                    <w:rPr>
                      <w:rFonts w:hint="default" w:cs="Times New Roman"/>
                      <w:sz w:val="21"/>
                      <w:szCs w:val="21"/>
                      <w:lang w:val="en-US" w:eastAsia="zh-CN"/>
                    </w:rPr>
                  </w:pPr>
                  <w:r>
                    <w:rPr>
                      <w:rFonts w:hint="eastAsia" w:cs="Times New Roman"/>
                      <w:sz w:val="21"/>
                      <w:szCs w:val="21"/>
                      <w:lang w:val="en-US" w:eastAsia="zh-CN"/>
                    </w:rPr>
                    <w:t>总氮</w:t>
                  </w:r>
                </w:p>
              </w:tc>
              <w:tc>
                <w:tcPr>
                  <w:tcW w:w="1035" w:type="dxa"/>
                  <w:noWrap w:val="0"/>
                  <w:vAlign w:val="bottom"/>
                </w:tcPr>
                <w:p>
                  <w:pPr>
                    <w:jc w:val="center"/>
                    <w:rPr>
                      <w:rFonts w:hint="eastAsia" w:cs="Times New Roman"/>
                      <w:sz w:val="21"/>
                      <w:szCs w:val="21"/>
                      <w:lang w:val="en-US" w:eastAsia="zh-CN"/>
                    </w:rPr>
                  </w:pPr>
                  <w:r>
                    <w:rPr>
                      <w:rFonts w:hint="eastAsia"/>
                      <w:szCs w:val="21"/>
                      <w:highlight w:val="none"/>
                      <w:lang w:val="en-US" w:eastAsia="zh-CN"/>
                    </w:rPr>
                    <w:t>0.048</w:t>
                  </w:r>
                </w:p>
              </w:tc>
              <w:tc>
                <w:tcPr>
                  <w:tcW w:w="967" w:type="dxa"/>
                  <w:noWrap w:val="0"/>
                  <w:vAlign w:val="center"/>
                </w:tcPr>
                <w:p>
                  <w:pPr>
                    <w:widowControl/>
                    <w:jc w:val="center"/>
                    <w:textAlignment w:val="center"/>
                    <w:rPr>
                      <w:rFonts w:hint="default" w:cs="Times New Roman"/>
                      <w:sz w:val="21"/>
                      <w:szCs w:val="21"/>
                      <w:lang w:val="en-US" w:eastAsia="zh-CN"/>
                    </w:rPr>
                  </w:pPr>
                  <w:r>
                    <w:rPr>
                      <w:rFonts w:hint="default" w:cs="Times New Roman"/>
                      <w:sz w:val="21"/>
                      <w:szCs w:val="21"/>
                      <w:lang w:val="en-US" w:eastAsia="zh-CN"/>
                    </w:rPr>
                    <w:t>0</w:t>
                  </w:r>
                </w:p>
              </w:tc>
              <w:tc>
                <w:tcPr>
                  <w:tcW w:w="915" w:type="dxa"/>
                  <w:noWrap w:val="0"/>
                  <w:vAlign w:val="bottom"/>
                </w:tcPr>
                <w:p>
                  <w:pPr>
                    <w:jc w:val="center"/>
                    <w:rPr>
                      <w:rFonts w:hint="default" w:cs="Times New Roman"/>
                      <w:sz w:val="21"/>
                      <w:szCs w:val="21"/>
                      <w:lang w:val="en-US" w:eastAsia="zh-CN"/>
                    </w:rPr>
                  </w:pPr>
                  <w:r>
                    <w:rPr>
                      <w:rFonts w:hint="eastAsia"/>
                      <w:szCs w:val="21"/>
                      <w:highlight w:val="none"/>
                      <w:lang w:val="en-US" w:eastAsia="zh-CN"/>
                    </w:rPr>
                    <w:t>0.048</w:t>
                  </w:r>
                </w:p>
              </w:tc>
              <w:tc>
                <w:tcPr>
                  <w:tcW w:w="1246" w:type="dxa"/>
                  <w:noWrap w:val="0"/>
                  <w:vAlign w:val="bottom"/>
                </w:tcPr>
                <w:p>
                  <w:pPr>
                    <w:jc w:val="center"/>
                    <w:rPr>
                      <w:rFonts w:hint="default" w:cs="Times New Roman"/>
                      <w:sz w:val="21"/>
                      <w:szCs w:val="21"/>
                      <w:lang w:val="en-US" w:eastAsia="zh-CN"/>
                    </w:rPr>
                  </w:pPr>
                  <w:r>
                    <w:rPr>
                      <w:rFonts w:hint="eastAsia"/>
                      <w:szCs w:val="21"/>
                      <w:highlight w:val="none"/>
                      <w:lang w:val="en-US" w:eastAsia="zh-CN"/>
                    </w:rPr>
                    <w:t>0.048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727" w:type="dxa"/>
                  <w:vMerge w:val="continue"/>
                  <w:noWrap w:val="0"/>
                  <w:vAlign w:val="center"/>
                </w:tcPr>
                <w:p>
                  <w:pPr>
                    <w:widowControl/>
                    <w:jc w:val="center"/>
                    <w:textAlignment w:val="center"/>
                    <w:rPr>
                      <w:rFonts w:hint="default" w:cs="Times New Roman"/>
                      <w:sz w:val="21"/>
                      <w:szCs w:val="21"/>
                      <w:lang w:val="en-US" w:eastAsia="zh-CN"/>
                    </w:rPr>
                  </w:pPr>
                </w:p>
              </w:tc>
              <w:tc>
                <w:tcPr>
                  <w:tcW w:w="960" w:type="dxa"/>
                  <w:vMerge w:val="continue"/>
                  <w:noWrap w:val="0"/>
                  <w:vAlign w:val="center"/>
                </w:tcPr>
                <w:p>
                  <w:pPr>
                    <w:widowControl/>
                    <w:jc w:val="center"/>
                    <w:textAlignment w:val="center"/>
                    <w:rPr>
                      <w:rFonts w:hint="default" w:cs="Times New Roman"/>
                      <w:sz w:val="21"/>
                      <w:szCs w:val="21"/>
                      <w:lang w:val="en-US" w:eastAsia="zh-CN"/>
                    </w:rPr>
                  </w:pPr>
                </w:p>
              </w:tc>
              <w:tc>
                <w:tcPr>
                  <w:tcW w:w="1575" w:type="dxa"/>
                  <w:noWrap w:val="0"/>
                  <w:vAlign w:val="center"/>
                </w:tcPr>
                <w:p>
                  <w:pPr>
                    <w:widowControl/>
                    <w:jc w:val="center"/>
                    <w:textAlignment w:val="center"/>
                    <w:rPr>
                      <w:rFonts w:hint="default" w:cs="Times New Roman"/>
                      <w:sz w:val="21"/>
                      <w:szCs w:val="21"/>
                      <w:lang w:val="en-US" w:eastAsia="zh-CN"/>
                    </w:rPr>
                  </w:pPr>
                  <w:r>
                    <w:rPr>
                      <w:rFonts w:hint="eastAsia" w:cs="Times New Roman"/>
                      <w:sz w:val="21"/>
                      <w:szCs w:val="21"/>
                      <w:lang w:val="en-US" w:eastAsia="zh-CN"/>
                    </w:rPr>
                    <w:t>氨氮</w:t>
                  </w:r>
                </w:p>
              </w:tc>
              <w:tc>
                <w:tcPr>
                  <w:tcW w:w="1035" w:type="dxa"/>
                  <w:noWrap w:val="0"/>
                  <w:vAlign w:val="bottom"/>
                </w:tcPr>
                <w:p>
                  <w:pPr>
                    <w:jc w:val="center"/>
                    <w:rPr>
                      <w:rFonts w:hint="default" w:cs="Times New Roman"/>
                      <w:sz w:val="21"/>
                      <w:szCs w:val="21"/>
                      <w:lang w:val="en-US" w:eastAsia="zh-CN"/>
                    </w:rPr>
                  </w:pPr>
                  <w:r>
                    <w:rPr>
                      <w:rFonts w:hint="eastAsia"/>
                      <w:szCs w:val="21"/>
                      <w:highlight w:val="none"/>
                      <w:lang w:val="en-US" w:eastAsia="zh-CN"/>
                    </w:rPr>
                    <w:t>0.03</w:t>
                  </w:r>
                </w:p>
              </w:tc>
              <w:tc>
                <w:tcPr>
                  <w:tcW w:w="967" w:type="dxa"/>
                  <w:noWrap w:val="0"/>
                  <w:vAlign w:val="center"/>
                </w:tcPr>
                <w:p>
                  <w:pPr>
                    <w:widowControl/>
                    <w:jc w:val="center"/>
                    <w:textAlignment w:val="center"/>
                    <w:rPr>
                      <w:rFonts w:hint="default" w:cs="Times New Roman"/>
                      <w:sz w:val="21"/>
                      <w:szCs w:val="21"/>
                      <w:lang w:val="en-US" w:eastAsia="zh-CN"/>
                    </w:rPr>
                  </w:pPr>
                  <w:r>
                    <w:rPr>
                      <w:rFonts w:hint="default" w:cs="Times New Roman"/>
                      <w:sz w:val="21"/>
                      <w:szCs w:val="21"/>
                      <w:lang w:val="en-US" w:eastAsia="zh-CN"/>
                    </w:rPr>
                    <w:t>0</w:t>
                  </w:r>
                </w:p>
              </w:tc>
              <w:tc>
                <w:tcPr>
                  <w:tcW w:w="915" w:type="dxa"/>
                  <w:noWrap w:val="0"/>
                  <w:vAlign w:val="bottom"/>
                </w:tcPr>
                <w:p>
                  <w:pPr>
                    <w:jc w:val="center"/>
                    <w:rPr>
                      <w:rFonts w:hint="default" w:cs="Times New Roman"/>
                      <w:sz w:val="21"/>
                      <w:szCs w:val="21"/>
                      <w:lang w:val="en-US" w:eastAsia="zh-CN"/>
                    </w:rPr>
                  </w:pPr>
                  <w:r>
                    <w:rPr>
                      <w:rFonts w:hint="eastAsia"/>
                      <w:szCs w:val="21"/>
                      <w:highlight w:val="none"/>
                      <w:lang w:val="en-US" w:eastAsia="zh-CN"/>
                    </w:rPr>
                    <w:t>0.03</w:t>
                  </w:r>
                </w:p>
              </w:tc>
              <w:tc>
                <w:tcPr>
                  <w:tcW w:w="1246" w:type="dxa"/>
                  <w:noWrap w:val="0"/>
                  <w:vAlign w:val="bottom"/>
                </w:tcPr>
                <w:p>
                  <w:pPr>
                    <w:jc w:val="center"/>
                    <w:rPr>
                      <w:rFonts w:hint="default" w:cs="Times New Roman"/>
                      <w:sz w:val="21"/>
                      <w:szCs w:val="21"/>
                      <w:lang w:val="en-US" w:eastAsia="zh-CN"/>
                    </w:rPr>
                  </w:pPr>
                  <w:r>
                    <w:rPr>
                      <w:rFonts w:hint="eastAsia"/>
                      <w:szCs w:val="21"/>
                      <w:highlight w:val="none"/>
                      <w:lang w:val="en-US" w:eastAsia="zh-CN"/>
                    </w:rPr>
                    <w:t>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727" w:type="dxa"/>
                  <w:vMerge w:val="continue"/>
                  <w:noWrap w:val="0"/>
                  <w:vAlign w:val="center"/>
                </w:tcPr>
                <w:p>
                  <w:pPr>
                    <w:widowControl/>
                    <w:jc w:val="center"/>
                    <w:textAlignment w:val="center"/>
                    <w:rPr>
                      <w:rFonts w:hint="default" w:cs="Times New Roman"/>
                      <w:sz w:val="21"/>
                      <w:szCs w:val="21"/>
                      <w:lang w:val="en-US" w:eastAsia="zh-CN"/>
                    </w:rPr>
                  </w:pPr>
                </w:p>
              </w:tc>
              <w:tc>
                <w:tcPr>
                  <w:tcW w:w="960" w:type="dxa"/>
                  <w:vMerge w:val="continue"/>
                  <w:noWrap w:val="0"/>
                  <w:vAlign w:val="center"/>
                </w:tcPr>
                <w:p>
                  <w:pPr>
                    <w:widowControl/>
                    <w:jc w:val="center"/>
                    <w:textAlignment w:val="center"/>
                    <w:rPr>
                      <w:rFonts w:hint="default" w:cs="Times New Roman"/>
                      <w:sz w:val="21"/>
                      <w:szCs w:val="21"/>
                      <w:lang w:val="en-US" w:eastAsia="zh-CN"/>
                    </w:rPr>
                  </w:pPr>
                </w:p>
              </w:tc>
              <w:tc>
                <w:tcPr>
                  <w:tcW w:w="1575" w:type="dxa"/>
                  <w:noWrap w:val="0"/>
                  <w:vAlign w:val="center"/>
                </w:tcPr>
                <w:p>
                  <w:pPr>
                    <w:widowControl/>
                    <w:jc w:val="center"/>
                    <w:textAlignment w:val="center"/>
                    <w:rPr>
                      <w:rFonts w:hint="default" w:cs="Times New Roman"/>
                      <w:sz w:val="21"/>
                      <w:szCs w:val="21"/>
                      <w:lang w:val="en-US" w:eastAsia="zh-CN"/>
                    </w:rPr>
                  </w:pPr>
                  <w:r>
                    <w:rPr>
                      <w:rFonts w:hint="eastAsia" w:cs="Times New Roman"/>
                      <w:sz w:val="21"/>
                      <w:szCs w:val="21"/>
                      <w:lang w:val="en-US" w:eastAsia="zh-CN"/>
                    </w:rPr>
                    <w:t>总磷</w:t>
                  </w:r>
                </w:p>
              </w:tc>
              <w:tc>
                <w:tcPr>
                  <w:tcW w:w="1035" w:type="dxa"/>
                  <w:noWrap w:val="0"/>
                  <w:vAlign w:val="bottom"/>
                </w:tcPr>
                <w:p>
                  <w:pPr>
                    <w:jc w:val="center"/>
                    <w:rPr>
                      <w:rFonts w:hint="default" w:cs="Times New Roman"/>
                      <w:sz w:val="21"/>
                      <w:szCs w:val="21"/>
                      <w:lang w:val="en-US" w:eastAsia="zh-CN"/>
                    </w:rPr>
                  </w:pPr>
                  <w:r>
                    <w:rPr>
                      <w:rFonts w:hint="eastAsia"/>
                      <w:szCs w:val="21"/>
                      <w:highlight w:val="none"/>
                      <w:lang w:val="en-US" w:eastAsia="zh-CN"/>
                    </w:rPr>
                    <w:t>0.42</w:t>
                  </w:r>
                </w:p>
              </w:tc>
              <w:tc>
                <w:tcPr>
                  <w:tcW w:w="967" w:type="dxa"/>
                  <w:noWrap w:val="0"/>
                  <w:vAlign w:val="center"/>
                </w:tcPr>
                <w:p>
                  <w:pPr>
                    <w:widowControl/>
                    <w:jc w:val="center"/>
                    <w:textAlignment w:val="center"/>
                    <w:rPr>
                      <w:rFonts w:hint="default" w:cs="Times New Roman"/>
                      <w:sz w:val="21"/>
                      <w:szCs w:val="21"/>
                      <w:lang w:val="en-US" w:eastAsia="zh-CN"/>
                    </w:rPr>
                  </w:pPr>
                  <w:r>
                    <w:rPr>
                      <w:rFonts w:hint="default" w:cs="Times New Roman"/>
                      <w:sz w:val="21"/>
                      <w:szCs w:val="21"/>
                      <w:lang w:val="en-US" w:eastAsia="zh-CN"/>
                    </w:rPr>
                    <w:t>0</w:t>
                  </w:r>
                </w:p>
              </w:tc>
              <w:tc>
                <w:tcPr>
                  <w:tcW w:w="915" w:type="dxa"/>
                  <w:noWrap w:val="0"/>
                  <w:vAlign w:val="bottom"/>
                </w:tcPr>
                <w:p>
                  <w:pPr>
                    <w:jc w:val="center"/>
                    <w:rPr>
                      <w:rFonts w:hint="default" w:cs="Times New Roman"/>
                      <w:sz w:val="21"/>
                      <w:szCs w:val="21"/>
                      <w:lang w:val="en-US" w:eastAsia="zh-CN"/>
                    </w:rPr>
                  </w:pPr>
                  <w:r>
                    <w:rPr>
                      <w:rFonts w:hint="eastAsia"/>
                      <w:szCs w:val="21"/>
                      <w:highlight w:val="none"/>
                      <w:lang w:val="en-US" w:eastAsia="zh-CN"/>
                    </w:rPr>
                    <w:t>0.42</w:t>
                  </w:r>
                </w:p>
              </w:tc>
              <w:tc>
                <w:tcPr>
                  <w:tcW w:w="1246" w:type="dxa"/>
                  <w:noWrap w:val="0"/>
                  <w:vAlign w:val="bottom"/>
                </w:tcPr>
                <w:p>
                  <w:pPr>
                    <w:jc w:val="center"/>
                    <w:rPr>
                      <w:rFonts w:hint="default" w:cs="Times New Roman"/>
                      <w:sz w:val="21"/>
                      <w:szCs w:val="21"/>
                      <w:lang w:val="en-US" w:eastAsia="zh-CN"/>
                    </w:rPr>
                  </w:pPr>
                  <w:r>
                    <w:rPr>
                      <w:rFonts w:hint="eastAsia"/>
                      <w:szCs w:val="21"/>
                      <w:highlight w:val="none"/>
                      <w:lang w:val="en-US" w:eastAsia="zh-CN"/>
                    </w:rPr>
                    <w:t>0.42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727" w:type="dxa"/>
                  <w:vMerge w:val="continue"/>
                  <w:noWrap w:val="0"/>
                  <w:vAlign w:val="center"/>
                </w:tcPr>
                <w:p>
                  <w:pPr>
                    <w:widowControl/>
                    <w:jc w:val="center"/>
                    <w:textAlignment w:val="center"/>
                    <w:rPr>
                      <w:rFonts w:hint="default" w:cs="Times New Roman"/>
                      <w:sz w:val="21"/>
                      <w:szCs w:val="21"/>
                      <w:lang w:val="en-US" w:eastAsia="zh-CN"/>
                    </w:rPr>
                  </w:pPr>
                </w:p>
              </w:tc>
              <w:tc>
                <w:tcPr>
                  <w:tcW w:w="960" w:type="dxa"/>
                  <w:vMerge w:val="restart"/>
                  <w:noWrap w:val="0"/>
                  <w:vAlign w:val="center"/>
                </w:tcPr>
                <w:p>
                  <w:pPr>
                    <w:widowControl/>
                    <w:jc w:val="center"/>
                    <w:textAlignment w:val="center"/>
                    <w:rPr>
                      <w:rFonts w:hint="eastAsia" w:cs="Times New Roman"/>
                      <w:sz w:val="21"/>
                      <w:szCs w:val="21"/>
                      <w:lang w:val="en-US" w:eastAsia="zh-CN"/>
                    </w:rPr>
                  </w:pPr>
                  <w:r>
                    <w:rPr>
                      <w:rFonts w:hint="eastAsia" w:cs="Times New Roman"/>
                      <w:sz w:val="21"/>
                      <w:szCs w:val="21"/>
                      <w:lang w:val="en-US" w:eastAsia="zh-CN"/>
                    </w:rPr>
                    <w:t>冷却废水</w:t>
                  </w:r>
                </w:p>
              </w:tc>
              <w:tc>
                <w:tcPr>
                  <w:tcW w:w="1575" w:type="dxa"/>
                  <w:noWrap w:val="0"/>
                  <w:vAlign w:val="center"/>
                </w:tcPr>
                <w:p>
                  <w:pPr>
                    <w:widowControl/>
                    <w:jc w:val="center"/>
                    <w:textAlignment w:val="center"/>
                    <w:rPr>
                      <w:rFonts w:hint="default" w:cs="Times New Roman"/>
                      <w:sz w:val="21"/>
                      <w:szCs w:val="21"/>
                      <w:lang w:val="en-US" w:eastAsia="zh-CN"/>
                    </w:rPr>
                  </w:pPr>
                  <w:r>
                    <w:rPr>
                      <w:rFonts w:hint="default" w:cs="Times New Roman"/>
                      <w:sz w:val="21"/>
                      <w:szCs w:val="21"/>
                      <w:lang w:val="en-US" w:eastAsia="zh-CN"/>
                    </w:rPr>
                    <w:t>水量（m3/a）</w:t>
                  </w:r>
                </w:p>
              </w:tc>
              <w:tc>
                <w:tcPr>
                  <w:tcW w:w="1035" w:type="dxa"/>
                  <w:noWrap w:val="0"/>
                  <w:vAlign w:val="center"/>
                </w:tcPr>
                <w:p>
                  <w:pPr>
                    <w:widowControl/>
                    <w:jc w:val="center"/>
                    <w:textAlignment w:val="center"/>
                    <w:rPr>
                      <w:rFonts w:hint="default" w:cs="Times New Roman"/>
                      <w:sz w:val="21"/>
                      <w:szCs w:val="21"/>
                      <w:lang w:val="en-US" w:eastAsia="zh-CN"/>
                    </w:rPr>
                  </w:pPr>
                  <w:r>
                    <w:rPr>
                      <w:rFonts w:hint="eastAsia" w:cs="Times New Roman"/>
                      <w:sz w:val="21"/>
                      <w:szCs w:val="21"/>
                      <w:lang w:val="en-US" w:eastAsia="zh-CN"/>
                    </w:rPr>
                    <w:t>720</w:t>
                  </w:r>
                </w:p>
              </w:tc>
              <w:tc>
                <w:tcPr>
                  <w:tcW w:w="967" w:type="dxa"/>
                  <w:noWrap w:val="0"/>
                  <w:vAlign w:val="center"/>
                </w:tcPr>
                <w:p>
                  <w:pPr>
                    <w:widowControl/>
                    <w:jc w:val="center"/>
                    <w:textAlignment w:val="center"/>
                    <w:rPr>
                      <w:rFonts w:hint="default" w:cs="Times New Roman"/>
                      <w:sz w:val="21"/>
                      <w:szCs w:val="21"/>
                      <w:lang w:val="en-US" w:eastAsia="zh-CN"/>
                    </w:rPr>
                  </w:pPr>
                  <w:r>
                    <w:rPr>
                      <w:rFonts w:hint="default" w:cs="Times New Roman"/>
                      <w:sz w:val="21"/>
                      <w:szCs w:val="21"/>
                      <w:lang w:val="en-US" w:eastAsia="zh-CN"/>
                    </w:rPr>
                    <w:t>0</w:t>
                  </w:r>
                </w:p>
              </w:tc>
              <w:tc>
                <w:tcPr>
                  <w:tcW w:w="915" w:type="dxa"/>
                  <w:noWrap w:val="0"/>
                  <w:vAlign w:val="center"/>
                </w:tcPr>
                <w:p>
                  <w:pPr>
                    <w:widowControl/>
                    <w:jc w:val="center"/>
                    <w:textAlignment w:val="center"/>
                    <w:rPr>
                      <w:rFonts w:hint="default" w:cs="Times New Roman"/>
                      <w:sz w:val="21"/>
                      <w:szCs w:val="21"/>
                      <w:lang w:val="en-US" w:eastAsia="zh-CN"/>
                    </w:rPr>
                  </w:pPr>
                  <w:r>
                    <w:rPr>
                      <w:rFonts w:hint="eastAsia" w:cs="Times New Roman"/>
                      <w:sz w:val="21"/>
                      <w:szCs w:val="21"/>
                      <w:lang w:val="en-US" w:eastAsia="zh-CN"/>
                    </w:rPr>
                    <w:t>720</w:t>
                  </w:r>
                </w:p>
              </w:tc>
              <w:tc>
                <w:tcPr>
                  <w:tcW w:w="1246" w:type="dxa"/>
                  <w:noWrap w:val="0"/>
                  <w:vAlign w:val="center"/>
                </w:tcPr>
                <w:p>
                  <w:pPr>
                    <w:widowControl/>
                    <w:jc w:val="center"/>
                    <w:textAlignment w:val="center"/>
                    <w:rPr>
                      <w:rFonts w:hint="default" w:cs="Times New Roman"/>
                      <w:sz w:val="21"/>
                      <w:szCs w:val="21"/>
                      <w:lang w:val="en-US" w:eastAsia="zh-CN"/>
                    </w:rPr>
                  </w:pPr>
                  <w:r>
                    <w:rPr>
                      <w:rFonts w:hint="eastAsia" w:cs="Times New Roman"/>
                      <w:sz w:val="21"/>
                      <w:szCs w:val="21"/>
                      <w:lang w:val="en-US" w:eastAsia="zh-CN"/>
                    </w:rPr>
                    <w:t>720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727" w:type="dxa"/>
                  <w:vMerge w:val="continue"/>
                  <w:noWrap w:val="0"/>
                  <w:vAlign w:val="center"/>
                </w:tcPr>
                <w:p>
                  <w:pPr>
                    <w:widowControl/>
                    <w:jc w:val="center"/>
                    <w:textAlignment w:val="center"/>
                    <w:rPr>
                      <w:rFonts w:hint="default" w:cs="Times New Roman"/>
                      <w:sz w:val="21"/>
                      <w:szCs w:val="21"/>
                      <w:lang w:val="en-US" w:eastAsia="zh-CN"/>
                    </w:rPr>
                  </w:pPr>
                </w:p>
              </w:tc>
              <w:tc>
                <w:tcPr>
                  <w:tcW w:w="960" w:type="dxa"/>
                  <w:vMerge w:val="continue"/>
                  <w:noWrap w:val="0"/>
                  <w:vAlign w:val="center"/>
                </w:tcPr>
                <w:p>
                  <w:pPr>
                    <w:widowControl/>
                    <w:jc w:val="center"/>
                    <w:textAlignment w:val="center"/>
                    <w:rPr>
                      <w:rFonts w:hint="default" w:cs="Times New Roman"/>
                      <w:sz w:val="21"/>
                      <w:szCs w:val="21"/>
                      <w:lang w:val="en-US" w:eastAsia="zh-CN"/>
                    </w:rPr>
                  </w:pPr>
                </w:p>
              </w:tc>
              <w:tc>
                <w:tcPr>
                  <w:tcW w:w="1575" w:type="dxa"/>
                  <w:noWrap w:val="0"/>
                  <w:vAlign w:val="center"/>
                </w:tcPr>
                <w:p>
                  <w:pPr>
                    <w:widowControl/>
                    <w:jc w:val="center"/>
                    <w:textAlignment w:val="center"/>
                    <w:rPr>
                      <w:rFonts w:hint="default" w:cs="Times New Roman"/>
                      <w:sz w:val="21"/>
                      <w:szCs w:val="21"/>
                      <w:lang w:val="en-US" w:eastAsia="zh-CN"/>
                    </w:rPr>
                  </w:pPr>
                  <w:r>
                    <w:rPr>
                      <w:rFonts w:hint="default" w:cs="Times New Roman"/>
                      <w:sz w:val="21"/>
                      <w:szCs w:val="21"/>
                      <w:lang w:val="en-US" w:eastAsia="zh-CN"/>
                    </w:rPr>
                    <w:t>COD</w:t>
                  </w:r>
                </w:p>
              </w:tc>
              <w:tc>
                <w:tcPr>
                  <w:tcW w:w="1035" w:type="dxa"/>
                  <w:noWrap w:val="0"/>
                  <w:vAlign w:val="bottom"/>
                </w:tcPr>
                <w:p>
                  <w:pPr>
                    <w:widowControl/>
                    <w:jc w:val="center"/>
                    <w:textAlignment w:val="center"/>
                    <w:rPr>
                      <w:rFonts w:hint="default" w:cs="Times New Roman"/>
                      <w:sz w:val="21"/>
                      <w:szCs w:val="21"/>
                      <w:lang w:val="en-US" w:eastAsia="zh-CN"/>
                    </w:rPr>
                  </w:pPr>
                  <w:r>
                    <w:rPr>
                      <w:rFonts w:hint="eastAsia" w:cs="Times New Roman"/>
                      <w:sz w:val="21"/>
                      <w:szCs w:val="21"/>
                      <w:lang w:val="en-US" w:eastAsia="zh-CN"/>
                    </w:rPr>
                    <w:t>0.252</w:t>
                  </w:r>
                </w:p>
              </w:tc>
              <w:tc>
                <w:tcPr>
                  <w:tcW w:w="967" w:type="dxa"/>
                  <w:noWrap w:val="0"/>
                  <w:vAlign w:val="center"/>
                </w:tcPr>
                <w:p>
                  <w:pPr>
                    <w:widowControl/>
                    <w:jc w:val="center"/>
                    <w:textAlignment w:val="center"/>
                    <w:rPr>
                      <w:rFonts w:hint="default" w:cs="Times New Roman"/>
                      <w:sz w:val="21"/>
                      <w:szCs w:val="21"/>
                      <w:lang w:val="en-US" w:eastAsia="zh-CN"/>
                    </w:rPr>
                  </w:pPr>
                  <w:r>
                    <w:rPr>
                      <w:rFonts w:hint="default" w:cs="Times New Roman"/>
                      <w:sz w:val="21"/>
                      <w:szCs w:val="21"/>
                      <w:lang w:val="en-US" w:eastAsia="zh-CN"/>
                    </w:rPr>
                    <w:t>0</w:t>
                  </w:r>
                </w:p>
              </w:tc>
              <w:tc>
                <w:tcPr>
                  <w:tcW w:w="915" w:type="dxa"/>
                  <w:noWrap w:val="0"/>
                  <w:vAlign w:val="bottom"/>
                </w:tcPr>
                <w:p>
                  <w:pPr>
                    <w:widowControl/>
                    <w:jc w:val="center"/>
                    <w:textAlignment w:val="center"/>
                    <w:rPr>
                      <w:rFonts w:hint="default" w:cs="Times New Roman"/>
                      <w:sz w:val="21"/>
                      <w:szCs w:val="21"/>
                      <w:lang w:val="en-US" w:eastAsia="zh-CN"/>
                    </w:rPr>
                  </w:pPr>
                  <w:r>
                    <w:rPr>
                      <w:rFonts w:hint="eastAsia" w:cs="Times New Roman"/>
                      <w:sz w:val="21"/>
                      <w:szCs w:val="21"/>
                      <w:lang w:val="en-US" w:eastAsia="zh-CN"/>
                    </w:rPr>
                    <w:t>0.252</w:t>
                  </w:r>
                </w:p>
              </w:tc>
              <w:tc>
                <w:tcPr>
                  <w:tcW w:w="1246" w:type="dxa"/>
                  <w:noWrap w:val="0"/>
                  <w:vAlign w:val="bottom"/>
                </w:tcPr>
                <w:p>
                  <w:pPr>
                    <w:widowControl/>
                    <w:jc w:val="center"/>
                    <w:textAlignment w:val="center"/>
                    <w:rPr>
                      <w:rFonts w:hint="default" w:cs="Times New Roman"/>
                      <w:sz w:val="21"/>
                      <w:szCs w:val="21"/>
                      <w:lang w:val="en-US" w:eastAsia="zh-CN"/>
                    </w:rPr>
                  </w:pPr>
                  <w:r>
                    <w:rPr>
                      <w:rFonts w:hint="eastAsia" w:cs="Times New Roman"/>
                      <w:sz w:val="21"/>
                      <w:szCs w:val="21"/>
                      <w:lang w:val="en-US" w:eastAsia="zh-CN"/>
                    </w:rPr>
                    <w:t>0.252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727" w:type="dxa"/>
                  <w:vMerge w:val="continue"/>
                  <w:noWrap w:val="0"/>
                  <w:vAlign w:val="center"/>
                </w:tcPr>
                <w:p>
                  <w:pPr>
                    <w:widowControl/>
                    <w:jc w:val="center"/>
                    <w:textAlignment w:val="center"/>
                    <w:rPr>
                      <w:rFonts w:hint="default" w:cs="Times New Roman"/>
                      <w:sz w:val="21"/>
                      <w:szCs w:val="21"/>
                      <w:lang w:val="en-US" w:eastAsia="zh-CN"/>
                    </w:rPr>
                  </w:pPr>
                </w:p>
              </w:tc>
              <w:tc>
                <w:tcPr>
                  <w:tcW w:w="960" w:type="dxa"/>
                  <w:vMerge w:val="continue"/>
                  <w:noWrap w:val="0"/>
                  <w:vAlign w:val="center"/>
                </w:tcPr>
                <w:p>
                  <w:pPr>
                    <w:widowControl/>
                    <w:jc w:val="center"/>
                    <w:textAlignment w:val="center"/>
                    <w:rPr>
                      <w:rFonts w:hint="default" w:cs="Times New Roman"/>
                      <w:sz w:val="21"/>
                      <w:szCs w:val="21"/>
                      <w:lang w:val="en-US" w:eastAsia="zh-CN"/>
                    </w:rPr>
                  </w:pPr>
                </w:p>
              </w:tc>
              <w:tc>
                <w:tcPr>
                  <w:tcW w:w="1575" w:type="dxa"/>
                  <w:noWrap w:val="0"/>
                  <w:vAlign w:val="center"/>
                </w:tcPr>
                <w:p>
                  <w:pPr>
                    <w:widowControl/>
                    <w:jc w:val="center"/>
                    <w:textAlignment w:val="center"/>
                    <w:rPr>
                      <w:rFonts w:hint="default" w:cs="Times New Roman"/>
                      <w:sz w:val="21"/>
                      <w:szCs w:val="21"/>
                      <w:lang w:val="en-US" w:eastAsia="zh-CN"/>
                    </w:rPr>
                  </w:pPr>
                  <w:r>
                    <w:rPr>
                      <w:rFonts w:hint="default" w:cs="Times New Roman"/>
                      <w:sz w:val="21"/>
                      <w:szCs w:val="21"/>
                      <w:lang w:val="en-US" w:eastAsia="zh-CN"/>
                    </w:rPr>
                    <w:t>SS</w:t>
                  </w:r>
                </w:p>
              </w:tc>
              <w:tc>
                <w:tcPr>
                  <w:tcW w:w="1035" w:type="dxa"/>
                  <w:noWrap w:val="0"/>
                  <w:vAlign w:val="bottom"/>
                </w:tcPr>
                <w:p>
                  <w:pPr>
                    <w:widowControl/>
                    <w:jc w:val="center"/>
                    <w:textAlignment w:val="center"/>
                    <w:rPr>
                      <w:rFonts w:hint="default" w:cs="Times New Roman"/>
                      <w:sz w:val="21"/>
                      <w:szCs w:val="21"/>
                      <w:lang w:val="en-US" w:eastAsia="zh-CN"/>
                    </w:rPr>
                  </w:pPr>
                  <w:r>
                    <w:rPr>
                      <w:rFonts w:hint="eastAsia" w:cs="Times New Roman"/>
                      <w:sz w:val="21"/>
                      <w:szCs w:val="21"/>
                      <w:lang w:val="en-US" w:eastAsia="zh-CN"/>
                    </w:rPr>
                    <w:t>0.216</w:t>
                  </w:r>
                </w:p>
              </w:tc>
              <w:tc>
                <w:tcPr>
                  <w:tcW w:w="967" w:type="dxa"/>
                  <w:noWrap w:val="0"/>
                  <w:vAlign w:val="center"/>
                </w:tcPr>
                <w:p>
                  <w:pPr>
                    <w:widowControl/>
                    <w:jc w:val="center"/>
                    <w:textAlignment w:val="center"/>
                    <w:rPr>
                      <w:rFonts w:hint="default" w:cs="Times New Roman"/>
                      <w:sz w:val="21"/>
                      <w:szCs w:val="21"/>
                      <w:lang w:val="en-US" w:eastAsia="zh-CN"/>
                    </w:rPr>
                  </w:pPr>
                  <w:r>
                    <w:rPr>
                      <w:rFonts w:hint="default" w:cs="Times New Roman"/>
                      <w:sz w:val="21"/>
                      <w:szCs w:val="21"/>
                      <w:lang w:val="en-US" w:eastAsia="zh-CN"/>
                    </w:rPr>
                    <w:t>0</w:t>
                  </w:r>
                </w:p>
              </w:tc>
              <w:tc>
                <w:tcPr>
                  <w:tcW w:w="915" w:type="dxa"/>
                  <w:noWrap w:val="0"/>
                  <w:vAlign w:val="bottom"/>
                </w:tcPr>
                <w:p>
                  <w:pPr>
                    <w:widowControl/>
                    <w:jc w:val="center"/>
                    <w:textAlignment w:val="center"/>
                    <w:rPr>
                      <w:rFonts w:hint="default" w:cs="Times New Roman"/>
                      <w:sz w:val="21"/>
                      <w:szCs w:val="21"/>
                      <w:lang w:val="en-US" w:eastAsia="zh-CN"/>
                    </w:rPr>
                  </w:pPr>
                  <w:r>
                    <w:rPr>
                      <w:rFonts w:hint="eastAsia" w:cs="Times New Roman"/>
                      <w:sz w:val="21"/>
                      <w:szCs w:val="21"/>
                      <w:lang w:val="en-US" w:eastAsia="zh-CN"/>
                    </w:rPr>
                    <w:t>0.216</w:t>
                  </w:r>
                </w:p>
              </w:tc>
              <w:tc>
                <w:tcPr>
                  <w:tcW w:w="1246" w:type="dxa"/>
                  <w:noWrap w:val="0"/>
                  <w:vAlign w:val="bottom"/>
                </w:tcPr>
                <w:p>
                  <w:pPr>
                    <w:widowControl/>
                    <w:jc w:val="center"/>
                    <w:textAlignment w:val="center"/>
                    <w:rPr>
                      <w:rFonts w:hint="default" w:cs="Times New Roman"/>
                      <w:sz w:val="21"/>
                      <w:szCs w:val="21"/>
                      <w:lang w:val="en-US" w:eastAsia="zh-CN"/>
                    </w:rPr>
                  </w:pPr>
                  <w:r>
                    <w:rPr>
                      <w:rFonts w:hint="eastAsia" w:cs="Times New Roman"/>
                      <w:sz w:val="21"/>
                      <w:szCs w:val="21"/>
                      <w:lang w:val="en-US" w:eastAsia="zh-CN"/>
                    </w:rPr>
                    <w:t>0.216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1687" w:type="dxa"/>
                  <w:gridSpan w:val="2"/>
                  <w:vMerge w:val="restart"/>
                  <w:noWrap w:val="0"/>
                  <w:vAlign w:val="center"/>
                </w:tcPr>
                <w:p>
                  <w:pPr>
                    <w:widowControl/>
                    <w:jc w:val="center"/>
                    <w:textAlignment w:val="center"/>
                    <w:rPr>
                      <w:rFonts w:hint="default" w:cs="Times New Roman"/>
                      <w:sz w:val="21"/>
                      <w:szCs w:val="21"/>
                      <w:lang w:val="en-US" w:eastAsia="zh-CN"/>
                    </w:rPr>
                  </w:pPr>
                  <w:r>
                    <w:rPr>
                      <w:rFonts w:hint="default" w:cs="Times New Roman"/>
                      <w:sz w:val="21"/>
                      <w:szCs w:val="21"/>
                      <w:lang w:val="en-US" w:eastAsia="zh-CN"/>
                    </w:rPr>
                    <w:t>固废</w:t>
                  </w:r>
                </w:p>
              </w:tc>
              <w:tc>
                <w:tcPr>
                  <w:tcW w:w="1575" w:type="dxa"/>
                  <w:noWrap w:val="0"/>
                  <w:vAlign w:val="center"/>
                </w:tcPr>
                <w:p>
                  <w:pPr>
                    <w:widowControl/>
                    <w:jc w:val="center"/>
                    <w:textAlignment w:val="center"/>
                    <w:rPr>
                      <w:rFonts w:hint="default" w:cs="Times New Roman"/>
                      <w:sz w:val="21"/>
                      <w:szCs w:val="21"/>
                      <w:lang w:val="en-US" w:eastAsia="zh-CN"/>
                    </w:rPr>
                  </w:pPr>
                  <w:r>
                    <w:rPr>
                      <w:rFonts w:hint="default" w:cs="Times New Roman"/>
                      <w:sz w:val="21"/>
                      <w:szCs w:val="21"/>
                      <w:lang w:val="en-US" w:eastAsia="zh-CN"/>
                    </w:rPr>
                    <w:t>一般工业固废</w:t>
                  </w:r>
                </w:p>
              </w:tc>
              <w:tc>
                <w:tcPr>
                  <w:tcW w:w="1035" w:type="dxa"/>
                  <w:noWrap w:val="0"/>
                  <w:vAlign w:val="center"/>
                </w:tcPr>
                <w:p>
                  <w:pPr>
                    <w:widowControl/>
                    <w:jc w:val="center"/>
                    <w:textAlignment w:val="center"/>
                    <w:rPr>
                      <w:rFonts w:hint="eastAsia" w:cs="Times New Roman"/>
                      <w:sz w:val="21"/>
                      <w:szCs w:val="21"/>
                      <w:lang w:val="en-US" w:eastAsia="zh-CN"/>
                    </w:rPr>
                  </w:pPr>
                  <w:r>
                    <w:rPr>
                      <w:rFonts w:hint="eastAsia" w:cs="Times New Roman"/>
                      <w:sz w:val="21"/>
                      <w:szCs w:val="21"/>
                      <w:lang w:val="en-US" w:eastAsia="zh-CN"/>
                    </w:rPr>
                    <w:t>5</w:t>
                  </w:r>
                </w:p>
              </w:tc>
              <w:tc>
                <w:tcPr>
                  <w:tcW w:w="967" w:type="dxa"/>
                  <w:noWrap w:val="0"/>
                  <w:vAlign w:val="center"/>
                </w:tcPr>
                <w:p>
                  <w:pPr>
                    <w:widowControl/>
                    <w:jc w:val="center"/>
                    <w:textAlignment w:val="center"/>
                    <w:rPr>
                      <w:rFonts w:hint="eastAsia" w:cs="Times New Roman"/>
                      <w:sz w:val="21"/>
                      <w:szCs w:val="21"/>
                      <w:lang w:val="en-US" w:eastAsia="zh-CN"/>
                    </w:rPr>
                  </w:pPr>
                  <w:r>
                    <w:rPr>
                      <w:rFonts w:hint="eastAsia" w:cs="Times New Roman"/>
                      <w:sz w:val="21"/>
                      <w:szCs w:val="21"/>
                      <w:lang w:val="en-US" w:eastAsia="zh-CN"/>
                    </w:rPr>
                    <w:t>5</w:t>
                  </w:r>
                </w:p>
              </w:tc>
              <w:tc>
                <w:tcPr>
                  <w:tcW w:w="915" w:type="dxa"/>
                  <w:noWrap w:val="0"/>
                  <w:vAlign w:val="center"/>
                </w:tcPr>
                <w:p>
                  <w:pPr>
                    <w:widowControl/>
                    <w:jc w:val="center"/>
                    <w:textAlignment w:val="center"/>
                    <w:rPr>
                      <w:rFonts w:hint="default" w:cs="Times New Roman"/>
                      <w:sz w:val="21"/>
                      <w:szCs w:val="21"/>
                      <w:lang w:val="en-US" w:eastAsia="zh-CN"/>
                    </w:rPr>
                  </w:pPr>
                  <w:r>
                    <w:rPr>
                      <w:rFonts w:hint="default" w:cs="Times New Roman"/>
                      <w:sz w:val="21"/>
                      <w:szCs w:val="21"/>
                      <w:lang w:val="en-US" w:eastAsia="zh-CN"/>
                    </w:rPr>
                    <w:t>0</w:t>
                  </w:r>
                </w:p>
              </w:tc>
              <w:tc>
                <w:tcPr>
                  <w:tcW w:w="1246" w:type="dxa"/>
                  <w:noWrap w:val="0"/>
                  <w:vAlign w:val="center"/>
                </w:tcPr>
                <w:p>
                  <w:pPr>
                    <w:widowControl/>
                    <w:jc w:val="center"/>
                    <w:textAlignment w:val="center"/>
                    <w:rPr>
                      <w:rFonts w:hint="default" w:cs="Times New Roman"/>
                      <w:sz w:val="21"/>
                      <w:szCs w:val="21"/>
                      <w:lang w:val="en-US" w:eastAsia="zh-CN"/>
                    </w:rPr>
                  </w:pPr>
                  <w:r>
                    <w:rPr>
                      <w:rFonts w:hint="default" w:cs="Times New Roman"/>
                      <w:sz w:val="21"/>
                      <w:szCs w:val="21"/>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1687" w:type="dxa"/>
                  <w:gridSpan w:val="2"/>
                  <w:vMerge w:val="continue"/>
                  <w:noWrap w:val="0"/>
                  <w:vAlign w:val="center"/>
                </w:tcPr>
                <w:p>
                  <w:pPr>
                    <w:widowControl/>
                    <w:jc w:val="center"/>
                    <w:textAlignment w:val="center"/>
                    <w:rPr>
                      <w:rFonts w:hint="default" w:cs="Times New Roman"/>
                      <w:sz w:val="21"/>
                      <w:szCs w:val="21"/>
                      <w:lang w:val="en-US" w:eastAsia="zh-CN"/>
                    </w:rPr>
                  </w:pPr>
                </w:p>
              </w:tc>
              <w:tc>
                <w:tcPr>
                  <w:tcW w:w="1575" w:type="dxa"/>
                  <w:noWrap w:val="0"/>
                  <w:vAlign w:val="center"/>
                </w:tcPr>
                <w:p>
                  <w:pPr>
                    <w:widowControl/>
                    <w:jc w:val="center"/>
                    <w:textAlignment w:val="center"/>
                    <w:rPr>
                      <w:rFonts w:hint="default" w:cs="Times New Roman"/>
                      <w:sz w:val="21"/>
                      <w:szCs w:val="21"/>
                      <w:lang w:val="en-US" w:eastAsia="zh-CN"/>
                    </w:rPr>
                  </w:pPr>
                  <w:r>
                    <w:rPr>
                      <w:rFonts w:hint="default" w:cs="Times New Roman"/>
                      <w:sz w:val="21"/>
                      <w:szCs w:val="21"/>
                      <w:lang w:val="en-US" w:eastAsia="zh-CN"/>
                    </w:rPr>
                    <w:t>生活垃圾</w:t>
                  </w:r>
                </w:p>
              </w:tc>
              <w:tc>
                <w:tcPr>
                  <w:tcW w:w="1035" w:type="dxa"/>
                  <w:noWrap w:val="0"/>
                  <w:vAlign w:val="center"/>
                </w:tcPr>
                <w:p>
                  <w:pPr>
                    <w:widowControl/>
                    <w:jc w:val="center"/>
                    <w:textAlignment w:val="center"/>
                    <w:rPr>
                      <w:rFonts w:hint="default" w:cs="Times New Roman"/>
                      <w:sz w:val="21"/>
                      <w:szCs w:val="21"/>
                      <w:lang w:val="en-US" w:eastAsia="zh-CN"/>
                    </w:rPr>
                  </w:pPr>
                  <w:r>
                    <w:rPr>
                      <w:rFonts w:hint="eastAsia" w:cs="Times New Roman"/>
                      <w:sz w:val="21"/>
                      <w:szCs w:val="21"/>
                      <w:lang w:val="en-US" w:eastAsia="zh-CN"/>
                    </w:rPr>
                    <w:t>15</w:t>
                  </w:r>
                </w:p>
              </w:tc>
              <w:tc>
                <w:tcPr>
                  <w:tcW w:w="967" w:type="dxa"/>
                  <w:noWrap w:val="0"/>
                  <w:vAlign w:val="center"/>
                </w:tcPr>
                <w:p>
                  <w:pPr>
                    <w:widowControl/>
                    <w:jc w:val="center"/>
                    <w:textAlignment w:val="center"/>
                    <w:rPr>
                      <w:rFonts w:hint="default" w:cs="Times New Roman"/>
                      <w:sz w:val="21"/>
                      <w:szCs w:val="21"/>
                      <w:lang w:val="en-US" w:eastAsia="zh-CN"/>
                    </w:rPr>
                  </w:pPr>
                  <w:r>
                    <w:rPr>
                      <w:rFonts w:hint="eastAsia" w:cs="Times New Roman"/>
                      <w:sz w:val="21"/>
                      <w:szCs w:val="21"/>
                      <w:lang w:val="en-US" w:eastAsia="zh-CN"/>
                    </w:rPr>
                    <w:t>15</w:t>
                  </w:r>
                </w:p>
              </w:tc>
              <w:tc>
                <w:tcPr>
                  <w:tcW w:w="915" w:type="dxa"/>
                  <w:noWrap w:val="0"/>
                  <w:vAlign w:val="center"/>
                </w:tcPr>
                <w:p>
                  <w:pPr>
                    <w:widowControl/>
                    <w:jc w:val="center"/>
                    <w:textAlignment w:val="center"/>
                    <w:rPr>
                      <w:rFonts w:hint="default" w:cs="Times New Roman"/>
                      <w:sz w:val="21"/>
                      <w:szCs w:val="21"/>
                      <w:lang w:val="en-US" w:eastAsia="zh-CN"/>
                    </w:rPr>
                  </w:pPr>
                  <w:r>
                    <w:rPr>
                      <w:rFonts w:hint="default" w:cs="Times New Roman"/>
                      <w:sz w:val="21"/>
                      <w:szCs w:val="21"/>
                      <w:lang w:val="en-US" w:eastAsia="zh-CN"/>
                    </w:rPr>
                    <w:t>0</w:t>
                  </w:r>
                </w:p>
              </w:tc>
              <w:tc>
                <w:tcPr>
                  <w:tcW w:w="1246" w:type="dxa"/>
                  <w:noWrap w:val="0"/>
                  <w:vAlign w:val="center"/>
                </w:tcPr>
                <w:p>
                  <w:pPr>
                    <w:widowControl/>
                    <w:jc w:val="center"/>
                    <w:textAlignment w:val="center"/>
                    <w:rPr>
                      <w:rFonts w:hint="default" w:cs="Times New Roman"/>
                      <w:sz w:val="21"/>
                      <w:szCs w:val="21"/>
                      <w:lang w:val="en-US" w:eastAsia="zh-CN"/>
                    </w:rPr>
                  </w:pPr>
                  <w:r>
                    <w:rPr>
                      <w:rFonts w:hint="default" w:cs="Times New Roman"/>
                      <w:sz w:val="21"/>
                      <w:szCs w:val="21"/>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1687" w:type="dxa"/>
                  <w:gridSpan w:val="2"/>
                  <w:vMerge w:val="continue"/>
                  <w:noWrap w:val="0"/>
                  <w:vAlign w:val="center"/>
                </w:tcPr>
                <w:p>
                  <w:pPr>
                    <w:widowControl/>
                    <w:jc w:val="center"/>
                    <w:textAlignment w:val="center"/>
                    <w:rPr>
                      <w:rFonts w:hint="default" w:cs="Times New Roman"/>
                      <w:sz w:val="21"/>
                      <w:szCs w:val="21"/>
                      <w:lang w:val="en-US" w:eastAsia="zh-CN"/>
                    </w:rPr>
                  </w:pPr>
                </w:p>
              </w:tc>
              <w:tc>
                <w:tcPr>
                  <w:tcW w:w="1575" w:type="dxa"/>
                  <w:noWrap w:val="0"/>
                  <w:vAlign w:val="center"/>
                </w:tcPr>
                <w:p>
                  <w:pPr>
                    <w:widowControl/>
                    <w:jc w:val="center"/>
                    <w:textAlignment w:val="center"/>
                    <w:rPr>
                      <w:rFonts w:hint="default" w:cs="Times New Roman"/>
                      <w:sz w:val="21"/>
                      <w:szCs w:val="21"/>
                      <w:lang w:val="en-US" w:eastAsia="zh-CN"/>
                    </w:rPr>
                  </w:pPr>
                  <w:r>
                    <w:rPr>
                      <w:rFonts w:hint="default" w:cs="Times New Roman"/>
                      <w:sz w:val="21"/>
                      <w:szCs w:val="21"/>
                      <w:lang w:val="en-US" w:eastAsia="zh-CN"/>
                    </w:rPr>
                    <w:t>危废</w:t>
                  </w:r>
                </w:p>
              </w:tc>
              <w:tc>
                <w:tcPr>
                  <w:tcW w:w="1035" w:type="dxa"/>
                  <w:noWrap w:val="0"/>
                  <w:vAlign w:val="center"/>
                </w:tcPr>
                <w:p>
                  <w:pPr>
                    <w:widowControl/>
                    <w:jc w:val="center"/>
                    <w:textAlignment w:val="center"/>
                    <w:rPr>
                      <w:rFonts w:hint="default" w:cs="Times New Roman"/>
                      <w:sz w:val="21"/>
                      <w:szCs w:val="21"/>
                      <w:lang w:val="en-US" w:eastAsia="zh-CN"/>
                    </w:rPr>
                  </w:pPr>
                  <w:r>
                    <w:rPr>
                      <w:rFonts w:hint="eastAsia" w:cs="Times New Roman"/>
                      <w:sz w:val="21"/>
                      <w:szCs w:val="21"/>
                      <w:lang w:val="en-US" w:eastAsia="zh-CN"/>
                    </w:rPr>
                    <w:t>10.5075</w:t>
                  </w:r>
                </w:p>
              </w:tc>
              <w:tc>
                <w:tcPr>
                  <w:tcW w:w="967" w:type="dxa"/>
                  <w:noWrap w:val="0"/>
                  <w:vAlign w:val="center"/>
                </w:tcPr>
                <w:p>
                  <w:pPr>
                    <w:widowControl/>
                    <w:jc w:val="center"/>
                    <w:textAlignment w:val="center"/>
                    <w:rPr>
                      <w:rFonts w:hint="default" w:cs="Times New Roman"/>
                      <w:sz w:val="21"/>
                      <w:szCs w:val="21"/>
                      <w:lang w:val="en-US" w:eastAsia="zh-CN"/>
                    </w:rPr>
                  </w:pPr>
                  <w:r>
                    <w:rPr>
                      <w:rFonts w:hint="eastAsia" w:cs="Times New Roman"/>
                      <w:sz w:val="21"/>
                      <w:szCs w:val="21"/>
                      <w:lang w:val="en-US" w:eastAsia="zh-CN"/>
                    </w:rPr>
                    <w:t>10.5075</w:t>
                  </w:r>
                </w:p>
              </w:tc>
              <w:tc>
                <w:tcPr>
                  <w:tcW w:w="915" w:type="dxa"/>
                  <w:noWrap w:val="0"/>
                  <w:vAlign w:val="center"/>
                </w:tcPr>
                <w:p>
                  <w:pPr>
                    <w:widowControl/>
                    <w:jc w:val="center"/>
                    <w:textAlignment w:val="center"/>
                    <w:rPr>
                      <w:rFonts w:hint="default" w:cs="Times New Roman"/>
                      <w:sz w:val="21"/>
                      <w:szCs w:val="21"/>
                      <w:lang w:val="en-US" w:eastAsia="zh-CN"/>
                    </w:rPr>
                  </w:pPr>
                  <w:r>
                    <w:rPr>
                      <w:rFonts w:hint="default" w:cs="Times New Roman"/>
                      <w:sz w:val="21"/>
                      <w:szCs w:val="21"/>
                      <w:lang w:val="en-US" w:eastAsia="zh-CN"/>
                    </w:rPr>
                    <w:t>0</w:t>
                  </w:r>
                </w:p>
              </w:tc>
              <w:tc>
                <w:tcPr>
                  <w:tcW w:w="1246" w:type="dxa"/>
                  <w:noWrap w:val="0"/>
                  <w:vAlign w:val="center"/>
                </w:tcPr>
                <w:p>
                  <w:pPr>
                    <w:widowControl/>
                    <w:jc w:val="center"/>
                    <w:textAlignment w:val="center"/>
                    <w:rPr>
                      <w:rFonts w:hint="default" w:cs="Times New Roman"/>
                      <w:sz w:val="21"/>
                      <w:szCs w:val="21"/>
                      <w:lang w:val="en-US" w:eastAsia="zh-CN"/>
                    </w:rPr>
                  </w:pPr>
                  <w:r>
                    <w:rPr>
                      <w:rFonts w:hint="default" w:cs="Times New Roman"/>
                      <w:sz w:val="21"/>
                      <w:szCs w:val="21"/>
                      <w:lang w:val="en-US" w:eastAsia="zh-CN"/>
                    </w:rPr>
                    <w:t>0</w:t>
                  </w:r>
                </w:p>
              </w:tc>
            </w:tr>
          </w:tbl>
          <w:p>
            <w:pPr>
              <w:jc w:val="left"/>
              <w:rPr>
                <w:sz w:val="24"/>
                <w:highlight w:val="none"/>
              </w:rPr>
            </w:pPr>
            <w:r>
              <w:rPr>
                <w:sz w:val="24"/>
                <w:highlight w:val="none"/>
              </w:rPr>
              <w:t>本项目废水排放总量在污水处理厂已批总量内平衡，废气在</w:t>
            </w:r>
            <w:r>
              <w:rPr>
                <w:rFonts w:hint="eastAsia"/>
                <w:sz w:val="24"/>
                <w:highlight w:val="none"/>
              </w:rPr>
              <w:t>高新区</w:t>
            </w:r>
            <w:r>
              <w:rPr>
                <w:sz w:val="24"/>
                <w:highlight w:val="none"/>
              </w:rPr>
              <w:t>范围内平衡，固废实现“零”排放。</w:t>
            </w:r>
          </w:p>
          <w:p>
            <w:pPr>
              <w:jc w:val="center"/>
              <w:rPr>
                <w:sz w:val="24"/>
                <w:highlight w:val="yellow"/>
              </w:rPr>
            </w:pPr>
          </w:p>
          <w:p>
            <w:pPr>
              <w:jc w:val="center"/>
              <w:rPr>
                <w:sz w:val="24"/>
                <w:highlight w:val="yellow"/>
              </w:rPr>
            </w:pPr>
          </w:p>
          <w:p>
            <w:pPr>
              <w:jc w:val="center"/>
              <w:rPr>
                <w:sz w:val="24"/>
                <w:highlight w:val="yellow"/>
              </w:rPr>
            </w:pPr>
          </w:p>
          <w:p>
            <w:pPr>
              <w:jc w:val="center"/>
              <w:rPr>
                <w:sz w:val="24"/>
                <w:highlight w:val="yellow"/>
              </w:rPr>
            </w:pPr>
          </w:p>
          <w:p>
            <w:pPr>
              <w:jc w:val="center"/>
              <w:rPr>
                <w:sz w:val="24"/>
                <w:highlight w:val="yellow"/>
              </w:rPr>
            </w:pPr>
          </w:p>
          <w:p>
            <w:pPr>
              <w:jc w:val="center"/>
              <w:rPr>
                <w:sz w:val="24"/>
                <w:highlight w:val="yellow"/>
              </w:rPr>
            </w:pPr>
          </w:p>
        </w:tc>
      </w:tr>
    </w:tbl>
    <w:p>
      <w:pPr>
        <w:jc w:val="center"/>
        <w:rPr>
          <w:rFonts w:eastAsia="黑体"/>
          <w:snapToGrid w:val="0"/>
          <w:sz w:val="36"/>
          <w:szCs w:val="36"/>
          <w:highlight w:val="yellow"/>
        </w:rPr>
      </w:pPr>
    </w:p>
    <w:p>
      <w:pPr>
        <w:pStyle w:val="19"/>
        <w:spacing w:before="0" w:beforeAutospacing="0" w:after="0" w:afterAutospacing="0"/>
        <w:jc w:val="center"/>
        <w:outlineLvl w:val="0"/>
        <w:rPr>
          <w:rFonts w:ascii="Times New Roman" w:hAnsi="Times New Roman" w:eastAsia="黑体"/>
          <w:snapToGrid w:val="0"/>
          <w:sz w:val="30"/>
          <w:szCs w:val="30"/>
          <w:highlight w:val="yellow"/>
        </w:rPr>
      </w:pPr>
      <w:bookmarkStart w:id="9" w:name="_Toc86311618"/>
      <w:r>
        <w:rPr>
          <w:rFonts w:ascii="Times New Roman" w:hAnsi="Times New Roman" w:eastAsia="黑体"/>
          <w:snapToGrid w:val="0"/>
          <w:sz w:val="30"/>
          <w:szCs w:val="30"/>
          <w:highlight w:val="none"/>
        </w:rPr>
        <w:t>四、主要环境影响和保护措施</w:t>
      </w:r>
      <w:bookmarkEnd w:id="9"/>
    </w:p>
    <w:tbl>
      <w:tblPr>
        <w:tblStyle w:val="22"/>
        <w:tblW w:w="961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57"/>
        <w:gridCol w:w="90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57" w:type="dxa"/>
            <w:tcBorders>
              <w:top w:val="single" w:color="000000" w:sz="2" w:space="0"/>
              <w:bottom w:val="single" w:color="000000" w:sz="2" w:space="0"/>
            </w:tcBorders>
            <w:tcMar>
              <w:left w:w="28" w:type="dxa"/>
              <w:right w:w="28" w:type="dxa"/>
            </w:tcMar>
            <w:vAlign w:val="center"/>
          </w:tcPr>
          <w:p>
            <w:pPr>
              <w:spacing w:line="360" w:lineRule="auto"/>
              <w:jc w:val="center"/>
              <w:rPr>
                <w:bCs/>
                <w:spacing w:val="-10"/>
                <w:sz w:val="24"/>
                <w:highlight w:val="yellow"/>
              </w:rPr>
            </w:pPr>
            <w:r>
              <w:rPr>
                <w:b/>
                <w:bCs/>
                <w:sz w:val="24"/>
                <w:highlight w:val="none"/>
              </w:rPr>
              <w:t>施工期环境保护措施</w:t>
            </w:r>
          </w:p>
        </w:tc>
        <w:tc>
          <w:tcPr>
            <w:tcW w:w="9060" w:type="dxa"/>
            <w:tcBorders>
              <w:top w:val="single" w:color="000000" w:sz="2" w:space="0"/>
              <w:bottom w:val="single" w:color="000000" w:sz="2" w:space="0"/>
            </w:tcBorders>
            <w:vAlign w:val="center"/>
          </w:tcPr>
          <w:p>
            <w:pPr>
              <w:spacing w:line="360" w:lineRule="auto"/>
              <w:ind w:firstLine="480" w:firstLineChars="200"/>
              <w:rPr>
                <w:rFonts w:hint="eastAsia"/>
                <w:sz w:val="24"/>
                <w:highlight w:val="none"/>
              </w:rPr>
            </w:pPr>
            <w:r>
              <w:rPr>
                <w:rFonts w:hint="eastAsia"/>
                <w:sz w:val="24"/>
                <w:highlight w:val="none"/>
              </w:rPr>
              <w:t>本项目依托现有已建厂房进行生产，无需进行土建，只需要进行设备的安装。</w:t>
            </w:r>
          </w:p>
          <w:p>
            <w:pPr>
              <w:spacing w:line="360" w:lineRule="auto"/>
              <w:ind w:firstLine="480" w:firstLineChars="200"/>
              <w:rPr>
                <w:rFonts w:hint="eastAsia"/>
                <w:sz w:val="24"/>
                <w:highlight w:val="none"/>
              </w:rPr>
            </w:pPr>
            <w:r>
              <w:rPr>
                <w:rFonts w:hint="eastAsia"/>
                <w:sz w:val="24"/>
                <w:highlight w:val="none"/>
              </w:rPr>
              <w:t>施工阶段噪声主要为机械设备的装运、安装噪声，混合噪声级约为75dB（A），此阶段为室内施工，噪声源主要集中在室内，对周围环境声环境影响较小。</w:t>
            </w:r>
          </w:p>
          <w:p>
            <w:pPr>
              <w:spacing w:line="360" w:lineRule="auto"/>
              <w:ind w:firstLine="480" w:firstLineChars="200"/>
              <w:rPr>
                <w:rFonts w:hint="eastAsia"/>
                <w:sz w:val="24"/>
                <w:highlight w:val="none"/>
              </w:rPr>
            </w:pPr>
            <w:r>
              <w:rPr>
                <w:rFonts w:hint="eastAsia"/>
                <w:sz w:val="24"/>
                <w:highlight w:val="none"/>
              </w:rPr>
              <w:t>该阶段废水排放主要是施工现场工人生活区排放的生活污水，该阶段废水排放量较小，经收集后外排入市政污水管网，对地表水环境影响较小。</w:t>
            </w:r>
          </w:p>
          <w:p>
            <w:pPr>
              <w:spacing w:line="360" w:lineRule="auto"/>
              <w:ind w:firstLine="480" w:firstLineChars="200"/>
              <w:rPr>
                <w:rFonts w:hint="eastAsia"/>
                <w:sz w:val="24"/>
                <w:highlight w:val="none"/>
              </w:rPr>
            </w:pPr>
            <w:r>
              <w:rPr>
                <w:rFonts w:hint="eastAsia"/>
                <w:sz w:val="24"/>
                <w:highlight w:val="none"/>
              </w:rPr>
              <w:t>该阶段产生的固体废弃物主要为各类包装箱、袋和生活垃圾等。包装物基本上回收利用或销售给废品收购站，生活垃圾将委托环卫部门定期清运。因此，上述废弃物不会对周围环境产生较大影响。</w:t>
            </w:r>
          </w:p>
          <w:p>
            <w:pPr>
              <w:spacing w:line="360" w:lineRule="auto"/>
              <w:ind w:firstLine="480" w:firstLineChars="200"/>
              <w:rPr>
                <w:sz w:val="24"/>
                <w:highlight w:val="yellow"/>
              </w:rPr>
            </w:pPr>
            <w:r>
              <w:rPr>
                <w:rFonts w:hint="eastAsia"/>
                <w:sz w:val="24"/>
                <w:highlight w:val="none"/>
              </w:rPr>
              <w:t>综上，扩建项目施工期必须注意采取各项污染防治措施，随着施工期的结束，这些影响因素都随之消失。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557" w:type="dxa"/>
            <w:tcMar>
              <w:left w:w="28" w:type="dxa"/>
              <w:right w:w="28" w:type="dxa"/>
            </w:tcMar>
            <w:vAlign w:val="center"/>
          </w:tcPr>
          <w:p>
            <w:pPr>
              <w:spacing w:line="360" w:lineRule="auto"/>
              <w:jc w:val="center"/>
              <w:rPr>
                <w:szCs w:val="21"/>
                <w:highlight w:val="yellow"/>
              </w:rPr>
            </w:pPr>
            <w:r>
              <w:rPr>
                <w:b/>
                <w:bCs/>
                <w:sz w:val="24"/>
                <w:highlight w:val="none"/>
              </w:rPr>
              <w:t>运营期环境影响和保护措施</w:t>
            </w:r>
          </w:p>
        </w:tc>
        <w:tc>
          <w:tcPr>
            <w:tcW w:w="9060" w:type="dxa"/>
            <w:vAlign w:val="center"/>
          </w:tcPr>
          <w:p>
            <w:pPr>
              <w:spacing w:line="360" w:lineRule="auto"/>
              <w:ind w:firstLine="482" w:firstLineChars="200"/>
              <w:rPr>
                <w:b/>
                <w:bCs/>
                <w:sz w:val="24"/>
                <w:highlight w:val="none"/>
              </w:rPr>
            </w:pPr>
            <w:r>
              <w:rPr>
                <w:b/>
                <w:bCs/>
                <w:sz w:val="24"/>
                <w:highlight w:val="none"/>
              </w:rPr>
              <w:t>1、废气</w:t>
            </w:r>
          </w:p>
          <w:p>
            <w:pPr>
              <w:spacing w:line="360" w:lineRule="auto"/>
              <w:ind w:firstLine="482" w:firstLineChars="200"/>
              <w:rPr>
                <w:b/>
                <w:bCs/>
                <w:sz w:val="24"/>
                <w:highlight w:val="none"/>
              </w:rPr>
            </w:pPr>
            <w:r>
              <w:rPr>
                <w:b/>
                <w:bCs/>
                <w:sz w:val="24"/>
                <w:highlight w:val="none"/>
              </w:rPr>
              <w:t>（1）废气产排情况</w:t>
            </w:r>
          </w:p>
          <w:p>
            <w:pPr>
              <w:spacing w:line="360" w:lineRule="auto"/>
              <w:ind w:firstLine="480" w:firstLineChars="200"/>
              <w:rPr>
                <w:rFonts w:hint="eastAsia"/>
                <w:sz w:val="24"/>
                <w:highlight w:val="none"/>
                <w:lang w:val="en-US" w:eastAsia="zh-CN"/>
              </w:rPr>
            </w:pPr>
            <w:r>
              <w:rPr>
                <w:rFonts w:hint="eastAsia"/>
                <w:sz w:val="24"/>
                <w:highlight w:val="none"/>
                <w:lang w:val="en-US" w:eastAsia="zh-CN"/>
              </w:rPr>
              <w:t>项目废气主要为非甲烷总烃和颗粒物，生产车间为洁净车间。</w:t>
            </w:r>
          </w:p>
          <w:p>
            <w:pPr>
              <w:autoSpaceDE w:val="0"/>
              <w:autoSpaceDN w:val="0"/>
              <w:adjustRightInd w:val="0"/>
              <w:spacing w:line="360" w:lineRule="auto"/>
              <w:ind w:firstLine="480" w:firstLineChars="200"/>
              <w:jc w:val="left"/>
              <w:rPr>
                <w:rFonts w:hint="eastAsia"/>
                <w:sz w:val="24"/>
                <w:highlight w:val="none"/>
                <w:lang w:val="en-US" w:eastAsia="zh-CN"/>
              </w:rPr>
            </w:pPr>
            <w:r>
              <w:rPr>
                <w:rFonts w:hint="eastAsia"/>
                <w:sz w:val="24"/>
                <w:highlight w:val="none"/>
                <w:lang w:val="en-US" w:eastAsia="zh-CN"/>
              </w:rPr>
              <w:t>项目合金类植入零件机加工中原材料为2.5t/a，根据《排放源统计调查产排污核算方法和计算手册》中打磨的产污系数为2.19kg/t-原料，因此产生的颗粒物为0.005475t/a。集气罩收集后经二级活性炭装置吸附处理后通过15米高1#排气筒有组织排放（收集效率100%，处理效率90%）。有组织废气排放量为0.00055t/a，年工作7200h，风机风量为20000m</w:t>
            </w:r>
            <w:r>
              <w:rPr>
                <w:rFonts w:hint="eastAsia"/>
                <w:sz w:val="24"/>
                <w:highlight w:val="none"/>
                <w:vertAlign w:val="superscript"/>
                <w:lang w:val="en-US" w:eastAsia="zh-CN"/>
              </w:rPr>
              <w:t>3</w:t>
            </w:r>
            <w:r>
              <w:rPr>
                <w:rFonts w:hint="eastAsia"/>
                <w:sz w:val="24"/>
                <w:highlight w:val="none"/>
                <w:lang w:val="en-US" w:eastAsia="zh-CN"/>
              </w:rPr>
              <w:t>/h，则有组织废气产生速率为0.00076kg/h，产生浓度为0.038mg/m</w:t>
            </w:r>
            <w:r>
              <w:rPr>
                <w:rFonts w:hint="eastAsia"/>
                <w:sz w:val="24"/>
                <w:highlight w:val="none"/>
                <w:vertAlign w:val="superscript"/>
                <w:lang w:val="en-US" w:eastAsia="zh-CN"/>
              </w:rPr>
              <w:t>3</w:t>
            </w:r>
            <w:r>
              <w:rPr>
                <w:rFonts w:hint="eastAsia"/>
                <w:sz w:val="24"/>
                <w:highlight w:val="none"/>
                <w:lang w:val="en-US" w:eastAsia="zh-CN"/>
              </w:rPr>
              <w:t>，排放速率为0.000076kg/h，排放浓度为0.0038mg/m</w:t>
            </w:r>
            <w:r>
              <w:rPr>
                <w:rFonts w:hint="eastAsia"/>
                <w:sz w:val="24"/>
                <w:highlight w:val="none"/>
                <w:vertAlign w:val="superscript"/>
                <w:lang w:val="en-US" w:eastAsia="zh-CN"/>
              </w:rPr>
              <w:t>3</w:t>
            </w:r>
            <w:r>
              <w:rPr>
                <w:rFonts w:hint="eastAsia"/>
                <w:sz w:val="24"/>
                <w:highlight w:val="none"/>
                <w:lang w:val="en-US" w:eastAsia="zh-CN"/>
              </w:rPr>
              <w:t>；机械加工的产污系数为5.64kg/t-原料，因此产生的非甲烷总烃为0.0141t/a。集气罩收集后经二级活性炭装置吸附处理后通过15米高1#排气筒有组织排放（收集效率100%，处理效率90%）。有组织废气排放量为0.00141t/a。年工作7200h，风机风量为20000m3/h，则有组织废气产生速率为0.001958kg/h，产生浓度为0.09792mg/m3，排放速率为0.0001958kg/h，排放浓度为0.009792mg/m</w:t>
            </w:r>
            <w:r>
              <w:rPr>
                <w:rFonts w:hint="eastAsia"/>
                <w:sz w:val="24"/>
                <w:highlight w:val="none"/>
                <w:vertAlign w:val="superscript"/>
                <w:lang w:val="en-US" w:eastAsia="zh-CN"/>
              </w:rPr>
              <w:t>3</w:t>
            </w:r>
            <w:r>
              <w:rPr>
                <w:rFonts w:hint="eastAsia"/>
                <w:sz w:val="24"/>
                <w:highlight w:val="none"/>
                <w:lang w:val="en-US" w:eastAsia="zh-CN"/>
              </w:rPr>
              <w:t>。</w:t>
            </w:r>
          </w:p>
          <w:p>
            <w:pPr>
              <w:autoSpaceDE w:val="0"/>
              <w:autoSpaceDN w:val="0"/>
              <w:adjustRightInd w:val="0"/>
              <w:spacing w:line="360" w:lineRule="auto"/>
              <w:ind w:firstLine="480" w:firstLineChars="200"/>
              <w:jc w:val="left"/>
              <w:rPr>
                <w:rFonts w:hint="eastAsia"/>
                <w:sz w:val="24"/>
                <w:highlight w:val="none"/>
                <w:lang w:val="en-US" w:eastAsia="zh-CN"/>
              </w:rPr>
            </w:pPr>
            <w:r>
              <w:rPr>
                <w:rFonts w:hint="eastAsia"/>
                <w:sz w:val="24"/>
                <w:highlight w:val="none"/>
                <w:lang w:val="en-US" w:eastAsia="zh-CN"/>
              </w:rPr>
              <w:t>项目塑料制品注塑工艺中年产量约为600t/a，原材料为900t/a。根据《292塑料制品行业技术手册》中2929塑料零件及其他塑料制品制造行业系数表中注塑工艺产污系数2.7kg/t产品计，则非甲烷总烃产生量约为1.62t/a；集气罩收集后经二级活性炭装置吸附处理后通过15米高1#排气筒有组织排放（收集效率100%，处理效率90%）。有组织废气排放量为0.162t/a，年工作7200h，风机风量为20000m</w:t>
            </w:r>
            <w:r>
              <w:rPr>
                <w:rFonts w:hint="eastAsia"/>
                <w:sz w:val="24"/>
                <w:highlight w:val="none"/>
                <w:vertAlign w:val="superscript"/>
                <w:lang w:val="en-US" w:eastAsia="zh-CN"/>
              </w:rPr>
              <w:t>3</w:t>
            </w:r>
            <w:r>
              <w:rPr>
                <w:rFonts w:hint="eastAsia"/>
                <w:sz w:val="24"/>
                <w:highlight w:val="none"/>
                <w:lang w:val="en-US" w:eastAsia="zh-CN"/>
              </w:rPr>
              <w:t>/h，则有组织废气产生速率为0.225kg/h，产生浓度为11.25mg/m</w:t>
            </w:r>
            <w:r>
              <w:rPr>
                <w:rFonts w:hint="eastAsia"/>
                <w:sz w:val="24"/>
                <w:highlight w:val="none"/>
                <w:vertAlign w:val="superscript"/>
                <w:lang w:val="en-US" w:eastAsia="zh-CN"/>
              </w:rPr>
              <w:t>3</w:t>
            </w:r>
            <w:r>
              <w:rPr>
                <w:rFonts w:hint="eastAsia"/>
                <w:sz w:val="24"/>
                <w:highlight w:val="none"/>
                <w:lang w:val="en-US" w:eastAsia="zh-CN"/>
              </w:rPr>
              <w:t>，排放速率为0.0225kg/h，排放浓度为1.125mg/m</w:t>
            </w:r>
            <w:r>
              <w:rPr>
                <w:rFonts w:hint="eastAsia"/>
                <w:sz w:val="24"/>
                <w:highlight w:val="none"/>
                <w:vertAlign w:val="superscript"/>
                <w:lang w:val="en-US" w:eastAsia="zh-CN"/>
              </w:rPr>
              <w:t>3</w:t>
            </w:r>
            <w:r>
              <w:rPr>
                <w:rFonts w:hint="eastAsia"/>
                <w:sz w:val="24"/>
                <w:highlight w:val="none"/>
                <w:lang w:val="en-US" w:eastAsia="zh-CN"/>
              </w:rPr>
              <w:t>。苯乙烯产生量约为ABS塑料片材用量的0.05%，则苯乙烯产生量约为0.075t/a，经集气罩收集后经二级活性炭装置吸附处理后通过15米高1#排气筒有组织排放（收集效率100%，处理效率90%）。有组织废气排放量为0.0075t/a，年工作7200h，风机风量为20000m</w:t>
            </w:r>
            <w:r>
              <w:rPr>
                <w:rFonts w:hint="eastAsia"/>
                <w:sz w:val="24"/>
                <w:highlight w:val="none"/>
                <w:vertAlign w:val="superscript"/>
                <w:lang w:val="en-US" w:eastAsia="zh-CN"/>
              </w:rPr>
              <w:t>3</w:t>
            </w:r>
            <w:r>
              <w:rPr>
                <w:rFonts w:hint="eastAsia"/>
                <w:sz w:val="24"/>
                <w:highlight w:val="none"/>
                <w:lang w:val="en-US" w:eastAsia="zh-CN"/>
              </w:rPr>
              <w:t>/h，则有组织废气产生速率为0.01042kg/h，产生浓</w:t>
            </w:r>
            <w:r>
              <w:rPr>
                <w:rFonts w:hint="eastAsia"/>
                <w:color w:val="auto"/>
                <w:sz w:val="24"/>
                <w:highlight w:val="none"/>
                <w:lang w:val="en-US" w:eastAsia="zh-CN"/>
              </w:rPr>
              <w:t>度为0.5208mg/m</w:t>
            </w:r>
            <w:r>
              <w:rPr>
                <w:rFonts w:hint="eastAsia"/>
                <w:color w:val="auto"/>
                <w:sz w:val="24"/>
                <w:highlight w:val="none"/>
                <w:vertAlign w:val="superscript"/>
                <w:lang w:val="en-US" w:eastAsia="zh-CN"/>
              </w:rPr>
              <w:t>3</w:t>
            </w:r>
            <w:r>
              <w:rPr>
                <w:rFonts w:hint="eastAsia"/>
                <w:color w:val="auto"/>
                <w:sz w:val="24"/>
                <w:highlight w:val="none"/>
                <w:lang w:val="en-US" w:eastAsia="zh-CN"/>
              </w:rPr>
              <w:t>，排放速率为0.001042kg/h，排放浓度为0.05208mg/m</w:t>
            </w:r>
            <w:r>
              <w:rPr>
                <w:rFonts w:hint="eastAsia"/>
                <w:color w:val="auto"/>
                <w:sz w:val="24"/>
                <w:highlight w:val="none"/>
                <w:vertAlign w:val="superscript"/>
                <w:lang w:val="en-US" w:eastAsia="zh-CN"/>
              </w:rPr>
              <w:t>3</w:t>
            </w:r>
            <w:r>
              <w:rPr>
                <w:rFonts w:hint="eastAsia"/>
                <w:color w:val="auto"/>
                <w:sz w:val="24"/>
                <w:highlight w:val="none"/>
                <w:vertAlign w:val="baseline"/>
                <w:lang w:val="en-US" w:eastAsia="zh-CN"/>
              </w:rPr>
              <w:t>；丙烯腈</w:t>
            </w:r>
            <w:r>
              <w:rPr>
                <w:rFonts w:hint="eastAsia"/>
                <w:color w:val="auto"/>
                <w:sz w:val="24"/>
                <w:highlight w:val="none"/>
                <w:lang w:val="en-US" w:eastAsia="zh-CN"/>
              </w:rPr>
              <w:t>产生量约为ABS塑料片材用量的0.03%，则</w:t>
            </w:r>
            <w:r>
              <w:rPr>
                <w:rFonts w:hint="eastAsia"/>
                <w:color w:val="auto"/>
                <w:sz w:val="24"/>
                <w:highlight w:val="none"/>
                <w:vertAlign w:val="baseline"/>
                <w:lang w:val="en-US" w:eastAsia="zh-CN"/>
              </w:rPr>
              <w:t>丙烯腈</w:t>
            </w:r>
            <w:r>
              <w:rPr>
                <w:rFonts w:hint="eastAsia"/>
                <w:color w:val="auto"/>
                <w:sz w:val="24"/>
                <w:highlight w:val="none"/>
                <w:lang w:val="en-US" w:eastAsia="zh-CN"/>
              </w:rPr>
              <w:t>产生量约为0.045t/a，经集气罩收集后经二级活性炭装置吸附处理后通过15米高1#排气筒有组织排放（收集效率100%，处理效率90%）。有组织废气排放量为0.0045t/a，年工作7200h，风机风量为20000m</w:t>
            </w:r>
            <w:r>
              <w:rPr>
                <w:rFonts w:hint="eastAsia"/>
                <w:color w:val="auto"/>
                <w:sz w:val="24"/>
                <w:highlight w:val="none"/>
                <w:vertAlign w:val="superscript"/>
                <w:lang w:val="en-US" w:eastAsia="zh-CN"/>
              </w:rPr>
              <w:t>3</w:t>
            </w:r>
            <w:r>
              <w:rPr>
                <w:rFonts w:hint="eastAsia"/>
                <w:color w:val="auto"/>
                <w:sz w:val="24"/>
                <w:highlight w:val="none"/>
                <w:lang w:val="en-US" w:eastAsia="zh-CN"/>
              </w:rPr>
              <w:t>/h，则有组织废气产生速率为0.00625kg/h，产生浓度为0.3125mg/m</w:t>
            </w:r>
            <w:r>
              <w:rPr>
                <w:rFonts w:hint="eastAsia"/>
                <w:color w:val="auto"/>
                <w:sz w:val="24"/>
                <w:highlight w:val="none"/>
                <w:vertAlign w:val="superscript"/>
                <w:lang w:val="en-US" w:eastAsia="zh-CN"/>
              </w:rPr>
              <w:t>3</w:t>
            </w:r>
            <w:r>
              <w:rPr>
                <w:rFonts w:hint="eastAsia"/>
                <w:color w:val="auto"/>
                <w:sz w:val="24"/>
                <w:highlight w:val="none"/>
                <w:lang w:val="en-US" w:eastAsia="zh-CN"/>
              </w:rPr>
              <w:t>，排放速率为0.000625kg/h，排放浓度为0.03125mg/m</w:t>
            </w:r>
            <w:r>
              <w:rPr>
                <w:rFonts w:hint="eastAsia"/>
                <w:color w:val="auto"/>
                <w:sz w:val="24"/>
                <w:highlight w:val="none"/>
                <w:vertAlign w:val="superscript"/>
                <w:lang w:val="en-US" w:eastAsia="zh-CN"/>
              </w:rPr>
              <w:t>3</w:t>
            </w:r>
            <w:r>
              <w:rPr>
                <w:rFonts w:hint="eastAsia"/>
                <w:color w:val="auto"/>
                <w:sz w:val="24"/>
                <w:highlight w:val="none"/>
                <w:vertAlign w:val="baseline"/>
                <w:lang w:val="en-US" w:eastAsia="zh-CN"/>
              </w:rPr>
              <w:t>；</w:t>
            </w:r>
            <w:r>
              <w:rPr>
                <w:rFonts w:hint="eastAsia"/>
                <w:sz w:val="24"/>
                <w:highlight w:val="none"/>
                <w:lang w:val="en-US" w:eastAsia="zh-CN"/>
              </w:rPr>
              <w:t>项目印刷过程用到油墨，油墨会挥发产生废气，以非甲烷总烃计，根据《排放源统计调查产排污核算方法和系数手册》，印刷产污系数以2.661g/kg原料计，油墨用量为20kg，则非甲烷总烃产生量约为0.000053t/a，经集气罩收集后经二级活性炭装置吸附处理后通过15米高1#排气筒有组织排放（收集效率100%，处理效率90%）。有组织废气排放量为0.0000053t/a，年工作7200h，风机风量为20000m</w:t>
            </w:r>
            <w:r>
              <w:rPr>
                <w:rFonts w:hint="eastAsia"/>
                <w:sz w:val="24"/>
                <w:highlight w:val="none"/>
                <w:vertAlign w:val="superscript"/>
                <w:lang w:val="en-US" w:eastAsia="zh-CN"/>
              </w:rPr>
              <w:t>3</w:t>
            </w:r>
            <w:r>
              <w:rPr>
                <w:rFonts w:hint="eastAsia"/>
                <w:sz w:val="24"/>
                <w:highlight w:val="none"/>
                <w:lang w:val="en-US" w:eastAsia="zh-CN"/>
              </w:rPr>
              <w:t>/h，则有组织废气产生速率为0.00000736kg/h，产生浓度为0.000368mg/m</w:t>
            </w:r>
            <w:r>
              <w:rPr>
                <w:rFonts w:hint="eastAsia"/>
                <w:sz w:val="24"/>
                <w:highlight w:val="none"/>
                <w:vertAlign w:val="superscript"/>
                <w:lang w:val="en-US" w:eastAsia="zh-CN"/>
              </w:rPr>
              <w:t>3</w:t>
            </w:r>
            <w:r>
              <w:rPr>
                <w:rFonts w:hint="eastAsia"/>
                <w:sz w:val="24"/>
                <w:highlight w:val="none"/>
                <w:lang w:val="en-US" w:eastAsia="zh-CN"/>
              </w:rPr>
              <w:t>，排放速率为0.00000074kg/h，排放浓度为0.00003681mg/m</w:t>
            </w:r>
            <w:r>
              <w:rPr>
                <w:rFonts w:hint="eastAsia"/>
                <w:sz w:val="24"/>
                <w:highlight w:val="none"/>
                <w:vertAlign w:val="superscript"/>
                <w:lang w:val="en-US" w:eastAsia="zh-CN"/>
              </w:rPr>
              <w:t>3</w:t>
            </w:r>
            <w:r>
              <w:rPr>
                <w:rFonts w:hint="eastAsia"/>
                <w:sz w:val="24"/>
                <w:highlight w:val="none"/>
                <w:lang w:val="en-US" w:eastAsia="zh-CN"/>
              </w:rPr>
              <w:t>。项目不合格品粉碎产生废气，以颗粒物计，根据企业提供，不合格品约为5t/a，颗粒物产生量约为不合格品产量的1%，因此产生的颗粒物为0.05t/a。集气罩收集后经二级活性炭装置吸附处理后通过15米高2#排气筒有组织排放（收集效率100%，处理效率90%）。有组织废气排放量为0.005t/a，年工作7200h，风机风量为20000m</w:t>
            </w:r>
            <w:r>
              <w:rPr>
                <w:rFonts w:hint="eastAsia"/>
                <w:sz w:val="24"/>
                <w:highlight w:val="none"/>
                <w:vertAlign w:val="superscript"/>
                <w:lang w:val="en-US" w:eastAsia="zh-CN"/>
              </w:rPr>
              <w:t>3</w:t>
            </w:r>
            <w:r>
              <w:rPr>
                <w:rFonts w:hint="eastAsia"/>
                <w:sz w:val="24"/>
                <w:highlight w:val="none"/>
                <w:lang w:val="en-US" w:eastAsia="zh-CN"/>
              </w:rPr>
              <w:t>/h，则有组织废气产生速率为0.0069kg/h，产生浓度为0.347mg/m</w:t>
            </w:r>
            <w:r>
              <w:rPr>
                <w:rFonts w:hint="eastAsia"/>
                <w:sz w:val="24"/>
                <w:highlight w:val="none"/>
                <w:vertAlign w:val="superscript"/>
                <w:lang w:val="en-US" w:eastAsia="zh-CN"/>
              </w:rPr>
              <w:t>3</w:t>
            </w:r>
            <w:r>
              <w:rPr>
                <w:rFonts w:hint="eastAsia"/>
                <w:sz w:val="24"/>
                <w:highlight w:val="none"/>
                <w:lang w:val="en-US" w:eastAsia="zh-CN"/>
              </w:rPr>
              <w:t>，排放速率为0.00069kg/h，排放浓度为0.0347mg/m</w:t>
            </w:r>
            <w:r>
              <w:rPr>
                <w:rFonts w:hint="eastAsia"/>
                <w:sz w:val="24"/>
                <w:highlight w:val="none"/>
                <w:vertAlign w:val="superscript"/>
                <w:lang w:val="en-US" w:eastAsia="zh-CN"/>
              </w:rPr>
              <w:t>3</w:t>
            </w:r>
            <w:r>
              <w:rPr>
                <w:rFonts w:hint="eastAsia"/>
                <w:sz w:val="24"/>
                <w:highlight w:val="none"/>
                <w:lang w:val="en-US" w:eastAsia="zh-CN"/>
              </w:rPr>
              <w:t>。</w:t>
            </w:r>
          </w:p>
          <w:p>
            <w:pPr>
              <w:autoSpaceDE w:val="0"/>
              <w:autoSpaceDN w:val="0"/>
              <w:adjustRightInd w:val="0"/>
              <w:spacing w:line="360" w:lineRule="auto"/>
              <w:ind w:firstLine="480" w:firstLineChars="200"/>
              <w:jc w:val="left"/>
              <w:rPr>
                <w:rFonts w:hint="eastAsia" w:cs="Times New Roman"/>
                <w:b w:val="0"/>
                <w:bCs w:val="0"/>
                <w:kern w:val="2"/>
                <w:sz w:val="24"/>
                <w:szCs w:val="24"/>
                <w:highlight w:val="none"/>
                <w:lang w:val="en-US" w:eastAsia="zh-CN" w:bidi="ar-SA"/>
              </w:rPr>
            </w:pPr>
            <w:r>
              <w:rPr>
                <w:rFonts w:hint="eastAsia" w:ascii="Times New Roman" w:hAnsi="Times New Roman" w:eastAsia="宋体" w:cs="Times New Roman"/>
                <w:b w:val="0"/>
                <w:bCs w:val="0"/>
                <w:kern w:val="2"/>
                <w:sz w:val="24"/>
                <w:szCs w:val="24"/>
                <w:highlight w:val="none"/>
                <w:lang w:val="en-US" w:eastAsia="zh-CN" w:bidi="ar-SA"/>
              </w:rPr>
              <w:t>项目液态硅胶注塑工艺中</w:t>
            </w:r>
            <w:r>
              <w:rPr>
                <w:rFonts w:hint="eastAsia" w:cs="Times New Roman"/>
                <w:b w:val="0"/>
                <w:bCs w:val="0"/>
                <w:kern w:val="2"/>
                <w:sz w:val="24"/>
                <w:szCs w:val="24"/>
                <w:highlight w:val="none"/>
                <w:lang w:val="en-US" w:eastAsia="zh-CN" w:bidi="ar-SA"/>
              </w:rPr>
              <w:t>年产量约为1000t/a，原材料为150t/a，根据《排放源统计调查产排污核算方法和系数手册》，</w:t>
            </w:r>
            <w:r>
              <w:rPr>
                <w:rFonts w:hint="eastAsia" w:ascii="Times New Roman" w:hAnsi="Times New Roman" w:eastAsia="宋体" w:cs="Times New Roman"/>
                <w:b w:val="0"/>
                <w:bCs w:val="0"/>
                <w:kern w:val="2"/>
                <w:sz w:val="24"/>
                <w:szCs w:val="24"/>
                <w:highlight w:val="none"/>
                <w:lang w:val="en-US" w:eastAsia="zh-CN" w:bidi="ar-SA"/>
              </w:rPr>
              <w:t>硅胶</w:t>
            </w:r>
            <w:r>
              <w:rPr>
                <w:rFonts w:hint="eastAsia" w:cs="Times New Roman"/>
                <w:b w:val="0"/>
                <w:bCs w:val="0"/>
                <w:kern w:val="2"/>
                <w:sz w:val="24"/>
                <w:szCs w:val="24"/>
                <w:highlight w:val="none"/>
                <w:lang w:val="en-US" w:eastAsia="zh-CN" w:bidi="ar-SA"/>
              </w:rPr>
              <w:t>硫化产污系数以3.27kg/t三胶-原料计，因此产生的非甲烷总烃为0.4905t/a。集气罩收集后经二级活性炭装置吸附处理后通过15米高1#排气筒有组织排放（收集效率100%，处理效率90%）。有组织废气排放量为0.04905t/a，年工作7200h，风机风量为20000m3/h，则有组织废气产生速率为0.068125kg/h，产生浓度为3.406mg/m</w:t>
            </w:r>
            <w:r>
              <w:rPr>
                <w:rFonts w:hint="eastAsia" w:cs="Times New Roman"/>
                <w:b w:val="0"/>
                <w:bCs w:val="0"/>
                <w:kern w:val="2"/>
                <w:sz w:val="24"/>
                <w:szCs w:val="24"/>
                <w:highlight w:val="none"/>
                <w:vertAlign w:val="superscript"/>
                <w:lang w:val="en-US" w:eastAsia="zh-CN" w:bidi="ar-SA"/>
              </w:rPr>
              <w:t>3</w:t>
            </w:r>
            <w:r>
              <w:rPr>
                <w:rFonts w:hint="eastAsia" w:cs="Times New Roman"/>
                <w:b w:val="0"/>
                <w:bCs w:val="0"/>
                <w:kern w:val="2"/>
                <w:sz w:val="24"/>
                <w:szCs w:val="24"/>
                <w:highlight w:val="none"/>
                <w:lang w:val="en-US" w:eastAsia="zh-CN" w:bidi="ar-SA"/>
              </w:rPr>
              <w:t>，排放速率为0.0068125kg/h，排放浓度为0.3406mg/m</w:t>
            </w:r>
            <w:r>
              <w:rPr>
                <w:rFonts w:hint="eastAsia" w:cs="Times New Roman"/>
                <w:b w:val="0"/>
                <w:bCs w:val="0"/>
                <w:kern w:val="2"/>
                <w:sz w:val="24"/>
                <w:szCs w:val="24"/>
                <w:highlight w:val="none"/>
                <w:vertAlign w:val="superscript"/>
                <w:lang w:val="en-US" w:eastAsia="zh-CN" w:bidi="ar-SA"/>
              </w:rPr>
              <w:t>3</w:t>
            </w:r>
            <w:r>
              <w:rPr>
                <w:rFonts w:hint="eastAsia" w:cs="Times New Roman"/>
                <w:b w:val="0"/>
                <w:bCs w:val="0"/>
                <w:kern w:val="2"/>
                <w:sz w:val="24"/>
                <w:szCs w:val="24"/>
                <w:highlight w:val="none"/>
                <w:lang w:val="en-US" w:eastAsia="zh-CN" w:bidi="ar-SA"/>
              </w:rPr>
              <w:t>。</w:t>
            </w:r>
          </w:p>
          <w:p>
            <w:pPr>
              <w:autoSpaceDE w:val="0"/>
              <w:autoSpaceDN w:val="0"/>
              <w:adjustRightInd w:val="0"/>
              <w:spacing w:line="360" w:lineRule="auto"/>
              <w:ind w:firstLine="480" w:firstLineChars="200"/>
              <w:jc w:val="left"/>
              <w:rPr>
                <w:rFonts w:hint="eastAsia"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项目废气产排情况见下表。</w:t>
            </w:r>
          </w:p>
          <w:p>
            <w:pPr>
              <w:snapToGrid w:val="0"/>
              <w:jc w:val="center"/>
              <w:rPr>
                <w:rFonts w:hint="default" w:ascii="Times New Roman" w:hAnsi="Times New Roman" w:cs="Times New Roman"/>
                <w:sz w:val="24"/>
                <w:szCs w:val="24"/>
                <w:lang w:val="en-US" w:eastAsia="zh-CN"/>
              </w:rPr>
            </w:pPr>
            <w:r>
              <w:rPr>
                <w:rFonts w:hint="default" w:ascii="Times New Roman" w:hAnsi="Times New Roman" w:cs="Times New Roman"/>
                <w:b/>
                <w:sz w:val="24"/>
                <w:szCs w:val="24"/>
              </w:rPr>
              <w:t>表4-1  本项目废气产生情况</w:t>
            </w:r>
          </w:p>
          <w:tbl>
            <w:tblPr>
              <w:tblStyle w:val="22"/>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6" w:type="dxa"/>
                <w:bottom w:w="0" w:type="dxa"/>
                <w:right w:w="6" w:type="dxa"/>
              </w:tblCellMar>
            </w:tblPr>
            <w:tblGrid>
              <w:gridCol w:w="1113"/>
              <w:gridCol w:w="1170"/>
              <w:gridCol w:w="824"/>
              <w:gridCol w:w="400"/>
              <w:gridCol w:w="791"/>
              <w:gridCol w:w="910"/>
              <w:gridCol w:w="765"/>
              <w:gridCol w:w="553"/>
              <w:gridCol w:w="1153"/>
              <w:gridCol w:w="116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6" w:type="dxa"/>
                  <w:bottom w:w="0" w:type="dxa"/>
                  <w:right w:w="6" w:type="dxa"/>
                </w:tblCellMar>
              </w:tblPrEx>
              <w:trPr>
                <w:trHeight w:val="285" w:hRule="atLeast"/>
                <w:jc w:val="center"/>
              </w:trPr>
              <w:tc>
                <w:tcPr>
                  <w:tcW w:w="629" w:type="pct"/>
                  <w:vMerge w:val="restart"/>
                  <w:tcBorders>
                    <w:tl2br w:val="nil"/>
                    <w:tr2bl w:val="nil"/>
                  </w:tcBorders>
                  <w:shd w:val="clear" w:color="auto" w:fill="auto"/>
                  <w:vAlign w:val="center"/>
                </w:tcPr>
                <w:p>
                  <w:pPr>
                    <w:widowControl/>
                    <w:jc w:val="center"/>
                    <w:rPr>
                      <w:b/>
                      <w:bCs/>
                      <w:color w:val="000000"/>
                      <w:kern w:val="0"/>
                      <w:sz w:val="18"/>
                      <w:szCs w:val="18"/>
                    </w:rPr>
                  </w:pPr>
                  <w:r>
                    <w:rPr>
                      <w:b/>
                      <w:bCs/>
                      <w:color w:val="000000"/>
                      <w:kern w:val="0"/>
                      <w:sz w:val="18"/>
                      <w:szCs w:val="18"/>
                    </w:rPr>
                    <w:t>产生环节</w:t>
                  </w:r>
                </w:p>
              </w:tc>
              <w:tc>
                <w:tcPr>
                  <w:tcW w:w="661" w:type="pct"/>
                  <w:vMerge w:val="restart"/>
                  <w:tcBorders>
                    <w:tl2br w:val="nil"/>
                    <w:tr2bl w:val="nil"/>
                  </w:tcBorders>
                  <w:shd w:val="clear" w:color="auto" w:fill="auto"/>
                  <w:vAlign w:val="center"/>
                </w:tcPr>
                <w:p>
                  <w:pPr>
                    <w:widowControl/>
                    <w:jc w:val="center"/>
                    <w:rPr>
                      <w:b/>
                      <w:bCs/>
                      <w:color w:val="000000"/>
                      <w:kern w:val="0"/>
                      <w:sz w:val="18"/>
                      <w:szCs w:val="18"/>
                    </w:rPr>
                  </w:pPr>
                  <w:r>
                    <w:rPr>
                      <w:b/>
                      <w:bCs/>
                      <w:color w:val="000000"/>
                      <w:kern w:val="0"/>
                      <w:sz w:val="18"/>
                      <w:szCs w:val="18"/>
                    </w:rPr>
                    <w:t>污染物名称</w:t>
                  </w:r>
                </w:p>
              </w:tc>
              <w:tc>
                <w:tcPr>
                  <w:tcW w:w="465" w:type="pct"/>
                  <w:vMerge w:val="restart"/>
                  <w:tcBorders>
                    <w:tl2br w:val="nil"/>
                    <w:tr2bl w:val="nil"/>
                  </w:tcBorders>
                  <w:shd w:val="clear" w:color="auto" w:fill="auto"/>
                  <w:vAlign w:val="center"/>
                </w:tcPr>
                <w:p>
                  <w:pPr>
                    <w:widowControl/>
                    <w:jc w:val="center"/>
                    <w:rPr>
                      <w:rFonts w:hint="default" w:eastAsia="宋体"/>
                      <w:b/>
                      <w:bCs/>
                      <w:color w:val="000000"/>
                      <w:kern w:val="0"/>
                      <w:sz w:val="18"/>
                      <w:szCs w:val="18"/>
                      <w:lang w:val="en-US" w:eastAsia="zh-CN"/>
                    </w:rPr>
                  </w:pPr>
                  <w:r>
                    <w:rPr>
                      <w:b/>
                      <w:bCs/>
                      <w:color w:val="000000"/>
                      <w:kern w:val="0"/>
                      <w:sz w:val="18"/>
                      <w:szCs w:val="18"/>
                    </w:rPr>
                    <w:t>产生量</w:t>
                  </w:r>
                  <w:r>
                    <w:rPr>
                      <w:rFonts w:hint="eastAsia"/>
                      <w:b/>
                      <w:bCs/>
                      <w:color w:val="000000"/>
                      <w:kern w:val="0"/>
                      <w:sz w:val="18"/>
                      <w:szCs w:val="18"/>
                      <w:lang w:val="en-US" w:eastAsia="zh-CN"/>
                    </w:rPr>
                    <w:t>t/a</w:t>
                  </w:r>
                </w:p>
              </w:tc>
              <w:tc>
                <w:tcPr>
                  <w:tcW w:w="226" w:type="pct"/>
                  <w:vMerge w:val="restart"/>
                  <w:tcBorders>
                    <w:tl2br w:val="nil"/>
                    <w:tr2bl w:val="nil"/>
                  </w:tcBorders>
                  <w:shd w:val="clear" w:color="auto" w:fill="auto"/>
                  <w:vAlign w:val="center"/>
                </w:tcPr>
                <w:p>
                  <w:pPr>
                    <w:widowControl/>
                    <w:jc w:val="center"/>
                    <w:rPr>
                      <w:b/>
                      <w:bCs/>
                      <w:color w:val="000000"/>
                      <w:kern w:val="0"/>
                      <w:sz w:val="18"/>
                      <w:szCs w:val="18"/>
                    </w:rPr>
                  </w:pPr>
                  <w:r>
                    <w:rPr>
                      <w:b/>
                      <w:bCs/>
                      <w:color w:val="000000"/>
                      <w:kern w:val="0"/>
                      <w:sz w:val="18"/>
                      <w:szCs w:val="18"/>
                    </w:rPr>
                    <w:t>捕集效率%</w:t>
                  </w:r>
                </w:p>
              </w:tc>
              <w:tc>
                <w:tcPr>
                  <w:tcW w:w="447" w:type="pct"/>
                  <w:vMerge w:val="restart"/>
                  <w:tcBorders>
                    <w:tl2br w:val="nil"/>
                    <w:tr2bl w:val="nil"/>
                  </w:tcBorders>
                  <w:shd w:val="clear" w:color="auto" w:fill="auto"/>
                  <w:noWrap/>
                  <w:vAlign w:val="center"/>
                </w:tcPr>
                <w:p>
                  <w:pPr>
                    <w:widowControl/>
                    <w:jc w:val="center"/>
                    <w:rPr>
                      <w:b/>
                      <w:bCs/>
                      <w:kern w:val="0"/>
                      <w:sz w:val="18"/>
                      <w:szCs w:val="18"/>
                    </w:rPr>
                  </w:pPr>
                  <w:r>
                    <w:rPr>
                      <w:b/>
                      <w:bCs/>
                      <w:kern w:val="0"/>
                      <w:sz w:val="18"/>
                      <w:szCs w:val="18"/>
                    </w:rPr>
                    <w:t>排放形式</w:t>
                  </w:r>
                </w:p>
              </w:tc>
              <w:tc>
                <w:tcPr>
                  <w:tcW w:w="514" w:type="pct"/>
                  <w:vMerge w:val="restart"/>
                  <w:tcBorders>
                    <w:tl2br w:val="nil"/>
                    <w:tr2bl w:val="nil"/>
                  </w:tcBorders>
                  <w:shd w:val="clear" w:color="auto" w:fill="auto"/>
                  <w:noWrap/>
                  <w:vAlign w:val="center"/>
                </w:tcPr>
                <w:p>
                  <w:pPr>
                    <w:widowControl/>
                    <w:jc w:val="center"/>
                    <w:rPr>
                      <w:b/>
                      <w:bCs/>
                      <w:kern w:val="0"/>
                      <w:sz w:val="18"/>
                      <w:szCs w:val="18"/>
                    </w:rPr>
                  </w:pPr>
                  <w:r>
                    <w:rPr>
                      <w:b/>
                      <w:bCs/>
                      <w:kern w:val="0"/>
                      <w:sz w:val="18"/>
                      <w:szCs w:val="18"/>
                    </w:rPr>
                    <w:t>捕集量</w:t>
                  </w:r>
                </w:p>
              </w:tc>
              <w:tc>
                <w:tcPr>
                  <w:tcW w:w="1397" w:type="pct"/>
                  <w:gridSpan w:val="3"/>
                  <w:tcBorders>
                    <w:tl2br w:val="nil"/>
                    <w:tr2bl w:val="nil"/>
                  </w:tcBorders>
                  <w:shd w:val="clear" w:color="auto" w:fill="auto"/>
                  <w:vAlign w:val="center"/>
                </w:tcPr>
                <w:p>
                  <w:pPr>
                    <w:widowControl/>
                    <w:jc w:val="center"/>
                    <w:rPr>
                      <w:b/>
                      <w:bCs/>
                      <w:kern w:val="0"/>
                      <w:sz w:val="18"/>
                      <w:szCs w:val="18"/>
                    </w:rPr>
                  </w:pPr>
                  <w:r>
                    <w:rPr>
                      <w:b/>
                      <w:bCs/>
                      <w:kern w:val="0"/>
                      <w:sz w:val="18"/>
                      <w:szCs w:val="18"/>
                    </w:rPr>
                    <w:t>污染治理设施</w:t>
                  </w:r>
                </w:p>
              </w:tc>
              <w:tc>
                <w:tcPr>
                  <w:tcW w:w="657" w:type="pct"/>
                  <w:vMerge w:val="restart"/>
                  <w:tcBorders>
                    <w:tl2br w:val="nil"/>
                    <w:tr2bl w:val="nil"/>
                  </w:tcBorders>
                  <w:shd w:val="clear" w:color="auto" w:fill="auto"/>
                  <w:vAlign w:val="center"/>
                </w:tcPr>
                <w:p>
                  <w:pPr>
                    <w:widowControl/>
                    <w:jc w:val="center"/>
                    <w:rPr>
                      <w:b/>
                      <w:bCs/>
                      <w:color w:val="000000"/>
                      <w:kern w:val="0"/>
                      <w:sz w:val="18"/>
                      <w:szCs w:val="18"/>
                    </w:rPr>
                  </w:pPr>
                  <w:r>
                    <w:rPr>
                      <w:b/>
                      <w:bCs/>
                      <w:color w:val="000000"/>
                      <w:kern w:val="0"/>
                      <w:sz w:val="18"/>
                      <w:szCs w:val="18"/>
                    </w:rPr>
                    <w:t>排放源名称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6" w:type="dxa"/>
                  <w:bottom w:w="0" w:type="dxa"/>
                  <w:right w:w="6" w:type="dxa"/>
                </w:tblCellMar>
              </w:tblPrEx>
              <w:trPr>
                <w:trHeight w:val="285" w:hRule="atLeast"/>
                <w:jc w:val="center"/>
              </w:trPr>
              <w:tc>
                <w:tcPr>
                  <w:tcW w:w="629" w:type="pct"/>
                  <w:vMerge w:val="continue"/>
                  <w:tcBorders>
                    <w:tl2br w:val="nil"/>
                    <w:tr2bl w:val="nil"/>
                  </w:tcBorders>
                  <w:shd w:val="clear" w:color="auto" w:fill="auto"/>
                  <w:vAlign w:val="center"/>
                </w:tcPr>
                <w:p>
                  <w:pPr>
                    <w:widowControl/>
                    <w:jc w:val="center"/>
                    <w:rPr>
                      <w:color w:val="000000"/>
                      <w:kern w:val="0"/>
                      <w:sz w:val="18"/>
                      <w:szCs w:val="18"/>
                    </w:rPr>
                  </w:pPr>
                </w:p>
              </w:tc>
              <w:tc>
                <w:tcPr>
                  <w:tcW w:w="661" w:type="pct"/>
                  <w:vMerge w:val="continue"/>
                  <w:tcBorders>
                    <w:tl2br w:val="nil"/>
                    <w:tr2bl w:val="nil"/>
                  </w:tcBorders>
                  <w:shd w:val="clear" w:color="auto" w:fill="auto"/>
                  <w:vAlign w:val="center"/>
                </w:tcPr>
                <w:p>
                  <w:pPr>
                    <w:widowControl/>
                    <w:jc w:val="center"/>
                    <w:rPr>
                      <w:color w:val="000000"/>
                      <w:kern w:val="0"/>
                      <w:sz w:val="18"/>
                      <w:szCs w:val="18"/>
                    </w:rPr>
                  </w:pPr>
                </w:p>
              </w:tc>
              <w:tc>
                <w:tcPr>
                  <w:tcW w:w="465" w:type="pct"/>
                  <w:vMerge w:val="continue"/>
                  <w:tcBorders>
                    <w:tl2br w:val="nil"/>
                    <w:tr2bl w:val="nil"/>
                  </w:tcBorders>
                  <w:shd w:val="clear" w:color="auto" w:fill="auto"/>
                  <w:vAlign w:val="center"/>
                </w:tcPr>
                <w:p>
                  <w:pPr>
                    <w:widowControl/>
                    <w:jc w:val="center"/>
                    <w:rPr>
                      <w:color w:val="000000"/>
                      <w:kern w:val="0"/>
                      <w:sz w:val="18"/>
                      <w:szCs w:val="18"/>
                    </w:rPr>
                  </w:pPr>
                </w:p>
              </w:tc>
              <w:tc>
                <w:tcPr>
                  <w:tcW w:w="226" w:type="pct"/>
                  <w:vMerge w:val="continue"/>
                  <w:tcBorders>
                    <w:tl2br w:val="nil"/>
                    <w:tr2bl w:val="nil"/>
                  </w:tcBorders>
                  <w:shd w:val="clear" w:color="auto" w:fill="auto"/>
                  <w:vAlign w:val="center"/>
                </w:tcPr>
                <w:p>
                  <w:pPr>
                    <w:widowControl/>
                    <w:jc w:val="center"/>
                    <w:rPr>
                      <w:color w:val="000000"/>
                      <w:kern w:val="0"/>
                      <w:sz w:val="18"/>
                      <w:szCs w:val="18"/>
                    </w:rPr>
                  </w:pPr>
                </w:p>
              </w:tc>
              <w:tc>
                <w:tcPr>
                  <w:tcW w:w="447" w:type="pct"/>
                  <w:vMerge w:val="continue"/>
                  <w:tcBorders>
                    <w:tl2br w:val="nil"/>
                    <w:tr2bl w:val="nil"/>
                  </w:tcBorders>
                  <w:shd w:val="clear" w:color="auto" w:fill="auto"/>
                  <w:vAlign w:val="center"/>
                </w:tcPr>
                <w:p>
                  <w:pPr>
                    <w:widowControl/>
                    <w:jc w:val="center"/>
                    <w:rPr>
                      <w:kern w:val="0"/>
                      <w:sz w:val="18"/>
                      <w:szCs w:val="18"/>
                    </w:rPr>
                  </w:pPr>
                </w:p>
              </w:tc>
              <w:tc>
                <w:tcPr>
                  <w:tcW w:w="514" w:type="pct"/>
                  <w:vMerge w:val="continue"/>
                  <w:tcBorders>
                    <w:tl2br w:val="nil"/>
                    <w:tr2bl w:val="nil"/>
                  </w:tcBorders>
                  <w:shd w:val="clear" w:color="auto" w:fill="auto"/>
                  <w:vAlign w:val="center"/>
                </w:tcPr>
                <w:p>
                  <w:pPr>
                    <w:widowControl/>
                    <w:jc w:val="center"/>
                    <w:rPr>
                      <w:kern w:val="0"/>
                      <w:sz w:val="18"/>
                      <w:szCs w:val="18"/>
                    </w:rPr>
                  </w:pPr>
                </w:p>
              </w:tc>
              <w:tc>
                <w:tcPr>
                  <w:tcW w:w="432" w:type="pct"/>
                  <w:tcBorders>
                    <w:tl2br w:val="nil"/>
                    <w:tr2bl w:val="nil"/>
                  </w:tcBorders>
                  <w:shd w:val="clear" w:color="auto" w:fill="auto"/>
                  <w:vAlign w:val="center"/>
                </w:tcPr>
                <w:p>
                  <w:pPr>
                    <w:widowControl/>
                    <w:jc w:val="center"/>
                    <w:rPr>
                      <w:b/>
                      <w:bCs/>
                      <w:kern w:val="0"/>
                      <w:sz w:val="18"/>
                      <w:szCs w:val="18"/>
                    </w:rPr>
                  </w:pPr>
                  <w:r>
                    <w:rPr>
                      <w:b/>
                      <w:bCs/>
                      <w:kern w:val="0"/>
                      <w:sz w:val="18"/>
                      <w:szCs w:val="18"/>
                    </w:rPr>
                    <w:t>污染防治设施名称</w:t>
                  </w:r>
                </w:p>
              </w:tc>
              <w:tc>
                <w:tcPr>
                  <w:tcW w:w="312" w:type="pct"/>
                  <w:tcBorders>
                    <w:tl2br w:val="nil"/>
                    <w:tr2bl w:val="nil"/>
                  </w:tcBorders>
                  <w:shd w:val="clear" w:color="auto" w:fill="auto"/>
                  <w:vAlign w:val="center"/>
                </w:tcPr>
                <w:p>
                  <w:pPr>
                    <w:widowControl/>
                    <w:jc w:val="center"/>
                    <w:rPr>
                      <w:b/>
                      <w:bCs/>
                      <w:kern w:val="0"/>
                      <w:sz w:val="18"/>
                      <w:szCs w:val="18"/>
                    </w:rPr>
                  </w:pPr>
                  <w:r>
                    <w:rPr>
                      <w:b/>
                      <w:bCs/>
                      <w:kern w:val="0"/>
                      <w:sz w:val="18"/>
                      <w:szCs w:val="18"/>
                    </w:rPr>
                    <w:t>工艺</w:t>
                  </w:r>
                </w:p>
              </w:tc>
              <w:tc>
                <w:tcPr>
                  <w:tcW w:w="652" w:type="pct"/>
                  <w:tcBorders>
                    <w:tl2br w:val="nil"/>
                    <w:tr2bl w:val="nil"/>
                  </w:tcBorders>
                  <w:shd w:val="clear" w:color="auto" w:fill="auto"/>
                  <w:noWrap/>
                  <w:vAlign w:val="center"/>
                </w:tcPr>
                <w:p>
                  <w:pPr>
                    <w:widowControl/>
                    <w:jc w:val="center"/>
                    <w:rPr>
                      <w:b/>
                      <w:bCs/>
                      <w:kern w:val="0"/>
                      <w:sz w:val="18"/>
                      <w:szCs w:val="18"/>
                    </w:rPr>
                  </w:pPr>
                  <w:r>
                    <w:rPr>
                      <w:b/>
                      <w:bCs/>
                      <w:kern w:val="0"/>
                      <w:sz w:val="18"/>
                      <w:szCs w:val="18"/>
                    </w:rPr>
                    <w:t>是否为可行性技术</w:t>
                  </w:r>
                </w:p>
              </w:tc>
              <w:tc>
                <w:tcPr>
                  <w:tcW w:w="657" w:type="pct"/>
                  <w:vMerge w:val="continue"/>
                  <w:tcBorders>
                    <w:tl2br w:val="nil"/>
                    <w:tr2bl w:val="nil"/>
                  </w:tcBorders>
                  <w:shd w:val="clear" w:color="auto" w:fill="auto"/>
                  <w:vAlign w:val="center"/>
                </w:tcPr>
                <w:p>
                  <w:pPr>
                    <w:widowControl/>
                    <w:jc w:val="left"/>
                    <w:rPr>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6" w:type="dxa"/>
                  <w:bottom w:w="0" w:type="dxa"/>
                  <w:right w:w="6" w:type="dxa"/>
                </w:tblCellMar>
              </w:tblPrEx>
              <w:trPr>
                <w:trHeight w:val="300" w:hRule="atLeast"/>
                <w:jc w:val="center"/>
              </w:trPr>
              <w:tc>
                <w:tcPr>
                  <w:tcW w:w="629" w:type="pct"/>
                  <w:vMerge w:val="restart"/>
                  <w:tcBorders>
                    <w:tl2br w:val="nil"/>
                    <w:tr2bl w:val="nil"/>
                  </w:tcBorders>
                  <w:shd w:val="clear" w:color="auto" w:fill="auto"/>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合金类植入零件机加工</w:t>
                  </w:r>
                </w:p>
              </w:tc>
              <w:tc>
                <w:tcPr>
                  <w:tcW w:w="661" w:type="pct"/>
                  <w:tcBorders>
                    <w:tl2br w:val="nil"/>
                    <w:tr2bl w:val="nil"/>
                  </w:tcBorders>
                  <w:shd w:val="clear" w:color="auto" w:fill="auto"/>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非甲烷总烃</w:t>
                  </w:r>
                </w:p>
              </w:tc>
              <w:tc>
                <w:tcPr>
                  <w:tcW w:w="465" w:type="pct"/>
                  <w:tcBorders>
                    <w:tl2br w:val="nil"/>
                    <w:tr2bl w:val="nil"/>
                  </w:tcBorders>
                  <w:shd w:val="clear" w:color="auto" w:fill="auto"/>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0.0141</w:t>
                  </w:r>
                </w:p>
              </w:tc>
              <w:tc>
                <w:tcPr>
                  <w:tcW w:w="226" w:type="pct"/>
                  <w:vMerge w:val="restart"/>
                  <w:tcBorders>
                    <w:tl2br w:val="nil"/>
                    <w:tr2bl w:val="nil"/>
                  </w:tcBorders>
                  <w:shd w:val="clear" w:color="auto" w:fill="auto"/>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100</w:t>
                  </w:r>
                </w:p>
              </w:tc>
              <w:tc>
                <w:tcPr>
                  <w:tcW w:w="447" w:type="pct"/>
                  <w:vMerge w:val="restart"/>
                  <w:tcBorders>
                    <w:tl2br w:val="nil"/>
                    <w:tr2bl w:val="nil"/>
                  </w:tcBorders>
                  <w:shd w:val="clear" w:color="auto" w:fill="auto"/>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有组织</w:t>
                  </w:r>
                </w:p>
              </w:tc>
              <w:tc>
                <w:tcPr>
                  <w:tcW w:w="514" w:type="pct"/>
                  <w:tcBorders>
                    <w:tl2br w:val="nil"/>
                    <w:tr2bl w:val="nil"/>
                  </w:tcBorders>
                  <w:shd w:val="clear" w:color="auto" w:fill="auto"/>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0.01269</w:t>
                  </w:r>
                </w:p>
              </w:tc>
              <w:tc>
                <w:tcPr>
                  <w:tcW w:w="432" w:type="pct"/>
                  <w:vMerge w:val="restart"/>
                  <w:tcBorders>
                    <w:tl2br w:val="nil"/>
                    <w:tr2bl w:val="nil"/>
                  </w:tcBorders>
                  <w:shd w:val="clear" w:color="auto" w:fill="auto"/>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二级活性炭吸附</w:t>
                  </w:r>
                </w:p>
              </w:tc>
              <w:tc>
                <w:tcPr>
                  <w:tcW w:w="312" w:type="pct"/>
                  <w:vMerge w:val="restart"/>
                  <w:tcBorders>
                    <w:tl2br w:val="nil"/>
                    <w:tr2bl w:val="nil"/>
                  </w:tcBorders>
                  <w:shd w:val="clear" w:color="auto" w:fill="auto"/>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吸附</w:t>
                  </w:r>
                </w:p>
              </w:tc>
              <w:tc>
                <w:tcPr>
                  <w:tcW w:w="652" w:type="pct"/>
                  <w:tcBorders>
                    <w:tl2br w:val="nil"/>
                    <w:tr2bl w:val="nil"/>
                  </w:tcBorders>
                  <w:shd w:val="clear" w:color="auto" w:fill="auto"/>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是</w:t>
                  </w:r>
                </w:p>
              </w:tc>
              <w:tc>
                <w:tcPr>
                  <w:tcW w:w="657" w:type="pct"/>
                  <w:vMerge w:val="restart"/>
                  <w:tcBorders>
                    <w:tl2br w:val="nil"/>
                    <w:tr2bl w:val="nil"/>
                  </w:tcBorders>
                  <w:shd w:val="clear" w:color="auto" w:fill="auto"/>
                  <w:noWrap/>
                  <w:vAlign w:val="center"/>
                </w:tcPr>
                <w:p>
                  <w:pPr>
                    <w:widowControl/>
                    <w:jc w:val="center"/>
                    <w:rPr>
                      <w:color w:val="000000"/>
                      <w:kern w:val="0"/>
                      <w:sz w:val="18"/>
                      <w:szCs w:val="18"/>
                    </w:rPr>
                  </w:pPr>
                  <w:r>
                    <w:rPr>
                      <w:rFonts w:hint="eastAsia"/>
                      <w:szCs w:val="21"/>
                      <w:highlight w:val="none"/>
                      <w:lang w:val="en-US" w:eastAsia="zh-CN"/>
                    </w:rPr>
                    <w:t>一根15米长的1#排气筒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6" w:type="dxa"/>
                  <w:bottom w:w="0" w:type="dxa"/>
                  <w:right w:w="6" w:type="dxa"/>
                </w:tblCellMar>
              </w:tblPrEx>
              <w:trPr>
                <w:trHeight w:val="300" w:hRule="atLeast"/>
                <w:jc w:val="center"/>
              </w:trPr>
              <w:tc>
                <w:tcPr>
                  <w:tcW w:w="629" w:type="pct"/>
                  <w:vMerge w:val="continue"/>
                  <w:tcBorders>
                    <w:tl2br w:val="nil"/>
                    <w:tr2bl w:val="nil"/>
                  </w:tcBorders>
                  <w:shd w:val="clear" w:color="auto" w:fill="auto"/>
                  <w:vAlign w:val="center"/>
                </w:tcPr>
                <w:p>
                  <w:pPr>
                    <w:autoSpaceDE w:val="0"/>
                    <w:autoSpaceDN w:val="0"/>
                    <w:jc w:val="center"/>
                    <w:rPr>
                      <w:rFonts w:hint="eastAsia"/>
                      <w:szCs w:val="21"/>
                      <w:highlight w:val="none"/>
                      <w:lang w:val="en-US" w:eastAsia="zh-CN"/>
                    </w:rPr>
                  </w:pPr>
                </w:p>
              </w:tc>
              <w:tc>
                <w:tcPr>
                  <w:tcW w:w="661" w:type="pct"/>
                  <w:tcBorders>
                    <w:tl2br w:val="nil"/>
                    <w:tr2bl w:val="nil"/>
                  </w:tcBorders>
                  <w:shd w:val="clear" w:color="auto" w:fill="auto"/>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颗粒物</w:t>
                  </w:r>
                </w:p>
              </w:tc>
              <w:tc>
                <w:tcPr>
                  <w:tcW w:w="465" w:type="pct"/>
                  <w:tcBorders>
                    <w:tl2br w:val="nil"/>
                    <w:tr2bl w:val="nil"/>
                  </w:tcBorders>
                  <w:shd w:val="clear" w:color="auto" w:fill="auto"/>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0.005475</w:t>
                  </w:r>
                </w:p>
              </w:tc>
              <w:tc>
                <w:tcPr>
                  <w:tcW w:w="226" w:type="pct"/>
                  <w:vMerge w:val="continue"/>
                  <w:tcBorders>
                    <w:tl2br w:val="nil"/>
                    <w:tr2bl w:val="nil"/>
                  </w:tcBorders>
                  <w:shd w:val="clear" w:color="auto" w:fill="auto"/>
                  <w:vAlign w:val="center"/>
                </w:tcPr>
                <w:p>
                  <w:pPr>
                    <w:autoSpaceDE w:val="0"/>
                    <w:autoSpaceDN w:val="0"/>
                    <w:jc w:val="center"/>
                    <w:rPr>
                      <w:rFonts w:hint="eastAsia"/>
                      <w:szCs w:val="21"/>
                      <w:highlight w:val="none"/>
                      <w:lang w:val="en-US" w:eastAsia="zh-CN"/>
                    </w:rPr>
                  </w:pPr>
                </w:p>
              </w:tc>
              <w:tc>
                <w:tcPr>
                  <w:tcW w:w="447" w:type="pct"/>
                  <w:vMerge w:val="continue"/>
                  <w:tcBorders>
                    <w:tl2br w:val="nil"/>
                    <w:tr2bl w:val="nil"/>
                  </w:tcBorders>
                  <w:shd w:val="clear" w:color="auto" w:fill="auto"/>
                  <w:vAlign w:val="center"/>
                </w:tcPr>
                <w:p>
                  <w:pPr>
                    <w:autoSpaceDE w:val="0"/>
                    <w:autoSpaceDN w:val="0"/>
                    <w:jc w:val="center"/>
                    <w:rPr>
                      <w:rFonts w:hint="eastAsia"/>
                      <w:szCs w:val="21"/>
                      <w:highlight w:val="none"/>
                      <w:lang w:val="en-US" w:eastAsia="zh-CN"/>
                    </w:rPr>
                  </w:pPr>
                </w:p>
              </w:tc>
              <w:tc>
                <w:tcPr>
                  <w:tcW w:w="514" w:type="pct"/>
                  <w:tcBorders>
                    <w:tl2br w:val="nil"/>
                    <w:tr2bl w:val="nil"/>
                  </w:tcBorders>
                  <w:shd w:val="clear" w:color="auto" w:fill="auto"/>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0.00493</w:t>
                  </w:r>
                </w:p>
              </w:tc>
              <w:tc>
                <w:tcPr>
                  <w:tcW w:w="432" w:type="pct"/>
                  <w:vMerge w:val="continue"/>
                  <w:tcBorders>
                    <w:tl2br w:val="nil"/>
                    <w:tr2bl w:val="nil"/>
                  </w:tcBorders>
                  <w:shd w:val="clear" w:color="auto" w:fill="auto"/>
                  <w:vAlign w:val="center"/>
                </w:tcPr>
                <w:p>
                  <w:pPr>
                    <w:autoSpaceDE w:val="0"/>
                    <w:autoSpaceDN w:val="0"/>
                    <w:jc w:val="center"/>
                    <w:rPr>
                      <w:rFonts w:hint="eastAsia"/>
                      <w:szCs w:val="21"/>
                      <w:highlight w:val="none"/>
                      <w:lang w:val="en-US" w:eastAsia="zh-CN"/>
                    </w:rPr>
                  </w:pPr>
                </w:p>
              </w:tc>
              <w:tc>
                <w:tcPr>
                  <w:tcW w:w="312" w:type="pct"/>
                  <w:vMerge w:val="continue"/>
                  <w:tcBorders>
                    <w:tl2br w:val="nil"/>
                    <w:tr2bl w:val="nil"/>
                  </w:tcBorders>
                  <w:shd w:val="clear" w:color="auto" w:fill="auto"/>
                  <w:vAlign w:val="center"/>
                </w:tcPr>
                <w:p>
                  <w:pPr>
                    <w:autoSpaceDE w:val="0"/>
                    <w:autoSpaceDN w:val="0"/>
                    <w:jc w:val="center"/>
                    <w:rPr>
                      <w:rFonts w:hint="eastAsia"/>
                      <w:szCs w:val="21"/>
                      <w:highlight w:val="none"/>
                      <w:lang w:val="en-US" w:eastAsia="zh-CN"/>
                    </w:rPr>
                  </w:pPr>
                </w:p>
              </w:tc>
              <w:tc>
                <w:tcPr>
                  <w:tcW w:w="652" w:type="pct"/>
                  <w:tcBorders>
                    <w:tl2br w:val="nil"/>
                    <w:tr2bl w:val="nil"/>
                  </w:tcBorders>
                  <w:shd w:val="clear" w:color="auto" w:fill="auto"/>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是</w:t>
                  </w:r>
                </w:p>
              </w:tc>
              <w:tc>
                <w:tcPr>
                  <w:tcW w:w="657" w:type="pct"/>
                  <w:vMerge w:val="continue"/>
                  <w:tcBorders>
                    <w:tl2br w:val="nil"/>
                    <w:tr2bl w:val="nil"/>
                  </w:tcBorders>
                  <w:shd w:val="clear" w:color="auto" w:fill="auto"/>
                  <w:noWrap/>
                  <w:vAlign w:val="center"/>
                </w:tcPr>
                <w:p>
                  <w:pPr>
                    <w:widowControl/>
                    <w:jc w:val="center"/>
                    <w:rPr>
                      <w:rFonts w:hint="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5" w:hRule="atLeast"/>
                <w:jc w:val="center"/>
              </w:trPr>
              <w:tc>
                <w:tcPr>
                  <w:tcW w:w="629" w:type="pct"/>
                  <w:vMerge w:val="restart"/>
                  <w:tcBorders>
                    <w:tl2br w:val="nil"/>
                    <w:tr2bl w:val="nil"/>
                  </w:tcBorders>
                  <w:shd w:val="clear" w:color="auto" w:fill="auto"/>
                  <w:noWrap/>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塑料制品注塑工艺</w:t>
                  </w:r>
                </w:p>
              </w:tc>
              <w:tc>
                <w:tcPr>
                  <w:tcW w:w="661" w:type="pct"/>
                  <w:tcBorders>
                    <w:tl2br w:val="nil"/>
                    <w:tr2bl w:val="nil"/>
                  </w:tcBorders>
                  <w:shd w:val="clear" w:color="auto" w:fill="auto"/>
                  <w:noWrap/>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非甲烷总烃</w:t>
                  </w:r>
                </w:p>
              </w:tc>
              <w:tc>
                <w:tcPr>
                  <w:tcW w:w="465" w:type="pct"/>
                  <w:tcBorders>
                    <w:tl2br w:val="nil"/>
                    <w:tr2bl w:val="nil"/>
                  </w:tcBorders>
                  <w:shd w:val="clear" w:color="auto" w:fill="auto"/>
                  <w:noWrap/>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1.62</w:t>
                  </w:r>
                </w:p>
              </w:tc>
              <w:tc>
                <w:tcPr>
                  <w:tcW w:w="226" w:type="pct"/>
                  <w:vMerge w:val="continue"/>
                  <w:tcBorders>
                    <w:tl2br w:val="nil"/>
                    <w:tr2bl w:val="nil"/>
                  </w:tcBorders>
                  <w:shd w:val="clear" w:color="auto" w:fill="auto"/>
                  <w:noWrap/>
                  <w:vAlign w:val="center"/>
                </w:tcPr>
                <w:p>
                  <w:pPr>
                    <w:autoSpaceDE w:val="0"/>
                    <w:autoSpaceDN w:val="0"/>
                    <w:jc w:val="center"/>
                    <w:rPr>
                      <w:rFonts w:hint="default"/>
                      <w:szCs w:val="21"/>
                      <w:highlight w:val="none"/>
                      <w:lang w:val="en-US" w:eastAsia="zh-CN"/>
                    </w:rPr>
                  </w:pPr>
                </w:p>
              </w:tc>
              <w:tc>
                <w:tcPr>
                  <w:tcW w:w="447" w:type="pct"/>
                  <w:vMerge w:val="continue"/>
                  <w:tcBorders>
                    <w:tl2br w:val="nil"/>
                    <w:tr2bl w:val="nil"/>
                  </w:tcBorders>
                  <w:shd w:val="clear" w:color="auto" w:fill="auto"/>
                  <w:noWrap/>
                  <w:vAlign w:val="center"/>
                </w:tcPr>
                <w:p>
                  <w:pPr>
                    <w:autoSpaceDE w:val="0"/>
                    <w:autoSpaceDN w:val="0"/>
                    <w:jc w:val="center"/>
                    <w:rPr>
                      <w:rFonts w:hint="eastAsia"/>
                      <w:szCs w:val="21"/>
                      <w:highlight w:val="none"/>
                      <w:lang w:val="en-US" w:eastAsia="zh-CN"/>
                    </w:rPr>
                  </w:pPr>
                </w:p>
              </w:tc>
              <w:tc>
                <w:tcPr>
                  <w:tcW w:w="514" w:type="pct"/>
                  <w:tcBorders>
                    <w:tl2br w:val="nil"/>
                    <w:tr2bl w:val="nil"/>
                  </w:tcBorders>
                  <w:shd w:val="clear" w:color="auto" w:fill="auto"/>
                  <w:noWrap/>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1.458</w:t>
                  </w:r>
                </w:p>
              </w:tc>
              <w:tc>
                <w:tcPr>
                  <w:tcW w:w="432" w:type="pct"/>
                  <w:vMerge w:val="continue"/>
                  <w:tcBorders>
                    <w:tl2br w:val="nil"/>
                    <w:tr2bl w:val="nil"/>
                  </w:tcBorders>
                  <w:shd w:val="clear" w:color="auto" w:fill="auto"/>
                  <w:vAlign w:val="center"/>
                </w:tcPr>
                <w:p>
                  <w:pPr>
                    <w:autoSpaceDE w:val="0"/>
                    <w:autoSpaceDN w:val="0"/>
                    <w:jc w:val="center"/>
                    <w:rPr>
                      <w:rFonts w:hint="eastAsia"/>
                      <w:szCs w:val="21"/>
                      <w:highlight w:val="none"/>
                      <w:lang w:val="en-US" w:eastAsia="zh-CN"/>
                    </w:rPr>
                  </w:pPr>
                </w:p>
              </w:tc>
              <w:tc>
                <w:tcPr>
                  <w:tcW w:w="312" w:type="pct"/>
                  <w:vMerge w:val="continue"/>
                  <w:tcBorders>
                    <w:tl2br w:val="nil"/>
                    <w:tr2bl w:val="nil"/>
                  </w:tcBorders>
                  <w:shd w:val="clear" w:color="auto" w:fill="auto"/>
                  <w:vAlign w:val="center"/>
                </w:tcPr>
                <w:p>
                  <w:pPr>
                    <w:autoSpaceDE w:val="0"/>
                    <w:autoSpaceDN w:val="0"/>
                    <w:jc w:val="center"/>
                    <w:rPr>
                      <w:rFonts w:hint="eastAsia"/>
                      <w:szCs w:val="21"/>
                      <w:highlight w:val="none"/>
                      <w:lang w:val="en-US" w:eastAsia="zh-CN"/>
                    </w:rPr>
                  </w:pPr>
                </w:p>
              </w:tc>
              <w:tc>
                <w:tcPr>
                  <w:tcW w:w="652" w:type="pct"/>
                  <w:tcBorders>
                    <w:tl2br w:val="nil"/>
                    <w:tr2bl w:val="nil"/>
                  </w:tcBorders>
                  <w:shd w:val="clear" w:color="auto" w:fill="auto"/>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是</w:t>
                  </w:r>
                </w:p>
              </w:tc>
              <w:tc>
                <w:tcPr>
                  <w:tcW w:w="657" w:type="pct"/>
                  <w:vMerge w:val="continue"/>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6" w:type="dxa"/>
                  <w:bottom w:w="0" w:type="dxa"/>
                  <w:right w:w="6" w:type="dxa"/>
                </w:tblCellMar>
              </w:tblPrEx>
              <w:trPr>
                <w:trHeight w:val="285" w:hRule="atLeast"/>
                <w:jc w:val="center"/>
              </w:trPr>
              <w:tc>
                <w:tcPr>
                  <w:tcW w:w="629" w:type="pct"/>
                  <w:vMerge w:val="continue"/>
                  <w:tcBorders>
                    <w:tl2br w:val="nil"/>
                    <w:tr2bl w:val="nil"/>
                  </w:tcBorders>
                  <w:shd w:val="clear" w:color="auto" w:fill="auto"/>
                  <w:noWrap/>
                  <w:vAlign w:val="center"/>
                </w:tcPr>
                <w:p>
                  <w:pPr>
                    <w:autoSpaceDE w:val="0"/>
                    <w:autoSpaceDN w:val="0"/>
                    <w:jc w:val="center"/>
                    <w:rPr>
                      <w:rFonts w:hint="eastAsia"/>
                      <w:szCs w:val="21"/>
                      <w:highlight w:val="none"/>
                      <w:lang w:val="en-US" w:eastAsia="zh-CN"/>
                    </w:rPr>
                  </w:pPr>
                </w:p>
              </w:tc>
              <w:tc>
                <w:tcPr>
                  <w:tcW w:w="661" w:type="pct"/>
                  <w:tcBorders>
                    <w:tl2br w:val="nil"/>
                    <w:tr2bl w:val="nil"/>
                  </w:tcBorders>
                  <w:shd w:val="clear" w:color="auto" w:fill="auto"/>
                  <w:noWrap/>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苯乙烯</w:t>
                  </w:r>
                </w:p>
              </w:tc>
              <w:tc>
                <w:tcPr>
                  <w:tcW w:w="465" w:type="pct"/>
                  <w:tcBorders>
                    <w:tl2br w:val="nil"/>
                    <w:tr2bl w:val="nil"/>
                  </w:tcBorders>
                  <w:shd w:val="clear" w:color="auto" w:fill="auto"/>
                  <w:noWrap/>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0.075</w:t>
                  </w:r>
                </w:p>
              </w:tc>
              <w:tc>
                <w:tcPr>
                  <w:tcW w:w="226" w:type="pct"/>
                  <w:vMerge w:val="continue"/>
                  <w:tcBorders>
                    <w:tl2br w:val="nil"/>
                    <w:tr2bl w:val="nil"/>
                  </w:tcBorders>
                  <w:shd w:val="clear" w:color="auto" w:fill="auto"/>
                  <w:noWrap/>
                  <w:vAlign w:val="center"/>
                </w:tcPr>
                <w:p>
                  <w:pPr>
                    <w:autoSpaceDE w:val="0"/>
                    <w:autoSpaceDN w:val="0"/>
                    <w:jc w:val="center"/>
                    <w:rPr>
                      <w:rFonts w:hint="eastAsia"/>
                      <w:szCs w:val="21"/>
                      <w:highlight w:val="none"/>
                      <w:lang w:val="en-US" w:eastAsia="zh-CN"/>
                    </w:rPr>
                  </w:pPr>
                </w:p>
              </w:tc>
              <w:tc>
                <w:tcPr>
                  <w:tcW w:w="447" w:type="pct"/>
                  <w:vMerge w:val="continue"/>
                  <w:tcBorders>
                    <w:tl2br w:val="nil"/>
                    <w:tr2bl w:val="nil"/>
                  </w:tcBorders>
                  <w:shd w:val="clear" w:color="auto" w:fill="auto"/>
                  <w:noWrap/>
                  <w:vAlign w:val="center"/>
                </w:tcPr>
                <w:p>
                  <w:pPr>
                    <w:autoSpaceDE w:val="0"/>
                    <w:autoSpaceDN w:val="0"/>
                    <w:jc w:val="center"/>
                    <w:rPr>
                      <w:rFonts w:hint="eastAsia"/>
                      <w:szCs w:val="21"/>
                      <w:highlight w:val="none"/>
                      <w:lang w:val="en-US" w:eastAsia="zh-CN"/>
                    </w:rPr>
                  </w:pPr>
                </w:p>
              </w:tc>
              <w:tc>
                <w:tcPr>
                  <w:tcW w:w="514" w:type="pct"/>
                  <w:tcBorders>
                    <w:tl2br w:val="nil"/>
                    <w:tr2bl w:val="nil"/>
                  </w:tcBorders>
                  <w:shd w:val="clear" w:color="auto" w:fill="auto"/>
                  <w:noWrap/>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0.0675</w:t>
                  </w:r>
                </w:p>
              </w:tc>
              <w:tc>
                <w:tcPr>
                  <w:tcW w:w="432" w:type="pct"/>
                  <w:vMerge w:val="continue"/>
                  <w:tcBorders>
                    <w:tl2br w:val="nil"/>
                    <w:tr2bl w:val="nil"/>
                  </w:tcBorders>
                  <w:shd w:val="clear" w:color="auto" w:fill="auto"/>
                  <w:vAlign w:val="center"/>
                </w:tcPr>
                <w:p>
                  <w:pPr>
                    <w:autoSpaceDE w:val="0"/>
                    <w:autoSpaceDN w:val="0"/>
                    <w:jc w:val="center"/>
                    <w:rPr>
                      <w:rFonts w:hint="eastAsia"/>
                      <w:szCs w:val="21"/>
                      <w:highlight w:val="none"/>
                      <w:lang w:val="en-US" w:eastAsia="zh-CN"/>
                    </w:rPr>
                  </w:pPr>
                </w:p>
              </w:tc>
              <w:tc>
                <w:tcPr>
                  <w:tcW w:w="312" w:type="pct"/>
                  <w:vMerge w:val="continue"/>
                  <w:tcBorders>
                    <w:tl2br w:val="nil"/>
                    <w:tr2bl w:val="nil"/>
                  </w:tcBorders>
                  <w:shd w:val="clear" w:color="auto" w:fill="auto"/>
                  <w:vAlign w:val="center"/>
                </w:tcPr>
                <w:p>
                  <w:pPr>
                    <w:autoSpaceDE w:val="0"/>
                    <w:autoSpaceDN w:val="0"/>
                    <w:jc w:val="center"/>
                    <w:rPr>
                      <w:rFonts w:hint="eastAsia"/>
                      <w:szCs w:val="21"/>
                      <w:highlight w:val="none"/>
                      <w:lang w:val="en-US" w:eastAsia="zh-CN"/>
                    </w:rPr>
                  </w:pPr>
                </w:p>
              </w:tc>
              <w:tc>
                <w:tcPr>
                  <w:tcW w:w="652" w:type="pct"/>
                  <w:tcBorders>
                    <w:tl2br w:val="nil"/>
                    <w:tr2bl w:val="nil"/>
                  </w:tcBorders>
                  <w:shd w:val="clear" w:color="auto" w:fill="auto"/>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是</w:t>
                  </w:r>
                </w:p>
              </w:tc>
              <w:tc>
                <w:tcPr>
                  <w:tcW w:w="657" w:type="pct"/>
                  <w:vMerge w:val="continue"/>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6" w:type="dxa"/>
                  <w:bottom w:w="0" w:type="dxa"/>
                  <w:right w:w="6" w:type="dxa"/>
                </w:tblCellMar>
              </w:tblPrEx>
              <w:trPr>
                <w:trHeight w:val="285" w:hRule="atLeast"/>
                <w:jc w:val="center"/>
              </w:trPr>
              <w:tc>
                <w:tcPr>
                  <w:tcW w:w="629" w:type="pct"/>
                  <w:vMerge w:val="continue"/>
                  <w:tcBorders>
                    <w:tl2br w:val="nil"/>
                    <w:tr2bl w:val="nil"/>
                  </w:tcBorders>
                  <w:shd w:val="clear" w:color="auto" w:fill="auto"/>
                  <w:noWrap/>
                  <w:vAlign w:val="center"/>
                </w:tcPr>
                <w:p>
                  <w:pPr>
                    <w:autoSpaceDE w:val="0"/>
                    <w:autoSpaceDN w:val="0"/>
                    <w:jc w:val="center"/>
                    <w:rPr>
                      <w:rFonts w:hint="eastAsia"/>
                      <w:szCs w:val="21"/>
                      <w:highlight w:val="none"/>
                      <w:lang w:val="en-US" w:eastAsia="zh-CN"/>
                    </w:rPr>
                  </w:pPr>
                </w:p>
              </w:tc>
              <w:tc>
                <w:tcPr>
                  <w:tcW w:w="661" w:type="pct"/>
                  <w:tcBorders>
                    <w:tl2br w:val="nil"/>
                    <w:tr2bl w:val="nil"/>
                  </w:tcBorders>
                  <w:shd w:val="clear" w:color="auto" w:fill="auto"/>
                  <w:noWrap/>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丙烯腈</w:t>
                  </w:r>
                </w:p>
              </w:tc>
              <w:tc>
                <w:tcPr>
                  <w:tcW w:w="465" w:type="pct"/>
                  <w:tcBorders>
                    <w:tl2br w:val="nil"/>
                    <w:tr2bl w:val="nil"/>
                  </w:tcBorders>
                  <w:shd w:val="clear" w:color="auto" w:fill="auto"/>
                  <w:noWrap/>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0.045</w:t>
                  </w:r>
                </w:p>
              </w:tc>
              <w:tc>
                <w:tcPr>
                  <w:tcW w:w="226" w:type="pct"/>
                  <w:vMerge w:val="continue"/>
                  <w:tcBorders>
                    <w:tl2br w:val="nil"/>
                    <w:tr2bl w:val="nil"/>
                  </w:tcBorders>
                  <w:shd w:val="clear" w:color="auto" w:fill="auto"/>
                  <w:noWrap/>
                  <w:vAlign w:val="center"/>
                </w:tcPr>
                <w:p>
                  <w:pPr>
                    <w:autoSpaceDE w:val="0"/>
                    <w:autoSpaceDN w:val="0"/>
                    <w:jc w:val="center"/>
                    <w:rPr>
                      <w:rFonts w:hint="eastAsia"/>
                      <w:szCs w:val="21"/>
                      <w:highlight w:val="none"/>
                      <w:lang w:val="en-US" w:eastAsia="zh-CN"/>
                    </w:rPr>
                  </w:pPr>
                </w:p>
              </w:tc>
              <w:tc>
                <w:tcPr>
                  <w:tcW w:w="447" w:type="pct"/>
                  <w:vMerge w:val="continue"/>
                  <w:tcBorders>
                    <w:tl2br w:val="nil"/>
                    <w:tr2bl w:val="nil"/>
                  </w:tcBorders>
                  <w:shd w:val="clear" w:color="auto" w:fill="auto"/>
                  <w:noWrap/>
                  <w:vAlign w:val="center"/>
                </w:tcPr>
                <w:p>
                  <w:pPr>
                    <w:autoSpaceDE w:val="0"/>
                    <w:autoSpaceDN w:val="0"/>
                    <w:jc w:val="center"/>
                    <w:rPr>
                      <w:rFonts w:hint="eastAsia"/>
                      <w:szCs w:val="21"/>
                      <w:highlight w:val="none"/>
                      <w:lang w:val="en-US" w:eastAsia="zh-CN"/>
                    </w:rPr>
                  </w:pPr>
                </w:p>
              </w:tc>
              <w:tc>
                <w:tcPr>
                  <w:tcW w:w="514" w:type="pct"/>
                  <w:tcBorders>
                    <w:tl2br w:val="nil"/>
                    <w:tr2bl w:val="nil"/>
                  </w:tcBorders>
                  <w:shd w:val="clear" w:color="auto" w:fill="auto"/>
                  <w:noWrap/>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0.0405</w:t>
                  </w:r>
                </w:p>
              </w:tc>
              <w:tc>
                <w:tcPr>
                  <w:tcW w:w="432" w:type="pct"/>
                  <w:vMerge w:val="continue"/>
                  <w:tcBorders>
                    <w:tl2br w:val="nil"/>
                    <w:tr2bl w:val="nil"/>
                  </w:tcBorders>
                  <w:shd w:val="clear" w:color="auto" w:fill="auto"/>
                  <w:vAlign w:val="center"/>
                </w:tcPr>
                <w:p>
                  <w:pPr>
                    <w:autoSpaceDE w:val="0"/>
                    <w:autoSpaceDN w:val="0"/>
                    <w:jc w:val="center"/>
                    <w:rPr>
                      <w:rFonts w:hint="eastAsia"/>
                      <w:szCs w:val="21"/>
                      <w:highlight w:val="none"/>
                      <w:lang w:val="en-US" w:eastAsia="zh-CN"/>
                    </w:rPr>
                  </w:pPr>
                </w:p>
              </w:tc>
              <w:tc>
                <w:tcPr>
                  <w:tcW w:w="312" w:type="pct"/>
                  <w:vMerge w:val="continue"/>
                  <w:tcBorders>
                    <w:tl2br w:val="nil"/>
                    <w:tr2bl w:val="nil"/>
                  </w:tcBorders>
                  <w:shd w:val="clear" w:color="auto" w:fill="auto"/>
                  <w:vAlign w:val="center"/>
                </w:tcPr>
                <w:p>
                  <w:pPr>
                    <w:autoSpaceDE w:val="0"/>
                    <w:autoSpaceDN w:val="0"/>
                    <w:jc w:val="center"/>
                    <w:rPr>
                      <w:rFonts w:hint="eastAsia"/>
                      <w:szCs w:val="21"/>
                      <w:highlight w:val="none"/>
                      <w:lang w:val="en-US" w:eastAsia="zh-CN"/>
                    </w:rPr>
                  </w:pPr>
                </w:p>
              </w:tc>
              <w:tc>
                <w:tcPr>
                  <w:tcW w:w="652" w:type="pct"/>
                  <w:tcBorders>
                    <w:tl2br w:val="nil"/>
                    <w:tr2bl w:val="nil"/>
                  </w:tcBorders>
                  <w:shd w:val="clear" w:color="auto" w:fill="auto"/>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是</w:t>
                  </w:r>
                </w:p>
              </w:tc>
              <w:tc>
                <w:tcPr>
                  <w:tcW w:w="657" w:type="pct"/>
                  <w:vMerge w:val="continue"/>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6" w:type="dxa"/>
                  <w:bottom w:w="0" w:type="dxa"/>
                  <w:right w:w="6" w:type="dxa"/>
                </w:tblCellMar>
              </w:tblPrEx>
              <w:trPr>
                <w:trHeight w:val="285" w:hRule="atLeast"/>
                <w:jc w:val="center"/>
              </w:trPr>
              <w:tc>
                <w:tcPr>
                  <w:tcW w:w="629" w:type="pct"/>
                  <w:vMerge w:val="continue"/>
                  <w:tcBorders>
                    <w:tl2br w:val="nil"/>
                    <w:tr2bl w:val="nil"/>
                  </w:tcBorders>
                  <w:shd w:val="clear" w:color="auto" w:fill="auto"/>
                  <w:noWrap/>
                  <w:vAlign w:val="center"/>
                </w:tcPr>
                <w:p>
                  <w:pPr>
                    <w:autoSpaceDE w:val="0"/>
                    <w:autoSpaceDN w:val="0"/>
                    <w:jc w:val="center"/>
                    <w:rPr>
                      <w:rFonts w:hint="eastAsia"/>
                      <w:szCs w:val="21"/>
                      <w:highlight w:val="none"/>
                      <w:lang w:val="en-US" w:eastAsia="zh-CN"/>
                    </w:rPr>
                  </w:pPr>
                </w:p>
              </w:tc>
              <w:tc>
                <w:tcPr>
                  <w:tcW w:w="661" w:type="pct"/>
                  <w:tcBorders>
                    <w:tl2br w:val="nil"/>
                    <w:tr2bl w:val="nil"/>
                  </w:tcBorders>
                  <w:shd w:val="clear" w:color="auto" w:fill="auto"/>
                  <w:noWrap/>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颗粒物</w:t>
                  </w:r>
                </w:p>
              </w:tc>
              <w:tc>
                <w:tcPr>
                  <w:tcW w:w="465" w:type="pct"/>
                  <w:tcBorders>
                    <w:tl2br w:val="nil"/>
                    <w:tr2bl w:val="nil"/>
                  </w:tcBorders>
                  <w:shd w:val="clear" w:color="auto" w:fill="auto"/>
                  <w:noWrap/>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0.05</w:t>
                  </w:r>
                </w:p>
              </w:tc>
              <w:tc>
                <w:tcPr>
                  <w:tcW w:w="226" w:type="pct"/>
                  <w:vMerge w:val="continue"/>
                  <w:tcBorders>
                    <w:tl2br w:val="nil"/>
                    <w:tr2bl w:val="nil"/>
                  </w:tcBorders>
                  <w:shd w:val="clear" w:color="auto" w:fill="auto"/>
                  <w:noWrap/>
                  <w:vAlign w:val="center"/>
                </w:tcPr>
                <w:p>
                  <w:pPr>
                    <w:autoSpaceDE w:val="0"/>
                    <w:autoSpaceDN w:val="0"/>
                    <w:jc w:val="center"/>
                    <w:rPr>
                      <w:rFonts w:hint="eastAsia"/>
                      <w:szCs w:val="21"/>
                      <w:highlight w:val="none"/>
                      <w:lang w:val="en-US" w:eastAsia="zh-CN"/>
                    </w:rPr>
                  </w:pPr>
                </w:p>
              </w:tc>
              <w:tc>
                <w:tcPr>
                  <w:tcW w:w="447" w:type="pct"/>
                  <w:vMerge w:val="continue"/>
                  <w:tcBorders>
                    <w:tl2br w:val="nil"/>
                    <w:tr2bl w:val="nil"/>
                  </w:tcBorders>
                  <w:shd w:val="clear" w:color="auto" w:fill="auto"/>
                  <w:noWrap/>
                  <w:vAlign w:val="center"/>
                </w:tcPr>
                <w:p>
                  <w:pPr>
                    <w:autoSpaceDE w:val="0"/>
                    <w:autoSpaceDN w:val="0"/>
                    <w:jc w:val="center"/>
                    <w:rPr>
                      <w:rFonts w:hint="eastAsia"/>
                      <w:szCs w:val="21"/>
                      <w:highlight w:val="none"/>
                      <w:lang w:val="en-US" w:eastAsia="zh-CN"/>
                    </w:rPr>
                  </w:pPr>
                </w:p>
              </w:tc>
              <w:tc>
                <w:tcPr>
                  <w:tcW w:w="514" w:type="pct"/>
                  <w:tcBorders>
                    <w:tl2br w:val="nil"/>
                    <w:tr2bl w:val="nil"/>
                  </w:tcBorders>
                  <w:shd w:val="clear" w:color="auto" w:fill="auto"/>
                  <w:noWrap/>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0.045</w:t>
                  </w:r>
                </w:p>
              </w:tc>
              <w:tc>
                <w:tcPr>
                  <w:tcW w:w="432" w:type="pct"/>
                  <w:vMerge w:val="continue"/>
                  <w:tcBorders>
                    <w:tl2br w:val="nil"/>
                    <w:tr2bl w:val="nil"/>
                  </w:tcBorders>
                  <w:shd w:val="clear" w:color="auto" w:fill="auto"/>
                  <w:vAlign w:val="center"/>
                </w:tcPr>
                <w:p>
                  <w:pPr>
                    <w:autoSpaceDE w:val="0"/>
                    <w:autoSpaceDN w:val="0"/>
                    <w:jc w:val="center"/>
                    <w:rPr>
                      <w:rFonts w:hint="eastAsia"/>
                      <w:szCs w:val="21"/>
                      <w:highlight w:val="none"/>
                      <w:lang w:val="en-US" w:eastAsia="zh-CN"/>
                    </w:rPr>
                  </w:pPr>
                </w:p>
              </w:tc>
              <w:tc>
                <w:tcPr>
                  <w:tcW w:w="312" w:type="pct"/>
                  <w:vMerge w:val="continue"/>
                  <w:tcBorders>
                    <w:tl2br w:val="nil"/>
                    <w:tr2bl w:val="nil"/>
                  </w:tcBorders>
                  <w:shd w:val="clear" w:color="auto" w:fill="auto"/>
                  <w:vAlign w:val="center"/>
                </w:tcPr>
                <w:p>
                  <w:pPr>
                    <w:autoSpaceDE w:val="0"/>
                    <w:autoSpaceDN w:val="0"/>
                    <w:jc w:val="center"/>
                    <w:rPr>
                      <w:rFonts w:hint="eastAsia"/>
                      <w:szCs w:val="21"/>
                      <w:highlight w:val="none"/>
                      <w:lang w:val="en-US" w:eastAsia="zh-CN"/>
                    </w:rPr>
                  </w:pPr>
                </w:p>
              </w:tc>
              <w:tc>
                <w:tcPr>
                  <w:tcW w:w="652" w:type="pct"/>
                  <w:tcBorders>
                    <w:tl2br w:val="nil"/>
                    <w:tr2bl w:val="nil"/>
                  </w:tcBorders>
                  <w:shd w:val="clear" w:color="auto" w:fill="auto"/>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是</w:t>
                  </w:r>
                </w:p>
              </w:tc>
              <w:tc>
                <w:tcPr>
                  <w:tcW w:w="657" w:type="pct"/>
                  <w:vMerge w:val="continue"/>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6" w:type="dxa"/>
                  <w:bottom w:w="0" w:type="dxa"/>
                  <w:right w:w="6" w:type="dxa"/>
                </w:tblCellMar>
              </w:tblPrEx>
              <w:trPr>
                <w:trHeight w:val="285" w:hRule="atLeast"/>
                <w:jc w:val="center"/>
              </w:trPr>
              <w:tc>
                <w:tcPr>
                  <w:tcW w:w="629" w:type="pct"/>
                  <w:tcBorders>
                    <w:tl2br w:val="nil"/>
                    <w:tr2bl w:val="nil"/>
                  </w:tcBorders>
                  <w:shd w:val="clear" w:color="auto" w:fill="auto"/>
                  <w:noWrap/>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液态硅胶注塑工艺</w:t>
                  </w:r>
                </w:p>
              </w:tc>
              <w:tc>
                <w:tcPr>
                  <w:tcW w:w="661" w:type="pct"/>
                  <w:tcBorders>
                    <w:tl2br w:val="nil"/>
                    <w:tr2bl w:val="nil"/>
                  </w:tcBorders>
                  <w:shd w:val="clear" w:color="auto" w:fill="auto"/>
                  <w:noWrap/>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非甲烷总烃</w:t>
                  </w:r>
                </w:p>
              </w:tc>
              <w:tc>
                <w:tcPr>
                  <w:tcW w:w="465" w:type="pct"/>
                  <w:tcBorders>
                    <w:tl2br w:val="nil"/>
                    <w:tr2bl w:val="nil"/>
                  </w:tcBorders>
                  <w:shd w:val="clear" w:color="auto" w:fill="auto"/>
                  <w:noWrap/>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0.4905</w:t>
                  </w:r>
                </w:p>
              </w:tc>
              <w:tc>
                <w:tcPr>
                  <w:tcW w:w="226" w:type="pct"/>
                  <w:vMerge w:val="continue"/>
                  <w:tcBorders>
                    <w:tl2br w:val="nil"/>
                    <w:tr2bl w:val="nil"/>
                  </w:tcBorders>
                  <w:shd w:val="clear" w:color="auto" w:fill="auto"/>
                  <w:noWrap/>
                  <w:vAlign w:val="center"/>
                </w:tcPr>
                <w:p>
                  <w:pPr>
                    <w:autoSpaceDE w:val="0"/>
                    <w:autoSpaceDN w:val="0"/>
                    <w:jc w:val="center"/>
                    <w:rPr>
                      <w:rFonts w:hint="default"/>
                      <w:szCs w:val="21"/>
                      <w:highlight w:val="none"/>
                      <w:lang w:val="en-US" w:eastAsia="zh-CN"/>
                    </w:rPr>
                  </w:pPr>
                </w:p>
              </w:tc>
              <w:tc>
                <w:tcPr>
                  <w:tcW w:w="447" w:type="pct"/>
                  <w:vMerge w:val="continue"/>
                  <w:tcBorders>
                    <w:tl2br w:val="nil"/>
                    <w:tr2bl w:val="nil"/>
                  </w:tcBorders>
                  <w:shd w:val="clear" w:color="auto" w:fill="auto"/>
                  <w:noWrap/>
                  <w:vAlign w:val="center"/>
                </w:tcPr>
                <w:p>
                  <w:pPr>
                    <w:autoSpaceDE w:val="0"/>
                    <w:autoSpaceDN w:val="0"/>
                    <w:jc w:val="center"/>
                    <w:rPr>
                      <w:rFonts w:hint="eastAsia"/>
                      <w:szCs w:val="21"/>
                      <w:highlight w:val="none"/>
                      <w:lang w:val="en-US" w:eastAsia="zh-CN"/>
                    </w:rPr>
                  </w:pPr>
                </w:p>
              </w:tc>
              <w:tc>
                <w:tcPr>
                  <w:tcW w:w="514" w:type="pct"/>
                  <w:tcBorders>
                    <w:tl2br w:val="nil"/>
                    <w:tr2bl w:val="nil"/>
                  </w:tcBorders>
                  <w:shd w:val="clear" w:color="auto" w:fill="auto"/>
                  <w:noWrap/>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0.44145</w:t>
                  </w:r>
                </w:p>
              </w:tc>
              <w:tc>
                <w:tcPr>
                  <w:tcW w:w="432" w:type="pct"/>
                  <w:vMerge w:val="continue"/>
                  <w:tcBorders>
                    <w:tl2br w:val="nil"/>
                    <w:tr2bl w:val="nil"/>
                  </w:tcBorders>
                  <w:shd w:val="clear" w:color="auto" w:fill="auto"/>
                  <w:vAlign w:val="center"/>
                </w:tcPr>
                <w:p>
                  <w:pPr>
                    <w:autoSpaceDE w:val="0"/>
                    <w:autoSpaceDN w:val="0"/>
                    <w:jc w:val="center"/>
                    <w:rPr>
                      <w:rFonts w:hint="eastAsia"/>
                      <w:szCs w:val="21"/>
                      <w:highlight w:val="none"/>
                      <w:lang w:val="en-US" w:eastAsia="zh-CN"/>
                    </w:rPr>
                  </w:pPr>
                </w:p>
              </w:tc>
              <w:tc>
                <w:tcPr>
                  <w:tcW w:w="312" w:type="pct"/>
                  <w:vMerge w:val="continue"/>
                  <w:tcBorders>
                    <w:tl2br w:val="nil"/>
                    <w:tr2bl w:val="nil"/>
                  </w:tcBorders>
                  <w:shd w:val="clear" w:color="auto" w:fill="auto"/>
                  <w:vAlign w:val="center"/>
                </w:tcPr>
                <w:p>
                  <w:pPr>
                    <w:autoSpaceDE w:val="0"/>
                    <w:autoSpaceDN w:val="0"/>
                    <w:jc w:val="center"/>
                    <w:rPr>
                      <w:rFonts w:hint="eastAsia"/>
                      <w:szCs w:val="21"/>
                      <w:highlight w:val="none"/>
                      <w:lang w:val="en-US" w:eastAsia="zh-CN"/>
                    </w:rPr>
                  </w:pPr>
                </w:p>
              </w:tc>
              <w:tc>
                <w:tcPr>
                  <w:tcW w:w="652" w:type="pct"/>
                  <w:tcBorders>
                    <w:tl2br w:val="nil"/>
                    <w:tr2bl w:val="nil"/>
                  </w:tcBorders>
                  <w:shd w:val="clear" w:color="auto" w:fill="auto"/>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是</w:t>
                  </w:r>
                </w:p>
              </w:tc>
              <w:tc>
                <w:tcPr>
                  <w:tcW w:w="657" w:type="pct"/>
                  <w:vMerge w:val="continue"/>
                  <w:tcBorders>
                    <w:tl2br w:val="nil"/>
                    <w:tr2bl w:val="nil"/>
                  </w:tcBorders>
                  <w:shd w:val="clear" w:color="auto" w:fill="auto"/>
                  <w:noWrap/>
                  <w:vAlign w:val="center"/>
                </w:tcPr>
                <w:p>
                  <w:pPr>
                    <w:widowControl/>
                    <w:jc w:val="center"/>
                    <w:rPr>
                      <w:color w:val="000000"/>
                      <w:kern w:val="0"/>
                      <w:sz w:val="18"/>
                      <w:szCs w:val="18"/>
                    </w:rPr>
                  </w:pPr>
                </w:p>
              </w:tc>
            </w:tr>
          </w:tbl>
          <w:p>
            <w:pPr>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表4-2  本项目有组织废气产排情况一览表</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602"/>
              <w:gridCol w:w="697"/>
              <w:gridCol w:w="587"/>
              <w:gridCol w:w="750"/>
              <w:gridCol w:w="765"/>
              <w:gridCol w:w="910"/>
              <w:gridCol w:w="463"/>
              <w:gridCol w:w="570"/>
              <w:gridCol w:w="742"/>
              <w:gridCol w:w="915"/>
              <w:gridCol w:w="990"/>
              <w:gridCol w:w="85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2" w:hRule="atLeast"/>
                <w:jc w:val="center"/>
              </w:trPr>
              <w:tc>
                <w:tcPr>
                  <w:tcW w:w="340" w:type="pct"/>
                  <w:vMerge w:val="restart"/>
                  <w:vAlign w:val="center"/>
                </w:tcPr>
                <w:p>
                  <w:pPr>
                    <w:widowControl/>
                    <w:jc w:val="center"/>
                    <w:rPr>
                      <w:b/>
                      <w:bCs/>
                      <w:color w:val="000000"/>
                      <w:kern w:val="0"/>
                      <w:sz w:val="18"/>
                      <w:szCs w:val="18"/>
                    </w:rPr>
                  </w:pPr>
                  <w:r>
                    <w:rPr>
                      <w:b/>
                      <w:bCs/>
                      <w:color w:val="000000"/>
                      <w:kern w:val="0"/>
                      <w:sz w:val="18"/>
                      <w:szCs w:val="18"/>
                    </w:rPr>
                    <w:t>排放源名称</w:t>
                  </w:r>
                </w:p>
              </w:tc>
              <w:tc>
                <w:tcPr>
                  <w:tcW w:w="394" w:type="pct"/>
                  <w:vMerge w:val="restart"/>
                  <w:vAlign w:val="center"/>
                </w:tcPr>
                <w:p>
                  <w:pPr>
                    <w:widowControl/>
                    <w:jc w:val="center"/>
                    <w:rPr>
                      <w:b/>
                      <w:bCs/>
                      <w:color w:val="000000"/>
                      <w:kern w:val="0"/>
                      <w:sz w:val="18"/>
                      <w:szCs w:val="18"/>
                    </w:rPr>
                  </w:pPr>
                  <w:r>
                    <w:rPr>
                      <w:b/>
                      <w:bCs/>
                      <w:color w:val="000000"/>
                      <w:kern w:val="0"/>
                      <w:sz w:val="18"/>
                      <w:szCs w:val="18"/>
                    </w:rPr>
                    <w:t>污染物名称</w:t>
                  </w:r>
                </w:p>
              </w:tc>
              <w:tc>
                <w:tcPr>
                  <w:tcW w:w="331" w:type="pct"/>
                  <w:vMerge w:val="restart"/>
                  <w:vAlign w:val="center"/>
                </w:tcPr>
                <w:p>
                  <w:pPr>
                    <w:widowControl/>
                    <w:jc w:val="center"/>
                    <w:rPr>
                      <w:b/>
                      <w:bCs/>
                      <w:color w:val="000000"/>
                      <w:kern w:val="0"/>
                      <w:sz w:val="18"/>
                      <w:szCs w:val="18"/>
                    </w:rPr>
                  </w:pPr>
                  <w:r>
                    <w:rPr>
                      <w:b/>
                      <w:bCs/>
                      <w:color w:val="000000"/>
                      <w:kern w:val="0"/>
                      <w:sz w:val="18"/>
                      <w:szCs w:val="18"/>
                    </w:rPr>
                    <w:t>风量</w:t>
                  </w:r>
                  <w:bookmarkStart w:id="10" w:name="OLE_LINK84"/>
                  <w:r>
                    <w:rPr>
                      <w:b/>
                      <w:bCs/>
                      <w:color w:val="000000"/>
                      <w:kern w:val="0"/>
                      <w:sz w:val="18"/>
                      <w:szCs w:val="18"/>
                    </w:rPr>
                    <w:t>m3/h</w:t>
                  </w:r>
                  <w:bookmarkEnd w:id="10"/>
                </w:p>
              </w:tc>
              <w:tc>
                <w:tcPr>
                  <w:tcW w:w="1370" w:type="pct"/>
                  <w:gridSpan w:val="3"/>
                  <w:vAlign w:val="center"/>
                </w:tcPr>
                <w:p>
                  <w:pPr>
                    <w:widowControl/>
                    <w:jc w:val="center"/>
                    <w:rPr>
                      <w:b/>
                      <w:bCs/>
                      <w:color w:val="000000"/>
                      <w:kern w:val="0"/>
                      <w:sz w:val="18"/>
                      <w:szCs w:val="18"/>
                    </w:rPr>
                  </w:pPr>
                  <w:r>
                    <w:rPr>
                      <w:b/>
                      <w:bCs/>
                      <w:color w:val="000000"/>
                      <w:kern w:val="0"/>
                      <w:sz w:val="18"/>
                      <w:szCs w:val="18"/>
                    </w:rPr>
                    <w:t>产生情况</w:t>
                  </w:r>
                </w:p>
              </w:tc>
              <w:tc>
                <w:tcPr>
                  <w:tcW w:w="261" w:type="pct"/>
                  <w:vMerge w:val="restart"/>
                  <w:vAlign w:val="center"/>
                </w:tcPr>
                <w:p>
                  <w:pPr>
                    <w:widowControl/>
                    <w:jc w:val="center"/>
                    <w:rPr>
                      <w:b/>
                      <w:bCs/>
                      <w:color w:val="000000"/>
                      <w:kern w:val="0"/>
                      <w:sz w:val="18"/>
                      <w:szCs w:val="18"/>
                    </w:rPr>
                  </w:pPr>
                  <w:r>
                    <w:rPr>
                      <w:b/>
                      <w:bCs/>
                      <w:color w:val="000000"/>
                      <w:kern w:val="0"/>
                      <w:sz w:val="18"/>
                      <w:szCs w:val="18"/>
                    </w:rPr>
                    <w:t>污染防治设施工艺</w:t>
                  </w:r>
                </w:p>
              </w:tc>
              <w:tc>
                <w:tcPr>
                  <w:tcW w:w="322" w:type="pct"/>
                  <w:vMerge w:val="restart"/>
                  <w:vAlign w:val="center"/>
                </w:tcPr>
                <w:p>
                  <w:pPr>
                    <w:widowControl/>
                    <w:jc w:val="center"/>
                    <w:rPr>
                      <w:b/>
                      <w:bCs/>
                      <w:color w:val="000000"/>
                      <w:kern w:val="0"/>
                      <w:sz w:val="18"/>
                      <w:szCs w:val="18"/>
                    </w:rPr>
                  </w:pPr>
                  <w:r>
                    <w:rPr>
                      <w:b/>
                      <w:bCs/>
                      <w:color w:val="000000"/>
                      <w:kern w:val="0"/>
                      <w:sz w:val="18"/>
                      <w:szCs w:val="18"/>
                    </w:rPr>
                    <w:t>去除</w:t>
                  </w:r>
                </w:p>
                <w:p>
                  <w:pPr>
                    <w:widowControl/>
                    <w:jc w:val="center"/>
                    <w:rPr>
                      <w:b/>
                      <w:bCs/>
                      <w:color w:val="000000"/>
                      <w:kern w:val="0"/>
                      <w:sz w:val="18"/>
                      <w:szCs w:val="18"/>
                    </w:rPr>
                  </w:pPr>
                  <w:r>
                    <w:rPr>
                      <w:b/>
                      <w:bCs/>
                      <w:color w:val="000000"/>
                      <w:kern w:val="0"/>
                      <w:sz w:val="18"/>
                      <w:szCs w:val="18"/>
                    </w:rPr>
                    <w:t>率%</w:t>
                  </w:r>
                </w:p>
              </w:tc>
              <w:tc>
                <w:tcPr>
                  <w:tcW w:w="1496" w:type="pct"/>
                  <w:gridSpan w:val="3"/>
                  <w:vAlign w:val="center"/>
                </w:tcPr>
                <w:p>
                  <w:pPr>
                    <w:widowControl/>
                    <w:jc w:val="center"/>
                    <w:rPr>
                      <w:b/>
                      <w:bCs/>
                      <w:color w:val="000000"/>
                      <w:kern w:val="0"/>
                      <w:sz w:val="18"/>
                      <w:szCs w:val="18"/>
                    </w:rPr>
                  </w:pPr>
                  <w:r>
                    <w:rPr>
                      <w:b/>
                      <w:bCs/>
                      <w:color w:val="000000"/>
                      <w:kern w:val="0"/>
                      <w:sz w:val="18"/>
                      <w:szCs w:val="18"/>
                    </w:rPr>
                    <w:t>排放情况</w:t>
                  </w:r>
                </w:p>
              </w:tc>
              <w:tc>
                <w:tcPr>
                  <w:tcW w:w="482" w:type="pct"/>
                  <w:vAlign w:val="center"/>
                </w:tcPr>
                <w:p>
                  <w:pPr>
                    <w:widowControl/>
                    <w:jc w:val="center"/>
                    <w:rPr>
                      <w:b/>
                      <w:bCs/>
                      <w:color w:val="000000"/>
                      <w:kern w:val="0"/>
                      <w:sz w:val="18"/>
                      <w:szCs w:val="18"/>
                    </w:rPr>
                  </w:pPr>
                  <w:r>
                    <w:rPr>
                      <w:b/>
                      <w:bCs/>
                      <w:color w:val="000000"/>
                      <w:kern w:val="0"/>
                      <w:sz w:val="18"/>
                      <w:szCs w:val="18"/>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340" w:type="pct"/>
                  <w:vMerge w:val="continue"/>
                  <w:vAlign w:val="center"/>
                </w:tcPr>
                <w:p>
                  <w:pPr>
                    <w:widowControl/>
                    <w:jc w:val="center"/>
                    <w:rPr>
                      <w:b/>
                      <w:bCs/>
                      <w:color w:val="000000"/>
                      <w:kern w:val="0"/>
                      <w:sz w:val="18"/>
                      <w:szCs w:val="18"/>
                    </w:rPr>
                  </w:pPr>
                </w:p>
              </w:tc>
              <w:tc>
                <w:tcPr>
                  <w:tcW w:w="394" w:type="pct"/>
                  <w:vMerge w:val="continue"/>
                  <w:vAlign w:val="center"/>
                </w:tcPr>
                <w:p>
                  <w:pPr>
                    <w:widowControl/>
                    <w:jc w:val="center"/>
                    <w:rPr>
                      <w:b/>
                      <w:bCs/>
                      <w:color w:val="000000"/>
                      <w:kern w:val="0"/>
                      <w:sz w:val="18"/>
                      <w:szCs w:val="18"/>
                    </w:rPr>
                  </w:pPr>
                </w:p>
              </w:tc>
              <w:tc>
                <w:tcPr>
                  <w:tcW w:w="331" w:type="pct"/>
                  <w:vMerge w:val="continue"/>
                  <w:vAlign w:val="center"/>
                </w:tcPr>
                <w:p>
                  <w:pPr>
                    <w:widowControl/>
                    <w:jc w:val="center"/>
                    <w:rPr>
                      <w:b/>
                      <w:bCs/>
                      <w:color w:val="000000"/>
                      <w:kern w:val="0"/>
                      <w:sz w:val="18"/>
                      <w:szCs w:val="18"/>
                    </w:rPr>
                  </w:pPr>
                </w:p>
              </w:tc>
              <w:tc>
                <w:tcPr>
                  <w:tcW w:w="424" w:type="pct"/>
                  <w:vAlign w:val="center"/>
                </w:tcPr>
                <w:p>
                  <w:pPr>
                    <w:widowControl/>
                    <w:jc w:val="center"/>
                    <w:rPr>
                      <w:b/>
                      <w:bCs/>
                      <w:color w:val="000000"/>
                      <w:kern w:val="0"/>
                      <w:sz w:val="18"/>
                      <w:szCs w:val="18"/>
                    </w:rPr>
                  </w:pPr>
                  <w:r>
                    <w:rPr>
                      <w:b/>
                      <w:bCs/>
                      <w:color w:val="000000"/>
                      <w:kern w:val="0"/>
                      <w:sz w:val="18"/>
                      <w:szCs w:val="18"/>
                    </w:rPr>
                    <w:t>浓度mg/m3</w:t>
                  </w:r>
                </w:p>
              </w:tc>
              <w:tc>
                <w:tcPr>
                  <w:tcW w:w="432" w:type="pct"/>
                  <w:vAlign w:val="center"/>
                </w:tcPr>
                <w:p>
                  <w:pPr>
                    <w:widowControl/>
                    <w:jc w:val="center"/>
                    <w:rPr>
                      <w:b/>
                      <w:bCs/>
                      <w:color w:val="000000"/>
                      <w:kern w:val="0"/>
                      <w:sz w:val="18"/>
                      <w:szCs w:val="18"/>
                    </w:rPr>
                  </w:pPr>
                  <w:r>
                    <w:rPr>
                      <w:b/>
                      <w:bCs/>
                      <w:color w:val="000000"/>
                      <w:kern w:val="0"/>
                      <w:sz w:val="18"/>
                      <w:szCs w:val="18"/>
                    </w:rPr>
                    <w:t>速率kg/h</w:t>
                  </w:r>
                </w:p>
              </w:tc>
              <w:tc>
                <w:tcPr>
                  <w:tcW w:w="514" w:type="pct"/>
                  <w:vAlign w:val="center"/>
                </w:tcPr>
                <w:p>
                  <w:pPr>
                    <w:widowControl/>
                    <w:jc w:val="center"/>
                    <w:rPr>
                      <w:b/>
                      <w:bCs/>
                      <w:color w:val="000000"/>
                      <w:kern w:val="0"/>
                      <w:sz w:val="18"/>
                      <w:szCs w:val="18"/>
                    </w:rPr>
                  </w:pPr>
                  <w:r>
                    <w:rPr>
                      <w:b/>
                      <w:bCs/>
                      <w:color w:val="000000"/>
                      <w:kern w:val="0"/>
                      <w:sz w:val="18"/>
                      <w:szCs w:val="18"/>
                    </w:rPr>
                    <w:t>产生量t/a</w:t>
                  </w:r>
                </w:p>
              </w:tc>
              <w:tc>
                <w:tcPr>
                  <w:tcW w:w="261" w:type="pct"/>
                  <w:vMerge w:val="continue"/>
                  <w:vAlign w:val="center"/>
                </w:tcPr>
                <w:p>
                  <w:pPr>
                    <w:widowControl/>
                    <w:jc w:val="center"/>
                    <w:rPr>
                      <w:b/>
                      <w:bCs/>
                      <w:color w:val="000000"/>
                      <w:kern w:val="0"/>
                      <w:sz w:val="18"/>
                      <w:szCs w:val="18"/>
                    </w:rPr>
                  </w:pPr>
                </w:p>
              </w:tc>
              <w:tc>
                <w:tcPr>
                  <w:tcW w:w="322" w:type="pct"/>
                  <w:vMerge w:val="continue"/>
                  <w:vAlign w:val="center"/>
                </w:tcPr>
                <w:p>
                  <w:pPr>
                    <w:widowControl/>
                    <w:jc w:val="center"/>
                    <w:rPr>
                      <w:b/>
                      <w:bCs/>
                      <w:color w:val="000000"/>
                      <w:kern w:val="0"/>
                      <w:sz w:val="18"/>
                      <w:szCs w:val="18"/>
                    </w:rPr>
                  </w:pPr>
                </w:p>
              </w:tc>
              <w:tc>
                <w:tcPr>
                  <w:tcW w:w="419" w:type="pct"/>
                  <w:vAlign w:val="center"/>
                </w:tcPr>
                <w:p>
                  <w:pPr>
                    <w:widowControl/>
                    <w:jc w:val="center"/>
                    <w:rPr>
                      <w:b/>
                      <w:bCs/>
                      <w:color w:val="000000"/>
                      <w:kern w:val="0"/>
                      <w:sz w:val="18"/>
                      <w:szCs w:val="18"/>
                    </w:rPr>
                  </w:pPr>
                  <w:r>
                    <w:rPr>
                      <w:b/>
                      <w:bCs/>
                      <w:color w:val="000000"/>
                      <w:kern w:val="0"/>
                      <w:sz w:val="18"/>
                      <w:szCs w:val="18"/>
                    </w:rPr>
                    <w:t>浓度mg/m3</w:t>
                  </w:r>
                </w:p>
              </w:tc>
              <w:tc>
                <w:tcPr>
                  <w:tcW w:w="517" w:type="pct"/>
                  <w:vAlign w:val="center"/>
                </w:tcPr>
                <w:p>
                  <w:pPr>
                    <w:widowControl/>
                    <w:jc w:val="center"/>
                    <w:rPr>
                      <w:b/>
                      <w:bCs/>
                      <w:color w:val="000000"/>
                      <w:kern w:val="0"/>
                      <w:sz w:val="18"/>
                      <w:szCs w:val="18"/>
                    </w:rPr>
                  </w:pPr>
                  <w:r>
                    <w:rPr>
                      <w:b/>
                      <w:bCs/>
                      <w:color w:val="000000"/>
                      <w:kern w:val="0"/>
                      <w:sz w:val="18"/>
                      <w:szCs w:val="18"/>
                    </w:rPr>
                    <w:t>速率kg/h</w:t>
                  </w:r>
                </w:p>
              </w:tc>
              <w:tc>
                <w:tcPr>
                  <w:tcW w:w="559" w:type="pct"/>
                  <w:vAlign w:val="center"/>
                </w:tcPr>
                <w:p>
                  <w:pPr>
                    <w:widowControl/>
                    <w:jc w:val="center"/>
                    <w:rPr>
                      <w:b/>
                      <w:bCs/>
                      <w:color w:val="000000"/>
                      <w:kern w:val="0"/>
                      <w:sz w:val="18"/>
                      <w:szCs w:val="18"/>
                    </w:rPr>
                  </w:pPr>
                  <w:r>
                    <w:rPr>
                      <w:b/>
                      <w:bCs/>
                      <w:color w:val="000000"/>
                      <w:kern w:val="0"/>
                      <w:sz w:val="18"/>
                      <w:szCs w:val="18"/>
                    </w:rPr>
                    <w:t>排放量t/a</w:t>
                  </w:r>
                </w:p>
              </w:tc>
              <w:tc>
                <w:tcPr>
                  <w:tcW w:w="482" w:type="pct"/>
                  <w:vAlign w:val="center"/>
                </w:tcPr>
                <w:p>
                  <w:pPr>
                    <w:widowControl/>
                    <w:jc w:val="center"/>
                    <w:rPr>
                      <w:b/>
                      <w:bCs/>
                      <w:color w:val="000000"/>
                      <w:kern w:val="0"/>
                      <w:sz w:val="18"/>
                      <w:szCs w:val="18"/>
                    </w:rPr>
                  </w:pPr>
                  <w:r>
                    <w:rPr>
                      <w:b/>
                      <w:bCs/>
                      <w:color w:val="000000"/>
                      <w:kern w:val="0"/>
                      <w:sz w:val="18"/>
                      <w:szCs w:val="18"/>
                    </w:rPr>
                    <w:t>排放浓度mg/m3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340" w:type="pct"/>
                  <w:vMerge w:val="restart"/>
                  <w:vAlign w:val="center"/>
                </w:tcPr>
                <w:p>
                  <w:pPr>
                    <w:autoSpaceDE w:val="0"/>
                    <w:autoSpaceDN w:val="0"/>
                    <w:jc w:val="center"/>
                    <w:rPr>
                      <w:rFonts w:hint="eastAsia"/>
                      <w:szCs w:val="21"/>
                      <w:highlight w:val="none"/>
                      <w:lang w:val="en-US" w:eastAsia="zh-CN"/>
                    </w:rPr>
                  </w:pPr>
                  <w:bookmarkStart w:id="11" w:name="OLE_LINK132" w:colFirst="12" w:colLast="13"/>
                  <w:bookmarkStart w:id="12" w:name="OLE_LINK131" w:colFirst="12" w:colLast="13"/>
                  <w:bookmarkStart w:id="13" w:name="_Hlk494187622"/>
                  <w:r>
                    <w:rPr>
                      <w:rFonts w:hint="eastAsia"/>
                      <w:szCs w:val="21"/>
                      <w:highlight w:val="none"/>
                      <w:lang w:val="en-US" w:eastAsia="zh-CN"/>
                    </w:rPr>
                    <w:t>1#排气筒</w:t>
                  </w:r>
                </w:p>
              </w:tc>
              <w:tc>
                <w:tcPr>
                  <w:tcW w:w="394" w:type="pct"/>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颗粒物</w:t>
                  </w:r>
                </w:p>
              </w:tc>
              <w:tc>
                <w:tcPr>
                  <w:tcW w:w="331" w:type="pct"/>
                  <w:vMerge w:val="restart"/>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20000</w:t>
                  </w:r>
                </w:p>
              </w:tc>
              <w:tc>
                <w:tcPr>
                  <w:tcW w:w="424" w:type="pct"/>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0.385</w:t>
                  </w:r>
                </w:p>
              </w:tc>
              <w:tc>
                <w:tcPr>
                  <w:tcW w:w="432" w:type="pct"/>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0.00766</w:t>
                  </w:r>
                </w:p>
              </w:tc>
              <w:tc>
                <w:tcPr>
                  <w:tcW w:w="514" w:type="pct"/>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0.055475</w:t>
                  </w:r>
                </w:p>
              </w:tc>
              <w:tc>
                <w:tcPr>
                  <w:tcW w:w="261" w:type="pct"/>
                  <w:vMerge w:val="restart"/>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二级活性炭吸附</w:t>
                  </w:r>
                </w:p>
              </w:tc>
              <w:tc>
                <w:tcPr>
                  <w:tcW w:w="322" w:type="pct"/>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90</w:t>
                  </w:r>
                </w:p>
              </w:tc>
              <w:tc>
                <w:tcPr>
                  <w:tcW w:w="419" w:type="pct"/>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0.0385</w:t>
                  </w:r>
                </w:p>
              </w:tc>
              <w:tc>
                <w:tcPr>
                  <w:tcW w:w="517" w:type="pct"/>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0.000766</w:t>
                  </w:r>
                </w:p>
              </w:tc>
              <w:tc>
                <w:tcPr>
                  <w:tcW w:w="559" w:type="pct"/>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0.005548</w:t>
                  </w:r>
                </w:p>
              </w:tc>
              <w:tc>
                <w:tcPr>
                  <w:tcW w:w="482" w:type="pct"/>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340" w:type="pct"/>
                  <w:vMerge w:val="continue"/>
                  <w:vAlign w:val="center"/>
                </w:tcPr>
                <w:p>
                  <w:pPr>
                    <w:autoSpaceDE w:val="0"/>
                    <w:autoSpaceDN w:val="0"/>
                    <w:jc w:val="center"/>
                    <w:rPr>
                      <w:rFonts w:hint="eastAsia"/>
                      <w:szCs w:val="21"/>
                      <w:highlight w:val="none"/>
                      <w:lang w:val="en-US" w:eastAsia="zh-CN"/>
                    </w:rPr>
                  </w:pPr>
                </w:p>
              </w:tc>
              <w:tc>
                <w:tcPr>
                  <w:tcW w:w="394" w:type="pct"/>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非甲烷总烃</w:t>
                  </w:r>
                </w:p>
              </w:tc>
              <w:tc>
                <w:tcPr>
                  <w:tcW w:w="331" w:type="pct"/>
                  <w:vMerge w:val="continue"/>
                  <w:vAlign w:val="center"/>
                </w:tcPr>
                <w:p>
                  <w:pPr>
                    <w:autoSpaceDE w:val="0"/>
                    <w:autoSpaceDN w:val="0"/>
                    <w:jc w:val="center"/>
                    <w:rPr>
                      <w:rFonts w:hint="eastAsia"/>
                      <w:szCs w:val="21"/>
                      <w:highlight w:val="none"/>
                      <w:lang w:val="en-US" w:eastAsia="zh-CN"/>
                    </w:rPr>
                  </w:pPr>
                </w:p>
              </w:tc>
              <w:tc>
                <w:tcPr>
                  <w:tcW w:w="424" w:type="pct"/>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14.7543</w:t>
                  </w:r>
                </w:p>
              </w:tc>
              <w:tc>
                <w:tcPr>
                  <w:tcW w:w="432" w:type="pct"/>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0.2951</w:t>
                  </w:r>
                </w:p>
              </w:tc>
              <w:tc>
                <w:tcPr>
                  <w:tcW w:w="514" w:type="pct"/>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2.1247</w:t>
                  </w:r>
                </w:p>
              </w:tc>
              <w:tc>
                <w:tcPr>
                  <w:tcW w:w="261" w:type="pct"/>
                  <w:vMerge w:val="continue"/>
                  <w:vAlign w:val="center"/>
                </w:tcPr>
                <w:p>
                  <w:pPr>
                    <w:autoSpaceDE w:val="0"/>
                    <w:autoSpaceDN w:val="0"/>
                    <w:jc w:val="center"/>
                    <w:rPr>
                      <w:rFonts w:hint="eastAsia"/>
                      <w:szCs w:val="21"/>
                      <w:highlight w:val="none"/>
                      <w:lang w:val="en-US" w:eastAsia="zh-CN"/>
                    </w:rPr>
                  </w:pPr>
                </w:p>
              </w:tc>
              <w:tc>
                <w:tcPr>
                  <w:tcW w:w="322" w:type="pct"/>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90</w:t>
                  </w:r>
                </w:p>
              </w:tc>
              <w:tc>
                <w:tcPr>
                  <w:tcW w:w="419" w:type="pct"/>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1.4754</w:t>
                  </w:r>
                </w:p>
              </w:tc>
              <w:tc>
                <w:tcPr>
                  <w:tcW w:w="517" w:type="pct"/>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0.0262</w:t>
                  </w:r>
                </w:p>
              </w:tc>
              <w:tc>
                <w:tcPr>
                  <w:tcW w:w="559" w:type="pct"/>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0.21247</w:t>
                  </w:r>
                </w:p>
              </w:tc>
              <w:tc>
                <w:tcPr>
                  <w:tcW w:w="482" w:type="pct"/>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44" w:hRule="atLeast"/>
                <w:jc w:val="center"/>
              </w:trPr>
              <w:tc>
                <w:tcPr>
                  <w:tcW w:w="340" w:type="pct"/>
                  <w:vMerge w:val="continue"/>
                  <w:vAlign w:val="center"/>
                </w:tcPr>
                <w:p>
                  <w:pPr>
                    <w:autoSpaceDE w:val="0"/>
                    <w:autoSpaceDN w:val="0"/>
                    <w:jc w:val="center"/>
                    <w:rPr>
                      <w:rFonts w:hint="eastAsia"/>
                      <w:szCs w:val="21"/>
                      <w:highlight w:val="none"/>
                      <w:lang w:val="en-US" w:eastAsia="zh-CN"/>
                    </w:rPr>
                  </w:pPr>
                </w:p>
              </w:tc>
              <w:tc>
                <w:tcPr>
                  <w:tcW w:w="394" w:type="pct"/>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苯乙烯</w:t>
                  </w:r>
                </w:p>
              </w:tc>
              <w:tc>
                <w:tcPr>
                  <w:tcW w:w="331" w:type="pct"/>
                  <w:vMerge w:val="continue"/>
                  <w:vAlign w:val="center"/>
                </w:tcPr>
                <w:p>
                  <w:pPr>
                    <w:autoSpaceDE w:val="0"/>
                    <w:autoSpaceDN w:val="0"/>
                    <w:jc w:val="center"/>
                    <w:rPr>
                      <w:rFonts w:hint="eastAsia"/>
                      <w:szCs w:val="21"/>
                      <w:highlight w:val="none"/>
                      <w:lang w:val="en-US" w:eastAsia="zh-CN"/>
                    </w:rPr>
                  </w:pPr>
                </w:p>
              </w:tc>
              <w:tc>
                <w:tcPr>
                  <w:tcW w:w="424" w:type="pct"/>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0.5208</w:t>
                  </w:r>
                </w:p>
              </w:tc>
              <w:tc>
                <w:tcPr>
                  <w:tcW w:w="432" w:type="pct"/>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0.01042</w:t>
                  </w:r>
                </w:p>
              </w:tc>
              <w:tc>
                <w:tcPr>
                  <w:tcW w:w="514" w:type="pct"/>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0.075</w:t>
                  </w:r>
                </w:p>
              </w:tc>
              <w:tc>
                <w:tcPr>
                  <w:tcW w:w="261" w:type="pct"/>
                  <w:vMerge w:val="continue"/>
                  <w:vAlign w:val="center"/>
                </w:tcPr>
                <w:p>
                  <w:pPr>
                    <w:autoSpaceDE w:val="0"/>
                    <w:autoSpaceDN w:val="0"/>
                    <w:jc w:val="center"/>
                    <w:rPr>
                      <w:rFonts w:hint="eastAsia"/>
                      <w:szCs w:val="21"/>
                      <w:highlight w:val="none"/>
                      <w:lang w:val="en-US" w:eastAsia="zh-CN"/>
                    </w:rPr>
                  </w:pPr>
                </w:p>
              </w:tc>
              <w:tc>
                <w:tcPr>
                  <w:tcW w:w="322" w:type="pct"/>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90</w:t>
                  </w:r>
                </w:p>
              </w:tc>
              <w:tc>
                <w:tcPr>
                  <w:tcW w:w="419" w:type="pct"/>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0.05208</w:t>
                  </w:r>
                </w:p>
              </w:tc>
              <w:tc>
                <w:tcPr>
                  <w:tcW w:w="517" w:type="pct"/>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0.001042</w:t>
                  </w:r>
                </w:p>
              </w:tc>
              <w:tc>
                <w:tcPr>
                  <w:tcW w:w="559" w:type="pct"/>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0.0075</w:t>
                  </w:r>
                </w:p>
              </w:tc>
              <w:tc>
                <w:tcPr>
                  <w:tcW w:w="482" w:type="pct"/>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340" w:type="pct"/>
                  <w:vMerge w:val="continue"/>
                  <w:vAlign w:val="center"/>
                </w:tcPr>
                <w:p>
                  <w:pPr>
                    <w:autoSpaceDE w:val="0"/>
                    <w:autoSpaceDN w:val="0"/>
                    <w:jc w:val="center"/>
                    <w:rPr>
                      <w:rFonts w:hint="eastAsia"/>
                      <w:szCs w:val="21"/>
                      <w:highlight w:val="none"/>
                      <w:lang w:val="en-US" w:eastAsia="zh-CN"/>
                    </w:rPr>
                  </w:pPr>
                </w:p>
              </w:tc>
              <w:tc>
                <w:tcPr>
                  <w:tcW w:w="394" w:type="pct"/>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丙烯腈</w:t>
                  </w:r>
                </w:p>
              </w:tc>
              <w:tc>
                <w:tcPr>
                  <w:tcW w:w="331" w:type="pct"/>
                  <w:vMerge w:val="continue"/>
                  <w:vAlign w:val="center"/>
                </w:tcPr>
                <w:p>
                  <w:pPr>
                    <w:autoSpaceDE w:val="0"/>
                    <w:autoSpaceDN w:val="0"/>
                    <w:jc w:val="center"/>
                    <w:rPr>
                      <w:rFonts w:hint="eastAsia"/>
                      <w:szCs w:val="21"/>
                      <w:highlight w:val="none"/>
                      <w:lang w:val="en-US" w:eastAsia="zh-CN"/>
                    </w:rPr>
                  </w:pPr>
                </w:p>
              </w:tc>
              <w:tc>
                <w:tcPr>
                  <w:tcW w:w="424" w:type="pct"/>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0.3125</w:t>
                  </w:r>
                </w:p>
              </w:tc>
              <w:tc>
                <w:tcPr>
                  <w:tcW w:w="432" w:type="pct"/>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0.00625</w:t>
                  </w:r>
                </w:p>
              </w:tc>
              <w:tc>
                <w:tcPr>
                  <w:tcW w:w="514" w:type="pct"/>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0.045</w:t>
                  </w:r>
                </w:p>
              </w:tc>
              <w:tc>
                <w:tcPr>
                  <w:tcW w:w="261" w:type="pct"/>
                  <w:vMerge w:val="continue"/>
                  <w:vAlign w:val="center"/>
                </w:tcPr>
                <w:p>
                  <w:pPr>
                    <w:autoSpaceDE w:val="0"/>
                    <w:autoSpaceDN w:val="0"/>
                    <w:jc w:val="center"/>
                    <w:rPr>
                      <w:rFonts w:hint="eastAsia"/>
                      <w:szCs w:val="21"/>
                      <w:highlight w:val="none"/>
                      <w:lang w:val="en-US" w:eastAsia="zh-CN"/>
                    </w:rPr>
                  </w:pPr>
                </w:p>
              </w:tc>
              <w:tc>
                <w:tcPr>
                  <w:tcW w:w="322" w:type="pct"/>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90</w:t>
                  </w:r>
                </w:p>
              </w:tc>
              <w:tc>
                <w:tcPr>
                  <w:tcW w:w="419" w:type="pct"/>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0.03125</w:t>
                  </w:r>
                </w:p>
              </w:tc>
              <w:tc>
                <w:tcPr>
                  <w:tcW w:w="517" w:type="pct"/>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0.000625</w:t>
                  </w:r>
                </w:p>
              </w:tc>
              <w:tc>
                <w:tcPr>
                  <w:tcW w:w="559" w:type="pct"/>
                  <w:vAlign w:val="center"/>
                </w:tcPr>
                <w:p>
                  <w:pPr>
                    <w:autoSpaceDE w:val="0"/>
                    <w:autoSpaceDN w:val="0"/>
                    <w:jc w:val="center"/>
                    <w:rPr>
                      <w:rFonts w:hint="default"/>
                      <w:szCs w:val="21"/>
                      <w:highlight w:val="none"/>
                      <w:lang w:val="en-US" w:eastAsia="zh-CN"/>
                    </w:rPr>
                  </w:pPr>
                  <w:r>
                    <w:rPr>
                      <w:rFonts w:hint="eastAsia"/>
                      <w:szCs w:val="21"/>
                      <w:highlight w:val="none"/>
                      <w:lang w:val="en-US" w:eastAsia="zh-CN"/>
                    </w:rPr>
                    <w:t>0.0045</w:t>
                  </w:r>
                </w:p>
              </w:tc>
              <w:tc>
                <w:tcPr>
                  <w:tcW w:w="482" w:type="pct"/>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60</w:t>
                  </w:r>
                </w:p>
              </w:tc>
            </w:tr>
            <w:bookmarkEnd w:id="11"/>
            <w:bookmarkEnd w:id="12"/>
            <w:bookmarkEnd w:id="13"/>
          </w:tbl>
          <w:p>
            <w:pPr>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表4-</w:t>
            </w:r>
            <w:r>
              <w:rPr>
                <w:rFonts w:hint="eastAsia" w:cs="Times New Roman"/>
                <w:b/>
                <w:sz w:val="24"/>
                <w:szCs w:val="24"/>
                <w:lang w:val="en-US" w:eastAsia="zh-CN"/>
              </w:rPr>
              <w:t>3</w:t>
            </w:r>
            <w:r>
              <w:rPr>
                <w:rFonts w:hint="default" w:ascii="Times New Roman" w:hAnsi="Times New Roman" w:cs="Times New Roman"/>
                <w:b/>
                <w:sz w:val="24"/>
                <w:szCs w:val="24"/>
              </w:rPr>
              <w:t xml:space="preserve">  全厂废气自行监测计划表</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3" w:type="dxa"/>
                <w:bottom w:w="0" w:type="dxa"/>
                <w:right w:w="23" w:type="dxa"/>
              </w:tblCellMar>
            </w:tblPr>
            <w:tblGrid>
              <w:gridCol w:w="965"/>
              <w:gridCol w:w="2595"/>
              <w:gridCol w:w="2018"/>
              <w:gridCol w:w="326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90" w:hRule="atLeast"/>
                <w:jc w:val="center"/>
              </w:trPr>
              <w:tc>
                <w:tcPr>
                  <w:tcW w:w="5000" w:type="pct"/>
                  <w:gridSpan w:val="4"/>
                  <w:tcBorders>
                    <w:tl2br w:val="nil"/>
                    <w:tr2bl w:val="nil"/>
                  </w:tcBorders>
                  <w:vAlign w:val="center"/>
                </w:tcPr>
                <w:p>
                  <w:pPr>
                    <w:autoSpaceDE w:val="0"/>
                    <w:autoSpaceDN w:val="0"/>
                    <w:jc w:val="center"/>
                    <w:rPr>
                      <w:rFonts w:hint="eastAsia"/>
                      <w:b/>
                      <w:bCs/>
                      <w:szCs w:val="21"/>
                      <w:highlight w:val="none"/>
                      <w:lang w:val="en-US" w:eastAsia="zh-CN"/>
                    </w:rPr>
                  </w:pPr>
                  <w:r>
                    <w:rPr>
                      <w:rFonts w:hint="eastAsia"/>
                      <w:b/>
                      <w:bCs/>
                      <w:szCs w:val="21"/>
                      <w:highlight w:val="none"/>
                      <w:lang w:val="en-US" w:eastAsia="zh-CN"/>
                    </w:rPr>
                    <w:t>有组织排放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20" w:hRule="atLeast"/>
                <w:jc w:val="center"/>
              </w:trPr>
              <w:tc>
                <w:tcPr>
                  <w:tcW w:w="545" w:type="pct"/>
                  <w:tcBorders>
                    <w:tl2br w:val="nil"/>
                    <w:tr2bl w:val="nil"/>
                  </w:tcBorders>
                  <w:vAlign w:val="center"/>
                </w:tcPr>
                <w:p>
                  <w:pPr>
                    <w:autoSpaceDE w:val="0"/>
                    <w:autoSpaceDN w:val="0"/>
                    <w:jc w:val="center"/>
                    <w:rPr>
                      <w:rFonts w:hint="eastAsia"/>
                      <w:b/>
                      <w:bCs/>
                      <w:szCs w:val="21"/>
                      <w:highlight w:val="none"/>
                      <w:lang w:val="en-US" w:eastAsia="zh-CN"/>
                    </w:rPr>
                  </w:pPr>
                  <w:r>
                    <w:rPr>
                      <w:rFonts w:hint="eastAsia"/>
                      <w:b/>
                      <w:bCs/>
                      <w:szCs w:val="21"/>
                      <w:highlight w:val="none"/>
                      <w:lang w:val="en-US" w:eastAsia="zh-CN"/>
                    </w:rPr>
                    <w:t>监测点位</w:t>
                  </w:r>
                </w:p>
              </w:tc>
              <w:tc>
                <w:tcPr>
                  <w:tcW w:w="1467" w:type="pct"/>
                  <w:tcBorders>
                    <w:tl2br w:val="nil"/>
                    <w:tr2bl w:val="nil"/>
                  </w:tcBorders>
                  <w:vAlign w:val="center"/>
                </w:tcPr>
                <w:p>
                  <w:pPr>
                    <w:autoSpaceDE w:val="0"/>
                    <w:autoSpaceDN w:val="0"/>
                    <w:jc w:val="center"/>
                    <w:rPr>
                      <w:rFonts w:hint="eastAsia"/>
                      <w:b/>
                      <w:bCs/>
                      <w:szCs w:val="21"/>
                      <w:highlight w:val="none"/>
                      <w:lang w:val="en-US" w:eastAsia="zh-CN"/>
                    </w:rPr>
                  </w:pPr>
                  <w:r>
                    <w:rPr>
                      <w:rFonts w:hint="eastAsia"/>
                      <w:b/>
                      <w:bCs/>
                      <w:szCs w:val="21"/>
                      <w:highlight w:val="none"/>
                      <w:lang w:val="en-US" w:eastAsia="zh-CN"/>
                    </w:rPr>
                    <w:t>监测指标</w:t>
                  </w:r>
                </w:p>
              </w:tc>
              <w:tc>
                <w:tcPr>
                  <w:tcW w:w="1140" w:type="pct"/>
                  <w:tcBorders>
                    <w:tl2br w:val="nil"/>
                    <w:tr2bl w:val="nil"/>
                  </w:tcBorders>
                  <w:vAlign w:val="center"/>
                </w:tcPr>
                <w:p>
                  <w:pPr>
                    <w:autoSpaceDE w:val="0"/>
                    <w:autoSpaceDN w:val="0"/>
                    <w:jc w:val="center"/>
                    <w:rPr>
                      <w:rFonts w:hint="eastAsia"/>
                      <w:b/>
                      <w:bCs/>
                      <w:szCs w:val="21"/>
                      <w:highlight w:val="none"/>
                      <w:lang w:val="en-US" w:eastAsia="zh-CN"/>
                    </w:rPr>
                  </w:pPr>
                  <w:r>
                    <w:rPr>
                      <w:rFonts w:hint="eastAsia"/>
                      <w:b/>
                      <w:bCs/>
                      <w:szCs w:val="21"/>
                      <w:highlight w:val="none"/>
                      <w:lang w:val="en-US" w:eastAsia="zh-CN"/>
                    </w:rPr>
                    <w:t>监测频次</w:t>
                  </w:r>
                </w:p>
              </w:tc>
              <w:tc>
                <w:tcPr>
                  <w:tcW w:w="1846" w:type="pct"/>
                  <w:tcBorders>
                    <w:tl2br w:val="nil"/>
                    <w:tr2bl w:val="nil"/>
                  </w:tcBorders>
                  <w:vAlign w:val="center"/>
                </w:tcPr>
                <w:p>
                  <w:pPr>
                    <w:autoSpaceDE w:val="0"/>
                    <w:autoSpaceDN w:val="0"/>
                    <w:jc w:val="center"/>
                    <w:rPr>
                      <w:rFonts w:hint="eastAsia"/>
                      <w:b/>
                      <w:bCs/>
                      <w:szCs w:val="21"/>
                      <w:highlight w:val="none"/>
                      <w:lang w:val="en-US" w:eastAsia="zh-CN"/>
                    </w:rPr>
                  </w:pPr>
                  <w:r>
                    <w:rPr>
                      <w:rFonts w:hint="eastAsia"/>
                      <w:b/>
                      <w:bCs/>
                      <w:szCs w:val="21"/>
                      <w:highlight w:val="none"/>
                      <w:lang w:val="en-US" w:eastAsia="zh-CN"/>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20" w:hRule="atLeast"/>
                <w:jc w:val="center"/>
              </w:trPr>
              <w:tc>
                <w:tcPr>
                  <w:tcW w:w="545" w:type="pct"/>
                  <w:vMerge w:val="restart"/>
                  <w:tcBorders>
                    <w:tl2br w:val="nil"/>
                    <w:tr2bl w:val="nil"/>
                  </w:tcBorders>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1#排气筒</w:t>
                  </w:r>
                </w:p>
              </w:tc>
              <w:tc>
                <w:tcPr>
                  <w:tcW w:w="1467" w:type="pct"/>
                  <w:tcBorders>
                    <w:tl2br w:val="nil"/>
                    <w:tr2bl w:val="nil"/>
                  </w:tcBorders>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非甲烷总烃</w:t>
                  </w:r>
                </w:p>
              </w:tc>
              <w:tc>
                <w:tcPr>
                  <w:tcW w:w="1140" w:type="pct"/>
                  <w:tcBorders>
                    <w:tl2br w:val="nil"/>
                    <w:tr2bl w:val="nil"/>
                  </w:tcBorders>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半年</w:t>
                  </w:r>
                </w:p>
              </w:tc>
              <w:tc>
                <w:tcPr>
                  <w:tcW w:w="1846" w:type="pct"/>
                  <w:vMerge w:val="restart"/>
                  <w:tcBorders>
                    <w:tl2br w:val="nil"/>
                    <w:tr2bl w:val="nil"/>
                  </w:tcBorders>
                  <w:vAlign w:val="center"/>
                </w:tcPr>
                <w:p>
                  <w:pPr>
                    <w:snapToGrid w:val="0"/>
                    <w:jc w:val="center"/>
                    <w:rPr>
                      <w:color w:val="000000"/>
                      <w:kern w:val="0"/>
                      <w:sz w:val="18"/>
                      <w:szCs w:val="18"/>
                    </w:rPr>
                  </w:pPr>
                  <w:r>
                    <w:rPr>
                      <w:rFonts w:hint="eastAsia"/>
                      <w:szCs w:val="21"/>
                      <w:highlight w:val="none"/>
                      <w:lang w:val="en-US" w:eastAsia="zh-CN"/>
                    </w:rPr>
                    <w:t>《大气污染物排放标准》（DB32/4041—2021）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20" w:hRule="atLeast"/>
                <w:jc w:val="center"/>
              </w:trPr>
              <w:tc>
                <w:tcPr>
                  <w:tcW w:w="545" w:type="pct"/>
                  <w:vMerge w:val="continue"/>
                  <w:tcBorders>
                    <w:tl2br w:val="nil"/>
                    <w:tr2bl w:val="nil"/>
                  </w:tcBorders>
                  <w:vAlign w:val="center"/>
                </w:tcPr>
                <w:p>
                  <w:pPr>
                    <w:autoSpaceDE w:val="0"/>
                    <w:autoSpaceDN w:val="0"/>
                    <w:jc w:val="center"/>
                    <w:rPr>
                      <w:rFonts w:hint="eastAsia"/>
                      <w:szCs w:val="21"/>
                      <w:highlight w:val="none"/>
                      <w:lang w:val="en-US" w:eastAsia="zh-CN"/>
                    </w:rPr>
                  </w:pPr>
                </w:p>
              </w:tc>
              <w:tc>
                <w:tcPr>
                  <w:tcW w:w="1467" w:type="pct"/>
                  <w:tcBorders>
                    <w:tl2br w:val="nil"/>
                    <w:tr2bl w:val="nil"/>
                  </w:tcBorders>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颗粒物</w:t>
                  </w:r>
                </w:p>
              </w:tc>
              <w:tc>
                <w:tcPr>
                  <w:tcW w:w="1140" w:type="pct"/>
                  <w:tcBorders>
                    <w:tl2br w:val="nil"/>
                    <w:tr2bl w:val="nil"/>
                  </w:tcBorders>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半年</w:t>
                  </w:r>
                </w:p>
              </w:tc>
              <w:tc>
                <w:tcPr>
                  <w:tcW w:w="1846" w:type="pct"/>
                  <w:vMerge w:val="continue"/>
                  <w:tcBorders>
                    <w:tl2br w:val="nil"/>
                    <w:tr2bl w:val="nil"/>
                  </w:tcBorders>
                  <w:vAlign w:val="center"/>
                </w:tcPr>
                <w:p>
                  <w:pPr>
                    <w:snapToGrid w:val="0"/>
                    <w:jc w:val="center"/>
                    <w:rPr>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jc w:val="center"/>
              </w:trPr>
              <w:tc>
                <w:tcPr>
                  <w:tcW w:w="545" w:type="pct"/>
                  <w:vMerge w:val="continue"/>
                  <w:tcBorders>
                    <w:tl2br w:val="nil"/>
                    <w:tr2bl w:val="nil"/>
                  </w:tcBorders>
                  <w:vAlign w:val="center"/>
                </w:tcPr>
                <w:p>
                  <w:pPr>
                    <w:autoSpaceDE w:val="0"/>
                    <w:autoSpaceDN w:val="0"/>
                    <w:jc w:val="center"/>
                    <w:rPr>
                      <w:rFonts w:hint="eastAsia"/>
                      <w:szCs w:val="21"/>
                      <w:highlight w:val="none"/>
                      <w:lang w:val="en-US" w:eastAsia="zh-CN"/>
                    </w:rPr>
                  </w:pPr>
                </w:p>
              </w:tc>
              <w:tc>
                <w:tcPr>
                  <w:tcW w:w="2595" w:type="dxa"/>
                  <w:tcBorders>
                    <w:tl2br w:val="nil"/>
                    <w:tr2bl w:val="nil"/>
                  </w:tcBorders>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苯乙烯</w:t>
                  </w:r>
                </w:p>
              </w:tc>
              <w:tc>
                <w:tcPr>
                  <w:tcW w:w="1140" w:type="pct"/>
                  <w:tcBorders>
                    <w:tl2br w:val="nil"/>
                    <w:tr2bl w:val="nil"/>
                  </w:tcBorders>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半年</w:t>
                  </w:r>
                </w:p>
              </w:tc>
              <w:tc>
                <w:tcPr>
                  <w:tcW w:w="1846" w:type="pct"/>
                  <w:vMerge w:val="continue"/>
                  <w:tcBorders>
                    <w:tl2br w:val="nil"/>
                    <w:tr2bl w:val="nil"/>
                  </w:tcBorders>
                  <w:vAlign w:val="center"/>
                </w:tcPr>
                <w:p>
                  <w:pPr>
                    <w:snapToGrid w:val="0"/>
                    <w:jc w:val="center"/>
                    <w:rPr>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20" w:hRule="atLeast"/>
                <w:jc w:val="center"/>
              </w:trPr>
              <w:tc>
                <w:tcPr>
                  <w:tcW w:w="545" w:type="pct"/>
                  <w:vMerge w:val="continue"/>
                  <w:tcBorders>
                    <w:tl2br w:val="nil"/>
                    <w:tr2bl w:val="nil"/>
                  </w:tcBorders>
                  <w:vAlign w:val="center"/>
                </w:tcPr>
                <w:p>
                  <w:pPr>
                    <w:autoSpaceDE w:val="0"/>
                    <w:autoSpaceDN w:val="0"/>
                    <w:jc w:val="center"/>
                    <w:rPr>
                      <w:rFonts w:hint="eastAsia"/>
                      <w:szCs w:val="21"/>
                      <w:highlight w:val="none"/>
                      <w:lang w:val="en-US" w:eastAsia="zh-CN"/>
                    </w:rPr>
                  </w:pPr>
                </w:p>
              </w:tc>
              <w:tc>
                <w:tcPr>
                  <w:tcW w:w="2595" w:type="dxa"/>
                  <w:tcBorders>
                    <w:tl2br w:val="nil"/>
                    <w:tr2bl w:val="nil"/>
                  </w:tcBorders>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丙烯腈</w:t>
                  </w:r>
                </w:p>
              </w:tc>
              <w:tc>
                <w:tcPr>
                  <w:tcW w:w="1140" w:type="pct"/>
                  <w:tcBorders>
                    <w:tl2br w:val="nil"/>
                    <w:tr2bl w:val="nil"/>
                  </w:tcBorders>
                  <w:vAlign w:val="center"/>
                </w:tcPr>
                <w:p>
                  <w:pPr>
                    <w:autoSpaceDE w:val="0"/>
                    <w:autoSpaceDN w:val="0"/>
                    <w:jc w:val="center"/>
                    <w:rPr>
                      <w:rFonts w:hint="eastAsia"/>
                      <w:szCs w:val="21"/>
                      <w:highlight w:val="none"/>
                      <w:lang w:val="en-US" w:eastAsia="zh-CN"/>
                    </w:rPr>
                  </w:pPr>
                  <w:r>
                    <w:rPr>
                      <w:rFonts w:hint="eastAsia"/>
                      <w:szCs w:val="21"/>
                      <w:highlight w:val="none"/>
                      <w:lang w:val="en-US" w:eastAsia="zh-CN"/>
                    </w:rPr>
                    <w:t>半年</w:t>
                  </w:r>
                </w:p>
              </w:tc>
              <w:tc>
                <w:tcPr>
                  <w:tcW w:w="1846" w:type="pct"/>
                  <w:vMerge w:val="continue"/>
                  <w:tcBorders>
                    <w:tl2br w:val="nil"/>
                    <w:tr2bl w:val="nil"/>
                  </w:tcBorders>
                  <w:vAlign w:val="center"/>
                </w:tcPr>
                <w:p>
                  <w:pPr>
                    <w:snapToGrid w:val="0"/>
                    <w:jc w:val="center"/>
                    <w:rPr>
                      <w:color w:val="000000"/>
                      <w:kern w:val="0"/>
                      <w:sz w:val="18"/>
                      <w:szCs w:val="18"/>
                    </w:rPr>
                  </w:pPr>
                </w:p>
              </w:tc>
            </w:tr>
          </w:tbl>
          <w:p>
            <w:pPr>
              <w:autoSpaceDE w:val="0"/>
              <w:autoSpaceDN w:val="0"/>
              <w:adjustRightInd w:val="0"/>
              <w:spacing w:line="360" w:lineRule="auto"/>
              <w:ind w:firstLine="480" w:firstLineChars="200"/>
              <w:jc w:val="left"/>
              <w:rPr>
                <w:rFonts w:hint="eastAsia"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本项目非正常工况废气排放分析及防范措施具体如下：</w:t>
            </w:r>
          </w:p>
          <w:p>
            <w:pPr>
              <w:autoSpaceDE w:val="0"/>
              <w:autoSpaceDN w:val="0"/>
              <w:adjustRightInd w:val="0"/>
              <w:spacing w:line="360" w:lineRule="auto"/>
              <w:ind w:firstLine="480" w:firstLineChars="200"/>
              <w:jc w:val="left"/>
              <w:rPr>
                <w:rFonts w:hint="eastAsia"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（1）非正常工况源强分析</w:t>
            </w:r>
          </w:p>
          <w:p>
            <w:pPr>
              <w:autoSpaceDE w:val="0"/>
              <w:autoSpaceDN w:val="0"/>
              <w:adjustRightInd w:val="0"/>
              <w:spacing w:line="360" w:lineRule="auto"/>
              <w:ind w:firstLine="480" w:firstLineChars="200"/>
              <w:jc w:val="left"/>
              <w:rPr>
                <w:rFonts w:hint="eastAsia"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非正常排放一般包括开停车、检修、环保设施不达标三种情况。</w:t>
            </w:r>
          </w:p>
          <w:p>
            <w:pPr>
              <w:autoSpaceDE w:val="0"/>
              <w:autoSpaceDN w:val="0"/>
              <w:adjustRightInd w:val="0"/>
              <w:spacing w:line="360" w:lineRule="auto"/>
              <w:ind w:firstLine="480" w:firstLineChars="200"/>
              <w:jc w:val="left"/>
              <w:rPr>
                <w:rFonts w:hint="eastAsia"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设备检修以及突发性故障（如，区域性停电时的停车），企业会事先调整生产计划。因此，本项目非正常工况考虑废气环保设施运行不正常的情况，本报告按最不利的情况考虑，即废气处理装置完全失效，处理效率下降至0%。本项目非正常工况为各废气处理装置发生故障。</w:t>
            </w:r>
          </w:p>
          <w:p>
            <w:pPr>
              <w:autoSpaceDE w:val="0"/>
              <w:autoSpaceDN w:val="0"/>
              <w:adjustRightInd w:val="0"/>
              <w:spacing w:line="360" w:lineRule="auto"/>
              <w:ind w:firstLine="480" w:firstLineChars="200"/>
              <w:jc w:val="left"/>
              <w:rPr>
                <w:rFonts w:hint="eastAsia"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本项目非正常工况下，污染物排放情况如下表所示。</w:t>
            </w:r>
          </w:p>
          <w:p>
            <w:pPr>
              <w:snapToGrid w:val="0"/>
              <w:jc w:val="center"/>
              <w:rPr>
                <w:rFonts w:hint="default" w:ascii="Times New Roman" w:hAnsi="Times New Roman" w:cs="Times New Roman"/>
                <w:b/>
                <w:sz w:val="24"/>
                <w:szCs w:val="24"/>
              </w:rPr>
            </w:pPr>
            <w:r>
              <w:rPr>
                <w:rFonts w:hint="default" w:ascii="Times New Roman" w:hAnsi="Times New Roman" w:cs="Times New Roman"/>
                <w:b/>
                <w:sz w:val="24"/>
                <w:szCs w:val="24"/>
              </w:rPr>
              <w:t>表4-</w:t>
            </w:r>
            <w:r>
              <w:rPr>
                <w:rFonts w:hint="eastAsia" w:cs="Times New Roman"/>
                <w:b/>
                <w:sz w:val="24"/>
                <w:szCs w:val="24"/>
                <w:lang w:val="en-US" w:eastAsia="zh-CN"/>
              </w:rPr>
              <w:t>4</w:t>
            </w:r>
            <w:r>
              <w:rPr>
                <w:rFonts w:hint="default" w:ascii="Times New Roman" w:hAnsi="Times New Roman" w:cs="Times New Roman"/>
                <w:b/>
                <w:sz w:val="24"/>
                <w:szCs w:val="24"/>
              </w:rPr>
              <w:t xml:space="preserve">  非正常情况</w:t>
            </w:r>
          </w:p>
          <w:tbl>
            <w:tblPr>
              <w:tblStyle w:val="22"/>
              <w:tblW w:w="5000"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974"/>
              <w:gridCol w:w="1107"/>
              <w:gridCol w:w="922"/>
              <w:gridCol w:w="1612"/>
              <w:gridCol w:w="1363"/>
              <w:gridCol w:w="1156"/>
              <w:gridCol w:w="991"/>
              <w:gridCol w:w="71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0" w:type="pct"/>
                  <w:shd w:val="clear" w:color="auto" w:fill="auto"/>
                  <w:vAlign w:val="center"/>
                </w:tcPr>
                <w:p>
                  <w:pPr>
                    <w:jc w:val="center"/>
                    <w:rPr>
                      <w:rFonts w:hint="eastAsia"/>
                      <w:b/>
                      <w:bCs/>
                      <w:szCs w:val="21"/>
                      <w:highlight w:val="none"/>
                      <w:lang w:val="en-US" w:eastAsia="zh-CN"/>
                    </w:rPr>
                  </w:pPr>
                  <w:r>
                    <w:rPr>
                      <w:rFonts w:hint="eastAsia"/>
                      <w:b/>
                      <w:bCs/>
                      <w:szCs w:val="21"/>
                      <w:highlight w:val="none"/>
                      <w:lang w:val="en-US" w:eastAsia="zh-CN"/>
                    </w:rPr>
                    <w:t>非正常排放源</w:t>
                  </w:r>
                </w:p>
              </w:tc>
              <w:tc>
                <w:tcPr>
                  <w:tcW w:w="625" w:type="pct"/>
                  <w:shd w:val="clear" w:color="auto" w:fill="auto"/>
                  <w:vAlign w:val="center"/>
                </w:tcPr>
                <w:p>
                  <w:pPr>
                    <w:jc w:val="center"/>
                    <w:rPr>
                      <w:rFonts w:hint="eastAsia"/>
                      <w:b/>
                      <w:bCs/>
                      <w:szCs w:val="21"/>
                      <w:highlight w:val="none"/>
                      <w:lang w:val="en-US" w:eastAsia="zh-CN"/>
                    </w:rPr>
                  </w:pPr>
                  <w:r>
                    <w:rPr>
                      <w:rFonts w:hint="eastAsia"/>
                      <w:b/>
                      <w:bCs/>
                      <w:szCs w:val="21"/>
                      <w:highlight w:val="none"/>
                      <w:lang w:val="en-US" w:eastAsia="zh-CN"/>
                    </w:rPr>
                    <w:t>非正常排放原因</w:t>
                  </w:r>
                </w:p>
              </w:tc>
              <w:tc>
                <w:tcPr>
                  <w:tcW w:w="521" w:type="pct"/>
                  <w:shd w:val="clear" w:color="auto" w:fill="auto"/>
                  <w:vAlign w:val="center"/>
                </w:tcPr>
                <w:p>
                  <w:pPr>
                    <w:jc w:val="center"/>
                    <w:rPr>
                      <w:rFonts w:hint="eastAsia"/>
                      <w:b/>
                      <w:bCs/>
                      <w:szCs w:val="21"/>
                      <w:highlight w:val="none"/>
                      <w:lang w:val="en-US" w:eastAsia="zh-CN"/>
                    </w:rPr>
                  </w:pPr>
                  <w:r>
                    <w:rPr>
                      <w:rFonts w:hint="eastAsia"/>
                      <w:b/>
                      <w:bCs/>
                      <w:szCs w:val="21"/>
                      <w:highlight w:val="none"/>
                      <w:lang w:val="en-US" w:eastAsia="zh-CN"/>
                    </w:rPr>
                    <w:t>污染物</w:t>
                  </w:r>
                </w:p>
              </w:tc>
              <w:tc>
                <w:tcPr>
                  <w:tcW w:w="911" w:type="pct"/>
                  <w:shd w:val="clear" w:color="auto" w:fill="auto"/>
                  <w:vAlign w:val="center"/>
                </w:tcPr>
                <w:p>
                  <w:pPr>
                    <w:jc w:val="center"/>
                    <w:rPr>
                      <w:rFonts w:hint="eastAsia"/>
                      <w:b/>
                      <w:bCs/>
                      <w:szCs w:val="21"/>
                      <w:highlight w:val="none"/>
                      <w:lang w:val="en-US" w:eastAsia="zh-CN"/>
                    </w:rPr>
                  </w:pPr>
                  <w:r>
                    <w:rPr>
                      <w:rFonts w:hint="eastAsia"/>
                      <w:b/>
                      <w:bCs/>
                      <w:szCs w:val="21"/>
                      <w:highlight w:val="none"/>
                      <w:lang w:val="en-US" w:eastAsia="zh-CN"/>
                    </w:rPr>
                    <w:t>非正常排放浓度/（mg/m</w:t>
                  </w:r>
                  <w:r>
                    <w:rPr>
                      <w:rFonts w:hint="eastAsia"/>
                      <w:b/>
                      <w:bCs/>
                      <w:szCs w:val="21"/>
                      <w:highlight w:val="none"/>
                      <w:vertAlign w:val="superscript"/>
                      <w:lang w:val="en-US" w:eastAsia="zh-CN"/>
                    </w:rPr>
                    <w:t>3</w:t>
                  </w:r>
                  <w:r>
                    <w:rPr>
                      <w:rFonts w:hint="eastAsia"/>
                      <w:b/>
                      <w:bCs/>
                      <w:szCs w:val="21"/>
                      <w:highlight w:val="none"/>
                      <w:lang w:val="en-US" w:eastAsia="zh-CN"/>
                    </w:rPr>
                    <w:t>）</w:t>
                  </w:r>
                </w:p>
              </w:tc>
              <w:tc>
                <w:tcPr>
                  <w:tcW w:w="770" w:type="pct"/>
                  <w:shd w:val="clear" w:color="auto" w:fill="auto"/>
                  <w:vAlign w:val="center"/>
                </w:tcPr>
                <w:p>
                  <w:pPr>
                    <w:jc w:val="center"/>
                    <w:rPr>
                      <w:rFonts w:hint="eastAsia"/>
                      <w:b/>
                      <w:bCs/>
                      <w:szCs w:val="21"/>
                      <w:highlight w:val="none"/>
                      <w:lang w:val="en-US" w:eastAsia="zh-CN"/>
                    </w:rPr>
                  </w:pPr>
                  <w:r>
                    <w:rPr>
                      <w:rFonts w:hint="eastAsia"/>
                      <w:b/>
                      <w:bCs/>
                      <w:szCs w:val="21"/>
                      <w:highlight w:val="none"/>
                      <w:lang w:val="en-US" w:eastAsia="zh-CN"/>
                    </w:rPr>
                    <w:t>非正常排放速率/（kg/h）</w:t>
                  </w:r>
                </w:p>
              </w:tc>
              <w:tc>
                <w:tcPr>
                  <w:tcW w:w="653" w:type="pct"/>
                  <w:shd w:val="clear" w:color="auto" w:fill="auto"/>
                  <w:vAlign w:val="center"/>
                </w:tcPr>
                <w:p>
                  <w:pPr>
                    <w:jc w:val="center"/>
                    <w:rPr>
                      <w:rFonts w:hint="eastAsia"/>
                      <w:b/>
                      <w:bCs/>
                      <w:szCs w:val="21"/>
                      <w:highlight w:val="none"/>
                      <w:lang w:val="en-US" w:eastAsia="zh-CN"/>
                    </w:rPr>
                  </w:pPr>
                  <w:r>
                    <w:rPr>
                      <w:rFonts w:hint="eastAsia"/>
                      <w:b/>
                      <w:bCs/>
                      <w:szCs w:val="21"/>
                      <w:highlight w:val="none"/>
                      <w:lang w:val="en-US" w:eastAsia="zh-CN"/>
                    </w:rPr>
                    <w:t>单次持续时间/h</w:t>
                  </w:r>
                </w:p>
              </w:tc>
              <w:tc>
                <w:tcPr>
                  <w:tcW w:w="560" w:type="pct"/>
                  <w:shd w:val="clear" w:color="auto" w:fill="auto"/>
                  <w:vAlign w:val="center"/>
                </w:tcPr>
                <w:p>
                  <w:pPr>
                    <w:jc w:val="center"/>
                    <w:rPr>
                      <w:rFonts w:hint="eastAsia"/>
                      <w:b/>
                      <w:bCs/>
                      <w:szCs w:val="21"/>
                      <w:highlight w:val="none"/>
                      <w:lang w:val="en-US" w:eastAsia="zh-CN"/>
                    </w:rPr>
                  </w:pPr>
                  <w:r>
                    <w:rPr>
                      <w:rFonts w:hint="eastAsia"/>
                      <w:b/>
                      <w:bCs/>
                      <w:szCs w:val="21"/>
                      <w:highlight w:val="none"/>
                      <w:lang w:val="en-US" w:eastAsia="zh-CN"/>
                    </w:rPr>
                    <w:t>年发生频次/次</w:t>
                  </w:r>
                </w:p>
              </w:tc>
              <w:tc>
                <w:tcPr>
                  <w:tcW w:w="406" w:type="pct"/>
                  <w:shd w:val="clear" w:color="auto" w:fill="auto"/>
                  <w:vAlign w:val="center"/>
                </w:tcPr>
                <w:p>
                  <w:pPr>
                    <w:jc w:val="center"/>
                    <w:rPr>
                      <w:rFonts w:hint="eastAsia"/>
                      <w:b/>
                      <w:bCs/>
                      <w:szCs w:val="21"/>
                      <w:highlight w:val="none"/>
                      <w:lang w:val="en-US" w:eastAsia="zh-CN"/>
                    </w:rPr>
                  </w:pPr>
                  <w:r>
                    <w:rPr>
                      <w:rFonts w:hint="eastAsia"/>
                      <w:b/>
                      <w:bCs/>
                      <w:szCs w:val="21"/>
                      <w:highlight w:val="none"/>
                      <w:lang w:val="en-US" w:eastAsia="zh-CN"/>
                    </w:rPr>
                    <w:t>应对措施</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550" w:type="pct"/>
                  <w:vMerge w:val="restart"/>
                  <w:shd w:val="clear" w:color="auto" w:fill="auto"/>
                  <w:vAlign w:val="center"/>
                </w:tcPr>
                <w:p>
                  <w:pPr>
                    <w:jc w:val="center"/>
                    <w:rPr>
                      <w:rFonts w:hint="eastAsia"/>
                      <w:szCs w:val="21"/>
                      <w:highlight w:val="none"/>
                      <w:lang w:val="en-US" w:eastAsia="zh-CN"/>
                    </w:rPr>
                  </w:pPr>
                  <w:r>
                    <w:rPr>
                      <w:rFonts w:hint="eastAsia"/>
                      <w:szCs w:val="21"/>
                      <w:highlight w:val="none"/>
                      <w:lang w:val="en-US" w:eastAsia="zh-CN"/>
                    </w:rPr>
                    <w:t>1#排气筒　</w:t>
                  </w:r>
                </w:p>
              </w:tc>
              <w:tc>
                <w:tcPr>
                  <w:tcW w:w="625" w:type="pct"/>
                  <w:shd w:val="clear" w:color="auto" w:fill="auto"/>
                  <w:vAlign w:val="center"/>
                </w:tcPr>
                <w:p>
                  <w:pPr>
                    <w:jc w:val="center"/>
                    <w:rPr>
                      <w:rFonts w:hint="eastAsia"/>
                      <w:szCs w:val="21"/>
                      <w:highlight w:val="none"/>
                      <w:lang w:val="en-US" w:eastAsia="zh-CN"/>
                    </w:rPr>
                  </w:pPr>
                  <w:r>
                    <w:rPr>
                      <w:rFonts w:hint="eastAsia"/>
                      <w:szCs w:val="21"/>
                      <w:highlight w:val="none"/>
                      <w:lang w:val="en-US" w:eastAsia="zh-CN"/>
                    </w:rPr>
                    <w:t>环保设施失效</w:t>
                  </w:r>
                </w:p>
              </w:tc>
              <w:tc>
                <w:tcPr>
                  <w:tcW w:w="521" w:type="pct"/>
                  <w:shd w:val="clear" w:color="auto" w:fill="auto"/>
                  <w:vAlign w:val="center"/>
                </w:tcPr>
                <w:p>
                  <w:pPr>
                    <w:jc w:val="center"/>
                    <w:rPr>
                      <w:rFonts w:hint="eastAsia"/>
                      <w:szCs w:val="21"/>
                      <w:highlight w:val="none"/>
                      <w:lang w:val="en-US" w:eastAsia="zh-CN"/>
                    </w:rPr>
                  </w:pPr>
                  <w:r>
                    <w:rPr>
                      <w:rFonts w:hint="eastAsia"/>
                      <w:szCs w:val="21"/>
                      <w:highlight w:val="none"/>
                      <w:lang w:val="en-US" w:eastAsia="zh-CN"/>
                    </w:rPr>
                    <w:t>非甲烷总烃</w:t>
                  </w:r>
                </w:p>
              </w:tc>
              <w:tc>
                <w:tcPr>
                  <w:tcW w:w="911" w:type="pct"/>
                  <w:shd w:val="clear" w:color="auto" w:fill="auto"/>
                  <w:vAlign w:val="center"/>
                </w:tcPr>
                <w:p>
                  <w:pPr>
                    <w:jc w:val="center"/>
                    <w:rPr>
                      <w:rFonts w:hint="eastAsia"/>
                      <w:szCs w:val="21"/>
                      <w:highlight w:val="none"/>
                      <w:lang w:val="en-US" w:eastAsia="zh-CN"/>
                    </w:rPr>
                  </w:pPr>
                  <w:r>
                    <w:rPr>
                      <w:rFonts w:hint="eastAsia"/>
                      <w:szCs w:val="21"/>
                      <w:highlight w:val="none"/>
                      <w:lang w:val="en-US" w:eastAsia="zh-CN"/>
                    </w:rPr>
                    <w:t>14.7543</w:t>
                  </w:r>
                </w:p>
              </w:tc>
              <w:tc>
                <w:tcPr>
                  <w:tcW w:w="770" w:type="pct"/>
                  <w:shd w:val="clear" w:color="auto" w:fill="auto"/>
                  <w:vAlign w:val="center"/>
                </w:tcPr>
                <w:p>
                  <w:pPr>
                    <w:jc w:val="center"/>
                    <w:rPr>
                      <w:rFonts w:hint="eastAsia"/>
                      <w:szCs w:val="21"/>
                      <w:highlight w:val="none"/>
                      <w:lang w:val="en-US" w:eastAsia="zh-CN"/>
                    </w:rPr>
                  </w:pPr>
                  <w:r>
                    <w:rPr>
                      <w:rFonts w:hint="eastAsia"/>
                      <w:szCs w:val="21"/>
                      <w:highlight w:val="none"/>
                      <w:lang w:val="en-US" w:eastAsia="zh-CN"/>
                    </w:rPr>
                    <w:t>0.2951</w:t>
                  </w:r>
                </w:p>
              </w:tc>
              <w:tc>
                <w:tcPr>
                  <w:tcW w:w="653" w:type="pct"/>
                  <w:shd w:val="clear" w:color="auto" w:fill="auto"/>
                  <w:vAlign w:val="center"/>
                </w:tcPr>
                <w:p>
                  <w:pPr>
                    <w:jc w:val="center"/>
                    <w:rPr>
                      <w:rFonts w:hint="eastAsia"/>
                      <w:szCs w:val="21"/>
                      <w:highlight w:val="none"/>
                      <w:lang w:val="en-US" w:eastAsia="zh-CN"/>
                    </w:rPr>
                  </w:pPr>
                  <w:r>
                    <w:rPr>
                      <w:rFonts w:hint="eastAsia"/>
                      <w:szCs w:val="21"/>
                      <w:highlight w:val="none"/>
                      <w:lang w:val="en-US" w:eastAsia="zh-CN"/>
                    </w:rPr>
                    <w:t>0.5</w:t>
                  </w:r>
                </w:p>
              </w:tc>
              <w:tc>
                <w:tcPr>
                  <w:tcW w:w="560" w:type="pct"/>
                  <w:shd w:val="clear" w:color="auto" w:fill="auto"/>
                  <w:vAlign w:val="center"/>
                </w:tcPr>
                <w:p>
                  <w:pPr>
                    <w:jc w:val="center"/>
                    <w:rPr>
                      <w:rFonts w:hint="eastAsia"/>
                      <w:szCs w:val="21"/>
                      <w:highlight w:val="none"/>
                      <w:lang w:val="en-US" w:eastAsia="zh-CN"/>
                    </w:rPr>
                  </w:pPr>
                  <w:r>
                    <w:rPr>
                      <w:rFonts w:hint="eastAsia"/>
                      <w:szCs w:val="21"/>
                      <w:highlight w:val="none"/>
                      <w:lang w:val="en-US" w:eastAsia="zh-CN"/>
                    </w:rPr>
                    <w:t>1</w:t>
                  </w:r>
                </w:p>
              </w:tc>
              <w:tc>
                <w:tcPr>
                  <w:tcW w:w="406" w:type="pct"/>
                  <w:shd w:val="clear" w:color="auto" w:fill="auto"/>
                  <w:vAlign w:val="center"/>
                </w:tcPr>
                <w:p>
                  <w:pPr>
                    <w:jc w:val="center"/>
                    <w:rPr>
                      <w:rFonts w:hint="eastAsia"/>
                      <w:szCs w:val="21"/>
                      <w:highlight w:val="none"/>
                      <w:lang w:val="en-US" w:eastAsia="zh-CN"/>
                    </w:rPr>
                  </w:pPr>
                  <w:r>
                    <w:rPr>
                      <w:rFonts w:hint="eastAsia"/>
                      <w:szCs w:val="21"/>
                      <w:highlight w:val="none"/>
                      <w:lang w:val="en-US" w:eastAsia="zh-CN"/>
                    </w:rPr>
                    <w:t>停产检修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550" w:type="pct"/>
                  <w:vMerge w:val="continue"/>
                  <w:shd w:val="clear" w:color="auto" w:fill="auto"/>
                  <w:vAlign w:val="center"/>
                </w:tcPr>
                <w:p>
                  <w:pPr>
                    <w:jc w:val="center"/>
                    <w:rPr>
                      <w:rFonts w:hint="eastAsia"/>
                      <w:szCs w:val="21"/>
                      <w:highlight w:val="none"/>
                      <w:lang w:val="en-US" w:eastAsia="zh-CN"/>
                    </w:rPr>
                  </w:pPr>
                </w:p>
              </w:tc>
              <w:tc>
                <w:tcPr>
                  <w:tcW w:w="625" w:type="pct"/>
                  <w:shd w:val="clear" w:color="auto" w:fill="auto"/>
                  <w:vAlign w:val="center"/>
                </w:tcPr>
                <w:p>
                  <w:pPr>
                    <w:jc w:val="center"/>
                    <w:rPr>
                      <w:rFonts w:hint="eastAsia"/>
                      <w:szCs w:val="21"/>
                      <w:highlight w:val="none"/>
                      <w:lang w:val="en-US" w:eastAsia="zh-CN"/>
                    </w:rPr>
                  </w:pPr>
                  <w:r>
                    <w:rPr>
                      <w:rFonts w:hint="eastAsia"/>
                      <w:szCs w:val="21"/>
                      <w:highlight w:val="none"/>
                      <w:lang w:val="en-US" w:eastAsia="zh-CN"/>
                    </w:rPr>
                    <w:t>环保设施失效</w:t>
                  </w:r>
                </w:p>
              </w:tc>
              <w:tc>
                <w:tcPr>
                  <w:tcW w:w="521" w:type="pct"/>
                  <w:shd w:val="clear" w:color="auto" w:fill="auto"/>
                  <w:vAlign w:val="center"/>
                </w:tcPr>
                <w:p>
                  <w:pPr>
                    <w:jc w:val="center"/>
                    <w:rPr>
                      <w:rFonts w:hint="eastAsia"/>
                      <w:szCs w:val="21"/>
                      <w:highlight w:val="none"/>
                      <w:lang w:val="en-US" w:eastAsia="zh-CN"/>
                    </w:rPr>
                  </w:pPr>
                  <w:r>
                    <w:rPr>
                      <w:rFonts w:hint="eastAsia"/>
                      <w:szCs w:val="21"/>
                      <w:highlight w:val="none"/>
                      <w:lang w:val="en-US" w:eastAsia="zh-CN"/>
                    </w:rPr>
                    <w:t>颗粒物</w:t>
                  </w:r>
                </w:p>
              </w:tc>
              <w:tc>
                <w:tcPr>
                  <w:tcW w:w="911" w:type="pct"/>
                  <w:shd w:val="clear" w:color="auto" w:fill="auto"/>
                  <w:vAlign w:val="center"/>
                </w:tcPr>
                <w:p>
                  <w:pPr>
                    <w:jc w:val="center"/>
                    <w:rPr>
                      <w:rFonts w:hint="eastAsia"/>
                      <w:szCs w:val="21"/>
                      <w:highlight w:val="none"/>
                      <w:lang w:val="en-US" w:eastAsia="zh-CN"/>
                    </w:rPr>
                  </w:pPr>
                  <w:r>
                    <w:rPr>
                      <w:rFonts w:hint="eastAsia"/>
                      <w:szCs w:val="21"/>
                      <w:highlight w:val="none"/>
                      <w:lang w:val="en-US" w:eastAsia="zh-CN"/>
                    </w:rPr>
                    <w:t>0.385</w:t>
                  </w:r>
                </w:p>
              </w:tc>
              <w:tc>
                <w:tcPr>
                  <w:tcW w:w="770" w:type="pct"/>
                  <w:shd w:val="clear" w:color="auto" w:fill="auto"/>
                  <w:vAlign w:val="center"/>
                </w:tcPr>
                <w:p>
                  <w:pPr>
                    <w:jc w:val="center"/>
                    <w:rPr>
                      <w:rFonts w:hint="eastAsia"/>
                      <w:szCs w:val="21"/>
                      <w:highlight w:val="none"/>
                      <w:lang w:val="en-US" w:eastAsia="zh-CN"/>
                    </w:rPr>
                  </w:pPr>
                  <w:r>
                    <w:rPr>
                      <w:rFonts w:hint="eastAsia"/>
                      <w:szCs w:val="21"/>
                      <w:highlight w:val="none"/>
                      <w:lang w:val="en-US" w:eastAsia="zh-CN"/>
                    </w:rPr>
                    <w:t>0.00766</w:t>
                  </w:r>
                </w:p>
              </w:tc>
              <w:tc>
                <w:tcPr>
                  <w:tcW w:w="653" w:type="pct"/>
                  <w:shd w:val="clear" w:color="auto" w:fill="auto"/>
                  <w:vAlign w:val="center"/>
                </w:tcPr>
                <w:p>
                  <w:pPr>
                    <w:jc w:val="center"/>
                    <w:rPr>
                      <w:rFonts w:hint="eastAsia"/>
                      <w:szCs w:val="21"/>
                      <w:highlight w:val="none"/>
                      <w:lang w:val="en-US" w:eastAsia="zh-CN"/>
                    </w:rPr>
                  </w:pPr>
                  <w:r>
                    <w:rPr>
                      <w:rFonts w:hint="eastAsia"/>
                      <w:szCs w:val="21"/>
                      <w:highlight w:val="none"/>
                      <w:lang w:val="en-US" w:eastAsia="zh-CN"/>
                    </w:rPr>
                    <w:t>0.5</w:t>
                  </w:r>
                </w:p>
              </w:tc>
              <w:tc>
                <w:tcPr>
                  <w:tcW w:w="560" w:type="pct"/>
                  <w:shd w:val="clear" w:color="auto" w:fill="auto"/>
                  <w:vAlign w:val="center"/>
                </w:tcPr>
                <w:p>
                  <w:pPr>
                    <w:jc w:val="center"/>
                    <w:rPr>
                      <w:rFonts w:hint="eastAsia"/>
                      <w:szCs w:val="21"/>
                      <w:highlight w:val="none"/>
                      <w:lang w:val="en-US" w:eastAsia="zh-CN"/>
                    </w:rPr>
                  </w:pPr>
                  <w:r>
                    <w:rPr>
                      <w:rFonts w:hint="eastAsia"/>
                      <w:szCs w:val="21"/>
                      <w:highlight w:val="none"/>
                      <w:lang w:val="en-US" w:eastAsia="zh-CN"/>
                    </w:rPr>
                    <w:t>1</w:t>
                  </w:r>
                </w:p>
              </w:tc>
              <w:tc>
                <w:tcPr>
                  <w:tcW w:w="406" w:type="pct"/>
                  <w:shd w:val="clear" w:color="auto" w:fill="auto"/>
                  <w:vAlign w:val="center"/>
                </w:tcPr>
                <w:p>
                  <w:pPr>
                    <w:jc w:val="center"/>
                    <w:rPr>
                      <w:rFonts w:hint="eastAsia"/>
                      <w:szCs w:val="21"/>
                      <w:highlight w:val="none"/>
                      <w:lang w:val="en-US" w:eastAsia="zh-CN"/>
                    </w:rPr>
                  </w:pPr>
                  <w:r>
                    <w:rPr>
                      <w:rFonts w:hint="eastAsia"/>
                      <w:szCs w:val="21"/>
                      <w:highlight w:val="none"/>
                      <w:lang w:val="en-US" w:eastAsia="zh-CN"/>
                    </w:rPr>
                    <w:t>停产检修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550" w:type="pct"/>
                  <w:vMerge w:val="continue"/>
                  <w:shd w:val="clear" w:color="auto" w:fill="auto"/>
                  <w:vAlign w:val="center"/>
                </w:tcPr>
                <w:p>
                  <w:pPr>
                    <w:jc w:val="center"/>
                    <w:rPr>
                      <w:rFonts w:hint="eastAsia"/>
                      <w:szCs w:val="21"/>
                      <w:highlight w:val="none"/>
                      <w:lang w:val="en-US" w:eastAsia="zh-CN"/>
                    </w:rPr>
                  </w:pPr>
                </w:p>
              </w:tc>
              <w:tc>
                <w:tcPr>
                  <w:tcW w:w="625" w:type="pct"/>
                  <w:shd w:val="clear" w:color="auto" w:fill="auto"/>
                  <w:vAlign w:val="center"/>
                </w:tcPr>
                <w:p>
                  <w:pPr>
                    <w:jc w:val="center"/>
                    <w:rPr>
                      <w:rFonts w:hint="eastAsia"/>
                      <w:szCs w:val="21"/>
                      <w:highlight w:val="none"/>
                      <w:lang w:val="en-US" w:eastAsia="zh-CN"/>
                    </w:rPr>
                  </w:pPr>
                  <w:r>
                    <w:rPr>
                      <w:rFonts w:hint="eastAsia"/>
                      <w:szCs w:val="21"/>
                      <w:highlight w:val="none"/>
                      <w:lang w:val="en-US" w:eastAsia="zh-CN"/>
                    </w:rPr>
                    <w:t>环保设施失效</w:t>
                  </w:r>
                </w:p>
              </w:tc>
              <w:tc>
                <w:tcPr>
                  <w:tcW w:w="521" w:type="pct"/>
                  <w:shd w:val="clear" w:color="auto" w:fill="auto"/>
                  <w:vAlign w:val="center"/>
                </w:tcPr>
                <w:p>
                  <w:pPr>
                    <w:jc w:val="center"/>
                    <w:rPr>
                      <w:rFonts w:hint="eastAsia"/>
                      <w:szCs w:val="21"/>
                      <w:highlight w:val="none"/>
                      <w:lang w:val="en-US" w:eastAsia="zh-CN"/>
                    </w:rPr>
                  </w:pPr>
                  <w:r>
                    <w:rPr>
                      <w:rFonts w:hint="eastAsia"/>
                      <w:szCs w:val="21"/>
                      <w:highlight w:val="none"/>
                      <w:lang w:val="en-US" w:eastAsia="zh-CN"/>
                    </w:rPr>
                    <w:t>苯乙烯</w:t>
                  </w:r>
                </w:p>
              </w:tc>
              <w:tc>
                <w:tcPr>
                  <w:tcW w:w="911" w:type="pct"/>
                  <w:shd w:val="clear" w:color="auto" w:fill="auto"/>
                  <w:vAlign w:val="center"/>
                </w:tcPr>
                <w:p>
                  <w:pPr>
                    <w:jc w:val="center"/>
                    <w:rPr>
                      <w:rFonts w:hint="eastAsia"/>
                      <w:szCs w:val="21"/>
                      <w:highlight w:val="none"/>
                      <w:lang w:val="en-US" w:eastAsia="zh-CN"/>
                    </w:rPr>
                  </w:pPr>
                  <w:r>
                    <w:rPr>
                      <w:rFonts w:hint="eastAsia"/>
                      <w:szCs w:val="21"/>
                      <w:highlight w:val="none"/>
                      <w:lang w:val="en-US" w:eastAsia="zh-CN"/>
                    </w:rPr>
                    <w:t>0.5208</w:t>
                  </w:r>
                </w:p>
              </w:tc>
              <w:tc>
                <w:tcPr>
                  <w:tcW w:w="770" w:type="pct"/>
                  <w:shd w:val="clear" w:color="auto" w:fill="auto"/>
                  <w:vAlign w:val="center"/>
                </w:tcPr>
                <w:p>
                  <w:pPr>
                    <w:jc w:val="center"/>
                    <w:rPr>
                      <w:rFonts w:hint="eastAsia"/>
                      <w:szCs w:val="21"/>
                      <w:highlight w:val="none"/>
                      <w:lang w:val="en-US" w:eastAsia="zh-CN"/>
                    </w:rPr>
                  </w:pPr>
                  <w:r>
                    <w:rPr>
                      <w:rFonts w:hint="eastAsia"/>
                      <w:szCs w:val="21"/>
                      <w:highlight w:val="none"/>
                      <w:lang w:val="en-US" w:eastAsia="zh-CN"/>
                    </w:rPr>
                    <w:t>0.01042</w:t>
                  </w:r>
                </w:p>
              </w:tc>
              <w:tc>
                <w:tcPr>
                  <w:tcW w:w="653" w:type="pct"/>
                  <w:shd w:val="clear" w:color="auto" w:fill="auto"/>
                  <w:vAlign w:val="center"/>
                </w:tcPr>
                <w:p>
                  <w:pPr>
                    <w:jc w:val="center"/>
                    <w:rPr>
                      <w:rFonts w:hint="eastAsia"/>
                      <w:szCs w:val="21"/>
                      <w:highlight w:val="none"/>
                      <w:lang w:val="en-US" w:eastAsia="zh-CN"/>
                    </w:rPr>
                  </w:pPr>
                  <w:r>
                    <w:rPr>
                      <w:rFonts w:hint="eastAsia"/>
                      <w:szCs w:val="21"/>
                      <w:highlight w:val="none"/>
                      <w:lang w:val="en-US" w:eastAsia="zh-CN"/>
                    </w:rPr>
                    <w:t>0.5</w:t>
                  </w:r>
                </w:p>
              </w:tc>
              <w:tc>
                <w:tcPr>
                  <w:tcW w:w="560" w:type="pct"/>
                  <w:shd w:val="clear" w:color="auto" w:fill="auto"/>
                  <w:vAlign w:val="center"/>
                </w:tcPr>
                <w:p>
                  <w:pPr>
                    <w:jc w:val="center"/>
                    <w:rPr>
                      <w:rFonts w:hint="eastAsia"/>
                      <w:szCs w:val="21"/>
                      <w:highlight w:val="none"/>
                      <w:lang w:val="en-US" w:eastAsia="zh-CN"/>
                    </w:rPr>
                  </w:pPr>
                  <w:r>
                    <w:rPr>
                      <w:rFonts w:hint="eastAsia"/>
                      <w:szCs w:val="21"/>
                      <w:highlight w:val="none"/>
                      <w:lang w:val="en-US" w:eastAsia="zh-CN"/>
                    </w:rPr>
                    <w:t>1</w:t>
                  </w:r>
                </w:p>
              </w:tc>
              <w:tc>
                <w:tcPr>
                  <w:tcW w:w="406" w:type="pct"/>
                  <w:shd w:val="clear" w:color="auto" w:fill="auto"/>
                  <w:vAlign w:val="center"/>
                </w:tcPr>
                <w:p>
                  <w:pPr>
                    <w:jc w:val="center"/>
                    <w:rPr>
                      <w:rFonts w:hint="eastAsia"/>
                      <w:szCs w:val="21"/>
                      <w:highlight w:val="none"/>
                      <w:lang w:val="en-US" w:eastAsia="zh-CN"/>
                    </w:rPr>
                  </w:pPr>
                  <w:r>
                    <w:rPr>
                      <w:rFonts w:hint="eastAsia"/>
                      <w:szCs w:val="21"/>
                      <w:highlight w:val="none"/>
                      <w:lang w:val="en-US" w:eastAsia="zh-CN"/>
                    </w:rPr>
                    <w:t>停产检修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550" w:type="pct"/>
                  <w:vMerge w:val="continue"/>
                  <w:shd w:val="clear" w:color="auto" w:fill="auto"/>
                  <w:vAlign w:val="center"/>
                </w:tcPr>
                <w:p>
                  <w:pPr>
                    <w:jc w:val="center"/>
                    <w:rPr>
                      <w:rFonts w:hint="eastAsia"/>
                      <w:szCs w:val="21"/>
                      <w:highlight w:val="none"/>
                      <w:lang w:val="en-US" w:eastAsia="zh-CN"/>
                    </w:rPr>
                  </w:pPr>
                </w:p>
              </w:tc>
              <w:tc>
                <w:tcPr>
                  <w:tcW w:w="625" w:type="pct"/>
                  <w:shd w:val="clear" w:color="auto" w:fill="auto"/>
                  <w:vAlign w:val="center"/>
                </w:tcPr>
                <w:p>
                  <w:pPr>
                    <w:jc w:val="center"/>
                    <w:rPr>
                      <w:rFonts w:hint="eastAsia"/>
                      <w:szCs w:val="21"/>
                      <w:highlight w:val="none"/>
                      <w:lang w:val="en-US" w:eastAsia="zh-CN"/>
                    </w:rPr>
                  </w:pPr>
                  <w:r>
                    <w:rPr>
                      <w:rFonts w:hint="eastAsia"/>
                      <w:szCs w:val="21"/>
                      <w:highlight w:val="none"/>
                      <w:lang w:val="en-US" w:eastAsia="zh-CN"/>
                    </w:rPr>
                    <w:t>环保设施失效</w:t>
                  </w:r>
                </w:p>
              </w:tc>
              <w:tc>
                <w:tcPr>
                  <w:tcW w:w="521" w:type="pct"/>
                  <w:shd w:val="clear" w:color="auto" w:fill="auto"/>
                  <w:vAlign w:val="center"/>
                </w:tcPr>
                <w:p>
                  <w:pPr>
                    <w:jc w:val="center"/>
                    <w:rPr>
                      <w:rFonts w:hint="eastAsia"/>
                      <w:szCs w:val="21"/>
                      <w:highlight w:val="none"/>
                      <w:lang w:val="en-US" w:eastAsia="zh-CN"/>
                    </w:rPr>
                  </w:pPr>
                  <w:r>
                    <w:rPr>
                      <w:rFonts w:hint="eastAsia"/>
                      <w:szCs w:val="21"/>
                      <w:highlight w:val="none"/>
                      <w:lang w:val="en-US" w:eastAsia="zh-CN"/>
                    </w:rPr>
                    <w:t>丙烯腈</w:t>
                  </w:r>
                </w:p>
              </w:tc>
              <w:tc>
                <w:tcPr>
                  <w:tcW w:w="911" w:type="pct"/>
                  <w:shd w:val="clear" w:color="auto" w:fill="auto"/>
                  <w:vAlign w:val="center"/>
                </w:tcPr>
                <w:p>
                  <w:pPr>
                    <w:jc w:val="center"/>
                    <w:rPr>
                      <w:rFonts w:hint="eastAsia"/>
                      <w:szCs w:val="21"/>
                      <w:highlight w:val="none"/>
                      <w:lang w:val="en-US" w:eastAsia="zh-CN"/>
                    </w:rPr>
                  </w:pPr>
                  <w:r>
                    <w:rPr>
                      <w:rFonts w:hint="eastAsia"/>
                      <w:szCs w:val="21"/>
                      <w:highlight w:val="none"/>
                      <w:lang w:val="en-US" w:eastAsia="zh-CN"/>
                    </w:rPr>
                    <w:t>0.3125</w:t>
                  </w:r>
                </w:p>
              </w:tc>
              <w:tc>
                <w:tcPr>
                  <w:tcW w:w="770" w:type="pct"/>
                  <w:shd w:val="clear" w:color="auto" w:fill="auto"/>
                  <w:vAlign w:val="center"/>
                </w:tcPr>
                <w:p>
                  <w:pPr>
                    <w:jc w:val="center"/>
                    <w:rPr>
                      <w:rFonts w:hint="eastAsia"/>
                      <w:szCs w:val="21"/>
                      <w:highlight w:val="none"/>
                      <w:lang w:val="en-US" w:eastAsia="zh-CN"/>
                    </w:rPr>
                  </w:pPr>
                  <w:r>
                    <w:rPr>
                      <w:rFonts w:hint="eastAsia"/>
                      <w:szCs w:val="21"/>
                      <w:highlight w:val="none"/>
                      <w:lang w:val="en-US" w:eastAsia="zh-CN"/>
                    </w:rPr>
                    <w:t>0.00625</w:t>
                  </w:r>
                </w:p>
              </w:tc>
              <w:tc>
                <w:tcPr>
                  <w:tcW w:w="653" w:type="pct"/>
                  <w:shd w:val="clear" w:color="auto" w:fill="auto"/>
                  <w:vAlign w:val="center"/>
                </w:tcPr>
                <w:p>
                  <w:pPr>
                    <w:jc w:val="center"/>
                    <w:rPr>
                      <w:rFonts w:hint="eastAsia"/>
                      <w:szCs w:val="21"/>
                      <w:highlight w:val="none"/>
                      <w:lang w:val="en-US" w:eastAsia="zh-CN"/>
                    </w:rPr>
                  </w:pPr>
                  <w:r>
                    <w:rPr>
                      <w:rFonts w:hint="eastAsia"/>
                      <w:szCs w:val="21"/>
                      <w:highlight w:val="none"/>
                      <w:lang w:val="en-US" w:eastAsia="zh-CN"/>
                    </w:rPr>
                    <w:t>0.5</w:t>
                  </w:r>
                </w:p>
              </w:tc>
              <w:tc>
                <w:tcPr>
                  <w:tcW w:w="560" w:type="pct"/>
                  <w:shd w:val="clear" w:color="auto" w:fill="auto"/>
                  <w:vAlign w:val="center"/>
                </w:tcPr>
                <w:p>
                  <w:pPr>
                    <w:jc w:val="center"/>
                    <w:rPr>
                      <w:rFonts w:hint="eastAsia"/>
                      <w:szCs w:val="21"/>
                      <w:highlight w:val="none"/>
                      <w:lang w:val="en-US" w:eastAsia="zh-CN"/>
                    </w:rPr>
                  </w:pPr>
                  <w:r>
                    <w:rPr>
                      <w:rFonts w:hint="eastAsia"/>
                      <w:szCs w:val="21"/>
                      <w:highlight w:val="none"/>
                      <w:lang w:val="en-US" w:eastAsia="zh-CN"/>
                    </w:rPr>
                    <w:t>1</w:t>
                  </w:r>
                </w:p>
              </w:tc>
              <w:tc>
                <w:tcPr>
                  <w:tcW w:w="406" w:type="pct"/>
                  <w:shd w:val="clear" w:color="auto" w:fill="auto"/>
                  <w:vAlign w:val="center"/>
                </w:tcPr>
                <w:p>
                  <w:pPr>
                    <w:jc w:val="center"/>
                    <w:rPr>
                      <w:rFonts w:hint="eastAsia"/>
                      <w:szCs w:val="21"/>
                      <w:highlight w:val="none"/>
                      <w:lang w:val="en-US" w:eastAsia="zh-CN"/>
                    </w:rPr>
                  </w:pPr>
                  <w:r>
                    <w:rPr>
                      <w:rFonts w:hint="eastAsia"/>
                      <w:szCs w:val="21"/>
                      <w:highlight w:val="none"/>
                      <w:lang w:val="en-US" w:eastAsia="zh-CN"/>
                    </w:rPr>
                    <w:t>停产检修</w:t>
                  </w:r>
                </w:p>
              </w:tc>
            </w:tr>
          </w:tbl>
          <w:p>
            <w:pPr>
              <w:autoSpaceDE w:val="0"/>
              <w:autoSpaceDN w:val="0"/>
              <w:adjustRightInd w:val="0"/>
              <w:spacing w:line="360" w:lineRule="auto"/>
              <w:ind w:firstLine="480" w:firstLineChars="200"/>
              <w:jc w:val="left"/>
              <w:rPr>
                <w:rFonts w:hint="eastAsia"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根据上表，在非正常工况下，本项目废气排气筒非甲烷总烃排放仍能满足《大气污染物排放标准》（DB32/4041—2021）表2标准。但仍需要加大对环保设施日常巡检。</w:t>
            </w:r>
          </w:p>
          <w:p>
            <w:pPr>
              <w:autoSpaceDE w:val="0"/>
              <w:autoSpaceDN w:val="0"/>
              <w:adjustRightInd w:val="0"/>
              <w:spacing w:line="360" w:lineRule="auto"/>
              <w:ind w:firstLine="480" w:firstLineChars="200"/>
              <w:jc w:val="left"/>
              <w:rPr>
                <w:rFonts w:hint="eastAsia"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（2）非正常工况防范措施</w:t>
            </w:r>
          </w:p>
          <w:p>
            <w:pPr>
              <w:autoSpaceDE w:val="0"/>
              <w:autoSpaceDN w:val="0"/>
              <w:adjustRightInd w:val="0"/>
              <w:spacing w:line="360" w:lineRule="auto"/>
              <w:ind w:firstLine="480" w:firstLineChars="200"/>
              <w:jc w:val="left"/>
              <w:rPr>
                <w:rFonts w:hint="eastAsia"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为确保项目废气处理装置正常运行，建设方在日常运行过程中，建议采取如下措施：①由公司委派专人负责每日巡检废气处理装置，可配备便携式VOCs检测仪和压差计，每日检测废气排放浓度和处理装置进排气压力差，做好巡检记录并与之前的记录对照，若发现数据异常应立即停产并通报环保设备厂商对设备进行故障排查；②定期更换活性炭，确保在饱和前更换新的活性炭；③建立废气处理装置运行管理台账，由专人负责记录。</w:t>
            </w:r>
          </w:p>
          <w:p>
            <w:pPr>
              <w:autoSpaceDE w:val="0"/>
              <w:autoSpaceDN w:val="0"/>
              <w:adjustRightInd w:val="0"/>
              <w:spacing w:line="360" w:lineRule="auto"/>
              <w:ind w:firstLine="482" w:firstLineChars="200"/>
              <w:jc w:val="left"/>
              <w:rPr>
                <w:rFonts w:hint="eastAsia" w:cs="Times New Roman"/>
                <w:b/>
                <w:bCs/>
                <w:kern w:val="2"/>
                <w:sz w:val="24"/>
                <w:szCs w:val="24"/>
                <w:highlight w:val="none"/>
                <w:lang w:val="en-US" w:eastAsia="zh-CN" w:bidi="ar-SA"/>
              </w:rPr>
            </w:pPr>
            <w:r>
              <w:rPr>
                <w:rFonts w:hint="eastAsia" w:cs="Times New Roman"/>
                <w:b/>
                <w:bCs/>
                <w:kern w:val="2"/>
                <w:sz w:val="24"/>
                <w:szCs w:val="24"/>
                <w:highlight w:val="none"/>
                <w:lang w:val="en-US" w:eastAsia="zh-CN" w:bidi="ar-SA"/>
              </w:rPr>
              <w:t>（2）废气治理措施以及可行性分析</w:t>
            </w:r>
          </w:p>
          <w:p>
            <w:pPr>
              <w:autoSpaceDE w:val="0"/>
              <w:autoSpaceDN w:val="0"/>
              <w:adjustRightInd w:val="0"/>
              <w:spacing w:line="360" w:lineRule="auto"/>
              <w:ind w:firstLine="480" w:firstLineChars="200"/>
              <w:jc w:val="left"/>
              <w:rPr>
                <w:rFonts w:hint="eastAsia"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本项目有机废气废气属于排气量小，浓度较高的废气。本项目拟通过“二级活性炭吸附”装置处理，此法是利用孔隙十分丰富的活性炭吸附剂，当被吸附的物质通过活性炭时由于分子间的引力，吸附质粘到微孔内表面，从而使废气得到净化。最终处理达标的废气通过排气筒排放。</w:t>
            </w:r>
          </w:p>
          <w:p>
            <w:pPr>
              <w:autoSpaceDE w:val="0"/>
              <w:autoSpaceDN w:val="0"/>
              <w:adjustRightInd w:val="0"/>
              <w:spacing w:line="360" w:lineRule="auto"/>
              <w:ind w:firstLine="480" w:firstLineChars="200"/>
              <w:jc w:val="left"/>
              <w:rPr>
                <w:rFonts w:hint="eastAsia"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本项目设置1套“二级活性炭吸附装置”，活性炭吸附装置参数见下表。</w:t>
            </w:r>
          </w:p>
          <w:p>
            <w:pPr>
              <w:jc w:val="center"/>
              <w:rPr>
                <w:b/>
                <w:bCs/>
                <w:szCs w:val="21"/>
              </w:rPr>
            </w:pPr>
            <w:r>
              <w:rPr>
                <w:rFonts w:hint="default" w:ascii="Times New Roman" w:hAnsi="Times New Roman" w:cs="Times New Roman"/>
                <w:b/>
                <w:sz w:val="24"/>
                <w:szCs w:val="24"/>
              </w:rPr>
              <w:t>表4-</w:t>
            </w:r>
            <w:r>
              <w:rPr>
                <w:rFonts w:hint="eastAsia" w:cs="Times New Roman"/>
                <w:b/>
                <w:sz w:val="24"/>
                <w:szCs w:val="24"/>
                <w:lang w:val="en-US" w:eastAsia="zh-CN"/>
              </w:rPr>
              <w:t>5</w:t>
            </w:r>
            <w:r>
              <w:rPr>
                <w:rFonts w:hint="default" w:ascii="Times New Roman" w:hAnsi="Times New Roman" w:cs="Times New Roman"/>
                <w:b/>
                <w:sz w:val="24"/>
                <w:szCs w:val="24"/>
              </w:rPr>
              <w:t xml:space="preserve">  活性炭吸附装置参数</w:t>
            </w:r>
          </w:p>
          <w:tbl>
            <w:tblPr>
              <w:tblStyle w:val="22"/>
              <w:tblW w:w="5000" w:type="pct"/>
              <w:jc w:val="center"/>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
            <w:tblGrid>
              <w:gridCol w:w="3657"/>
              <w:gridCol w:w="2420"/>
              <w:gridCol w:w="2767"/>
            </w:tblGrid>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2068" w:type="pct"/>
                  <w:tcBorders>
                    <w:tl2br w:val="nil"/>
                    <w:tr2bl w:val="nil"/>
                  </w:tcBorders>
                  <w:vAlign w:val="center"/>
                </w:tcPr>
                <w:p>
                  <w:pPr>
                    <w:jc w:val="center"/>
                    <w:rPr>
                      <w:rFonts w:hint="eastAsia"/>
                      <w:b/>
                      <w:bCs/>
                      <w:szCs w:val="21"/>
                      <w:highlight w:val="none"/>
                      <w:lang w:val="en-US" w:eastAsia="zh-CN"/>
                    </w:rPr>
                  </w:pPr>
                  <w:r>
                    <w:rPr>
                      <w:rFonts w:hint="eastAsia"/>
                      <w:b/>
                      <w:bCs/>
                      <w:szCs w:val="21"/>
                      <w:highlight w:val="none"/>
                      <w:lang w:val="en-US" w:eastAsia="zh-CN"/>
                    </w:rPr>
                    <w:t>名称</w:t>
                  </w:r>
                </w:p>
              </w:tc>
              <w:tc>
                <w:tcPr>
                  <w:tcW w:w="1368" w:type="pct"/>
                  <w:tcBorders>
                    <w:tl2br w:val="nil"/>
                    <w:tr2bl w:val="nil"/>
                  </w:tcBorders>
                  <w:vAlign w:val="center"/>
                </w:tcPr>
                <w:p>
                  <w:pPr>
                    <w:jc w:val="center"/>
                    <w:rPr>
                      <w:rFonts w:hint="eastAsia"/>
                      <w:b/>
                      <w:bCs/>
                      <w:szCs w:val="21"/>
                      <w:highlight w:val="none"/>
                      <w:lang w:val="en-US" w:eastAsia="zh-CN"/>
                    </w:rPr>
                  </w:pPr>
                  <w:r>
                    <w:rPr>
                      <w:rFonts w:hint="eastAsia"/>
                      <w:b/>
                      <w:bCs/>
                      <w:szCs w:val="21"/>
                      <w:highlight w:val="none"/>
                      <w:lang w:val="en-US" w:eastAsia="zh-CN"/>
                    </w:rPr>
                    <w:t>单位</w:t>
                  </w:r>
                </w:p>
              </w:tc>
              <w:tc>
                <w:tcPr>
                  <w:tcW w:w="1564" w:type="pct"/>
                  <w:tcBorders>
                    <w:tl2br w:val="nil"/>
                    <w:tr2bl w:val="nil"/>
                  </w:tcBorders>
                  <w:vAlign w:val="center"/>
                </w:tcPr>
                <w:p>
                  <w:pPr>
                    <w:jc w:val="center"/>
                    <w:rPr>
                      <w:rFonts w:hint="eastAsia"/>
                      <w:b/>
                      <w:bCs/>
                      <w:szCs w:val="21"/>
                      <w:highlight w:val="none"/>
                      <w:lang w:val="en-US" w:eastAsia="zh-CN"/>
                    </w:rPr>
                  </w:pPr>
                  <w:r>
                    <w:rPr>
                      <w:rFonts w:hint="eastAsia"/>
                      <w:b/>
                      <w:bCs/>
                      <w:szCs w:val="21"/>
                      <w:highlight w:val="none"/>
                      <w:lang w:val="en-US" w:eastAsia="zh-CN"/>
                    </w:rPr>
                    <w:t>参数</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85" w:hRule="atLeast"/>
                <w:jc w:val="center"/>
              </w:trPr>
              <w:tc>
                <w:tcPr>
                  <w:tcW w:w="2068" w:type="pct"/>
                  <w:tcBorders>
                    <w:bottom w:val="single" w:color="auto" w:sz="4" w:space="0"/>
                    <w:tl2br w:val="nil"/>
                    <w:tr2bl w:val="nil"/>
                  </w:tcBorders>
                  <w:vAlign w:val="center"/>
                </w:tcPr>
                <w:p>
                  <w:pPr>
                    <w:jc w:val="center"/>
                    <w:rPr>
                      <w:rFonts w:hint="eastAsia"/>
                      <w:szCs w:val="21"/>
                      <w:highlight w:val="none"/>
                      <w:lang w:val="en-US" w:eastAsia="zh-CN"/>
                    </w:rPr>
                  </w:pPr>
                  <w:r>
                    <w:rPr>
                      <w:rFonts w:hint="eastAsia"/>
                      <w:szCs w:val="21"/>
                      <w:highlight w:val="none"/>
                      <w:lang w:val="en-US" w:eastAsia="zh-CN"/>
                    </w:rPr>
                    <w:t>处理风量</w:t>
                  </w:r>
                </w:p>
              </w:tc>
              <w:tc>
                <w:tcPr>
                  <w:tcW w:w="1368" w:type="pct"/>
                  <w:tcBorders>
                    <w:bottom w:val="single" w:color="auto" w:sz="4" w:space="0"/>
                    <w:tl2br w:val="nil"/>
                    <w:tr2bl w:val="nil"/>
                  </w:tcBorders>
                  <w:vAlign w:val="center"/>
                </w:tcPr>
                <w:p>
                  <w:pPr>
                    <w:jc w:val="center"/>
                    <w:rPr>
                      <w:rFonts w:hint="eastAsia"/>
                      <w:szCs w:val="21"/>
                      <w:highlight w:val="none"/>
                      <w:lang w:val="en-US" w:eastAsia="zh-CN"/>
                    </w:rPr>
                  </w:pPr>
                  <w:r>
                    <w:rPr>
                      <w:rFonts w:hint="eastAsia"/>
                      <w:szCs w:val="21"/>
                      <w:highlight w:val="none"/>
                      <w:lang w:val="en-US" w:eastAsia="zh-CN"/>
                    </w:rPr>
                    <w:t>Nm</w:t>
                  </w:r>
                  <w:r>
                    <w:rPr>
                      <w:rFonts w:hint="eastAsia"/>
                      <w:szCs w:val="21"/>
                      <w:highlight w:val="none"/>
                      <w:vertAlign w:val="superscript"/>
                      <w:lang w:val="en-US" w:eastAsia="zh-CN"/>
                    </w:rPr>
                    <w:t>3</w:t>
                  </w:r>
                  <w:r>
                    <w:rPr>
                      <w:rFonts w:hint="eastAsia"/>
                      <w:szCs w:val="21"/>
                      <w:highlight w:val="none"/>
                      <w:lang w:val="en-US" w:eastAsia="zh-CN"/>
                    </w:rPr>
                    <w:t>/h</w:t>
                  </w:r>
                </w:p>
              </w:tc>
              <w:tc>
                <w:tcPr>
                  <w:tcW w:w="1564" w:type="pct"/>
                  <w:tcBorders>
                    <w:bottom w:val="single" w:color="auto" w:sz="4" w:space="0"/>
                    <w:tl2br w:val="nil"/>
                    <w:tr2bl w:val="nil"/>
                  </w:tcBorders>
                  <w:vAlign w:val="center"/>
                </w:tcPr>
                <w:p>
                  <w:pPr>
                    <w:jc w:val="center"/>
                    <w:rPr>
                      <w:rFonts w:hint="eastAsia"/>
                      <w:szCs w:val="21"/>
                      <w:highlight w:val="none"/>
                      <w:lang w:val="en-US" w:eastAsia="zh-CN"/>
                    </w:rPr>
                  </w:pPr>
                  <w:r>
                    <w:rPr>
                      <w:rFonts w:hint="eastAsia"/>
                      <w:szCs w:val="21"/>
                      <w:highlight w:val="none"/>
                      <w:lang w:val="en-US" w:eastAsia="zh-CN"/>
                    </w:rPr>
                    <w:t>5000</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245" w:hRule="atLeast"/>
                <w:jc w:val="center"/>
              </w:trPr>
              <w:tc>
                <w:tcPr>
                  <w:tcW w:w="2068" w:type="pct"/>
                  <w:tcBorders>
                    <w:top w:val="single" w:color="auto" w:sz="4" w:space="0"/>
                    <w:tl2br w:val="nil"/>
                    <w:tr2bl w:val="nil"/>
                  </w:tcBorders>
                  <w:vAlign w:val="center"/>
                </w:tcPr>
                <w:p>
                  <w:pPr>
                    <w:jc w:val="center"/>
                    <w:rPr>
                      <w:rFonts w:hint="eastAsia"/>
                      <w:szCs w:val="21"/>
                      <w:highlight w:val="none"/>
                      <w:lang w:val="en-US" w:eastAsia="zh-CN"/>
                    </w:rPr>
                  </w:pPr>
                  <w:r>
                    <w:rPr>
                      <w:rFonts w:hint="eastAsia"/>
                      <w:szCs w:val="21"/>
                      <w:highlight w:val="none"/>
                      <w:lang w:val="en-US" w:eastAsia="zh-CN"/>
                    </w:rPr>
                    <w:t>活性炭形态</w:t>
                  </w:r>
                </w:p>
              </w:tc>
              <w:tc>
                <w:tcPr>
                  <w:tcW w:w="1368" w:type="pct"/>
                  <w:tcBorders>
                    <w:top w:val="single" w:color="auto" w:sz="4" w:space="0"/>
                    <w:tl2br w:val="nil"/>
                    <w:tr2bl w:val="nil"/>
                  </w:tcBorders>
                  <w:vAlign w:val="center"/>
                </w:tcPr>
                <w:p>
                  <w:pPr>
                    <w:jc w:val="center"/>
                    <w:rPr>
                      <w:rFonts w:hint="eastAsia"/>
                      <w:szCs w:val="21"/>
                      <w:highlight w:val="none"/>
                      <w:lang w:val="en-US" w:eastAsia="zh-CN"/>
                    </w:rPr>
                  </w:pPr>
                  <w:r>
                    <w:rPr>
                      <w:rFonts w:hint="eastAsia"/>
                      <w:szCs w:val="21"/>
                      <w:highlight w:val="none"/>
                      <w:lang w:val="en-US" w:eastAsia="zh-CN"/>
                    </w:rPr>
                    <w:t>/</w:t>
                  </w:r>
                </w:p>
              </w:tc>
              <w:tc>
                <w:tcPr>
                  <w:tcW w:w="1564" w:type="pct"/>
                  <w:tcBorders>
                    <w:top w:val="single" w:color="auto" w:sz="4" w:space="0"/>
                    <w:tl2br w:val="nil"/>
                    <w:tr2bl w:val="nil"/>
                  </w:tcBorders>
                  <w:vAlign w:val="center"/>
                </w:tcPr>
                <w:p>
                  <w:pPr>
                    <w:jc w:val="center"/>
                    <w:rPr>
                      <w:rFonts w:hint="eastAsia"/>
                      <w:szCs w:val="21"/>
                      <w:highlight w:val="none"/>
                      <w:lang w:val="en-US" w:eastAsia="zh-CN"/>
                    </w:rPr>
                  </w:pPr>
                  <w:r>
                    <w:rPr>
                      <w:rFonts w:hint="eastAsia"/>
                      <w:szCs w:val="21"/>
                      <w:highlight w:val="none"/>
                      <w:lang w:val="en-US" w:eastAsia="zh-CN"/>
                    </w:rPr>
                    <w:t>蜂窝活性炭</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05" w:hRule="atLeast"/>
                <w:jc w:val="center"/>
              </w:trPr>
              <w:tc>
                <w:tcPr>
                  <w:tcW w:w="2068" w:type="pct"/>
                  <w:tcBorders>
                    <w:top w:val="single" w:color="auto" w:sz="4" w:space="0"/>
                    <w:tl2br w:val="nil"/>
                    <w:tr2bl w:val="nil"/>
                  </w:tcBorders>
                  <w:vAlign w:val="center"/>
                </w:tcPr>
                <w:p>
                  <w:pPr>
                    <w:jc w:val="center"/>
                    <w:rPr>
                      <w:rFonts w:hint="eastAsia"/>
                      <w:szCs w:val="21"/>
                      <w:highlight w:val="none"/>
                      <w:lang w:val="en-US" w:eastAsia="zh-CN"/>
                    </w:rPr>
                  </w:pPr>
                  <w:r>
                    <w:rPr>
                      <w:rFonts w:hint="eastAsia"/>
                      <w:szCs w:val="21"/>
                      <w:highlight w:val="none"/>
                      <w:lang w:val="en-US" w:eastAsia="zh-CN"/>
                    </w:rPr>
                    <w:t>活性炭比表面积</w:t>
                  </w:r>
                </w:p>
              </w:tc>
              <w:tc>
                <w:tcPr>
                  <w:tcW w:w="1368" w:type="pct"/>
                  <w:tcBorders>
                    <w:top w:val="single" w:color="auto" w:sz="4" w:space="0"/>
                    <w:tl2br w:val="nil"/>
                    <w:tr2bl w:val="nil"/>
                  </w:tcBorders>
                  <w:vAlign w:val="center"/>
                </w:tcPr>
                <w:p>
                  <w:pPr>
                    <w:jc w:val="center"/>
                    <w:rPr>
                      <w:rFonts w:hint="eastAsia"/>
                      <w:szCs w:val="21"/>
                      <w:highlight w:val="none"/>
                      <w:lang w:val="en-US" w:eastAsia="zh-CN"/>
                    </w:rPr>
                  </w:pPr>
                  <w:r>
                    <w:rPr>
                      <w:rFonts w:hint="eastAsia"/>
                      <w:szCs w:val="21"/>
                      <w:highlight w:val="none"/>
                      <w:lang w:val="en-US" w:eastAsia="zh-CN"/>
                    </w:rPr>
                    <w:t>m</w:t>
                  </w:r>
                  <w:r>
                    <w:rPr>
                      <w:rFonts w:hint="eastAsia"/>
                      <w:szCs w:val="21"/>
                      <w:highlight w:val="none"/>
                      <w:vertAlign w:val="superscript"/>
                      <w:lang w:val="en-US" w:eastAsia="zh-CN"/>
                    </w:rPr>
                    <w:t>2</w:t>
                  </w:r>
                  <w:r>
                    <w:rPr>
                      <w:rFonts w:hint="eastAsia"/>
                      <w:szCs w:val="21"/>
                      <w:highlight w:val="none"/>
                      <w:lang w:val="en-US" w:eastAsia="zh-CN"/>
                    </w:rPr>
                    <w:t>/g</w:t>
                  </w:r>
                </w:p>
              </w:tc>
              <w:tc>
                <w:tcPr>
                  <w:tcW w:w="1564" w:type="pct"/>
                  <w:tcBorders>
                    <w:top w:val="single" w:color="auto" w:sz="4" w:space="0"/>
                    <w:tl2br w:val="nil"/>
                    <w:tr2bl w:val="nil"/>
                  </w:tcBorders>
                  <w:vAlign w:val="center"/>
                </w:tcPr>
                <w:p>
                  <w:pPr>
                    <w:jc w:val="center"/>
                    <w:rPr>
                      <w:rFonts w:hint="eastAsia"/>
                      <w:szCs w:val="21"/>
                      <w:highlight w:val="none"/>
                      <w:lang w:val="en-US" w:eastAsia="zh-CN"/>
                    </w:rPr>
                  </w:pPr>
                  <w:r>
                    <w:rPr>
                      <w:rFonts w:hint="eastAsia"/>
                      <w:szCs w:val="21"/>
                      <w:highlight w:val="none"/>
                      <w:lang w:val="en-US" w:eastAsia="zh-CN"/>
                    </w:rPr>
                    <w:t>700-1500</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245" w:hRule="atLeast"/>
                <w:jc w:val="center"/>
              </w:trPr>
              <w:tc>
                <w:tcPr>
                  <w:tcW w:w="2068" w:type="pct"/>
                  <w:tcBorders>
                    <w:top w:val="single" w:color="auto" w:sz="4" w:space="0"/>
                    <w:tl2br w:val="nil"/>
                    <w:tr2bl w:val="nil"/>
                  </w:tcBorders>
                  <w:vAlign w:val="center"/>
                </w:tcPr>
                <w:p>
                  <w:pPr>
                    <w:jc w:val="center"/>
                    <w:rPr>
                      <w:rFonts w:hint="eastAsia"/>
                      <w:szCs w:val="21"/>
                      <w:highlight w:val="none"/>
                      <w:lang w:val="en-US" w:eastAsia="zh-CN"/>
                    </w:rPr>
                  </w:pPr>
                  <w:r>
                    <w:rPr>
                      <w:rFonts w:hint="eastAsia"/>
                      <w:szCs w:val="21"/>
                      <w:highlight w:val="none"/>
                      <w:lang w:val="en-US" w:eastAsia="zh-CN"/>
                    </w:rPr>
                    <w:t>活性炭粒径</w:t>
                  </w:r>
                </w:p>
              </w:tc>
              <w:tc>
                <w:tcPr>
                  <w:tcW w:w="1368" w:type="pct"/>
                  <w:tcBorders>
                    <w:top w:val="single" w:color="auto" w:sz="4" w:space="0"/>
                    <w:tl2br w:val="nil"/>
                    <w:tr2bl w:val="nil"/>
                  </w:tcBorders>
                  <w:vAlign w:val="center"/>
                </w:tcPr>
                <w:p>
                  <w:pPr>
                    <w:jc w:val="center"/>
                    <w:rPr>
                      <w:rFonts w:hint="eastAsia"/>
                      <w:szCs w:val="21"/>
                      <w:highlight w:val="none"/>
                      <w:lang w:val="en-US" w:eastAsia="zh-CN"/>
                    </w:rPr>
                  </w:pPr>
                  <w:r>
                    <w:rPr>
                      <w:rFonts w:hint="eastAsia"/>
                      <w:szCs w:val="21"/>
                      <w:highlight w:val="none"/>
                      <w:lang w:val="en-US" w:eastAsia="zh-CN"/>
                    </w:rPr>
                    <w:t>nm</w:t>
                  </w:r>
                </w:p>
              </w:tc>
              <w:tc>
                <w:tcPr>
                  <w:tcW w:w="1564" w:type="pct"/>
                  <w:tcBorders>
                    <w:top w:val="single" w:color="auto" w:sz="4" w:space="0"/>
                    <w:tl2br w:val="nil"/>
                    <w:tr2bl w:val="nil"/>
                  </w:tcBorders>
                  <w:vAlign w:val="center"/>
                </w:tcPr>
                <w:p>
                  <w:pPr>
                    <w:jc w:val="center"/>
                    <w:rPr>
                      <w:rFonts w:hint="eastAsia"/>
                      <w:szCs w:val="21"/>
                      <w:highlight w:val="none"/>
                      <w:lang w:val="en-US" w:eastAsia="zh-CN"/>
                    </w:rPr>
                  </w:pPr>
                  <w:r>
                    <w:rPr>
                      <w:rFonts w:hint="eastAsia"/>
                      <w:szCs w:val="21"/>
                      <w:highlight w:val="none"/>
                      <w:lang w:val="en-US" w:eastAsia="zh-CN"/>
                    </w:rPr>
                    <w:t>＜5</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245" w:hRule="atLeast"/>
                <w:jc w:val="center"/>
              </w:trPr>
              <w:tc>
                <w:tcPr>
                  <w:tcW w:w="2068" w:type="pct"/>
                  <w:tcBorders>
                    <w:top w:val="single" w:color="auto" w:sz="4" w:space="0"/>
                    <w:tl2br w:val="nil"/>
                    <w:tr2bl w:val="nil"/>
                  </w:tcBorders>
                  <w:vAlign w:val="center"/>
                </w:tcPr>
                <w:p>
                  <w:pPr>
                    <w:jc w:val="center"/>
                    <w:rPr>
                      <w:rFonts w:hint="eastAsia"/>
                      <w:szCs w:val="21"/>
                      <w:highlight w:val="none"/>
                      <w:lang w:val="en-US" w:eastAsia="zh-CN"/>
                    </w:rPr>
                  </w:pPr>
                  <w:r>
                    <w:rPr>
                      <w:rFonts w:hint="eastAsia"/>
                      <w:szCs w:val="21"/>
                      <w:highlight w:val="none"/>
                      <w:lang w:val="en-US" w:eastAsia="zh-CN"/>
                    </w:rPr>
                    <w:t>活性炭碘值</w:t>
                  </w:r>
                </w:p>
              </w:tc>
              <w:tc>
                <w:tcPr>
                  <w:tcW w:w="1368" w:type="pct"/>
                  <w:tcBorders>
                    <w:top w:val="single" w:color="auto" w:sz="4" w:space="0"/>
                    <w:tl2br w:val="nil"/>
                    <w:tr2bl w:val="nil"/>
                  </w:tcBorders>
                  <w:vAlign w:val="center"/>
                </w:tcPr>
                <w:p>
                  <w:pPr>
                    <w:jc w:val="center"/>
                    <w:rPr>
                      <w:rFonts w:hint="eastAsia"/>
                      <w:szCs w:val="21"/>
                      <w:highlight w:val="none"/>
                      <w:lang w:val="en-US" w:eastAsia="zh-CN"/>
                    </w:rPr>
                  </w:pPr>
                  <w:r>
                    <w:rPr>
                      <w:rFonts w:hint="eastAsia"/>
                      <w:szCs w:val="21"/>
                      <w:highlight w:val="none"/>
                      <w:lang w:val="en-US" w:eastAsia="zh-CN"/>
                    </w:rPr>
                    <w:t>mg/g</w:t>
                  </w:r>
                </w:p>
              </w:tc>
              <w:tc>
                <w:tcPr>
                  <w:tcW w:w="1564" w:type="pct"/>
                  <w:tcBorders>
                    <w:top w:val="single" w:color="auto" w:sz="4" w:space="0"/>
                    <w:tl2br w:val="nil"/>
                    <w:tr2bl w:val="nil"/>
                  </w:tcBorders>
                  <w:vAlign w:val="center"/>
                </w:tcPr>
                <w:p>
                  <w:pPr>
                    <w:jc w:val="center"/>
                    <w:rPr>
                      <w:rFonts w:hint="eastAsia"/>
                      <w:szCs w:val="21"/>
                      <w:highlight w:val="none"/>
                      <w:lang w:val="en-US" w:eastAsia="zh-CN"/>
                    </w:rPr>
                  </w:pPr>
                  <w:r>
                    <w:rPr>
                      <w:rFonts w:hint="eastAsia"/>
                      <w:szCs w:val="21"/>
                      <w:highlight w:val="none"/>
                      <w:lang w:val="en-US" w:eastAsia="zh-CN"/>
                    </w:rPr>
                    <w:t>≥800</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245" w:hRule="atLeast"/>
                <w:jc w:val="center"/>
              </w:trPr>
              <w:tc>
                <w:tcPr>
                  <w:tcW w:w="2068" w:type="pct"/>
                  <w:tcBorders>
                    <w:top w:val="single" w:color="auto" w:sz="4" w:space="0"/>
                    <w:tl2br w:val="nil"/>
                    <w:tr2bl w:val="nil"/>
                  </w:tcBorders>
                  <w:vAlign w:val="center"/>
                </w:tcPr>
                <w:p>
                  <w:pPr>
                    <w:jc w:val="center"/>
                    <w:rPr>
                      <w:rFonts w:hint="eastAsia"/>
                      <w:szCs w:val="21"/>
                      <w:highlight w:val="none"/>
                      <w:lang w:val="en-US" w:eastAsia="zh-CN"/>
                    </w:rPr>
                  </w:pPr>
                  <w:r>
                    <w:rPr>
                      <w:rFonts w:hint="eastAsia"/>
                      <w:szCs w:val="21"/>
                      <w:highlight w:val="none"/>
                      <w:lang w:val="en-US" w:eastAsia="zh-CN"/>
                    </w:rPr>
                    <w:t>活性炭灰分</w:t>
                  </w:r>
                </w:p>
              </w:tc>
              <w:tc>
                <w:tcPr>
                  <w:tcW w:w="1368" w:type="pct"/>
                  <w:tcBorders>
                    <w:top w:val="single" w:color="auto" w:sz="4" w:space="0"/>
                    <w:tl2br w:val="nil"/>
                    <w:tr2bl w:val="nil"/>
                  </w:tcBorders>
                  <w:vAlign w:val="center"/>
                </w:tcPr>
                <w:p>
                  <w:pPr>
                    <w:jc w:val="center"/>
                    <w:rPr>
                      <w:rFonts w:hint="eastAsia"/>
                      <w:szCs w:val="21"/>
                      <w:highlight w:val="none"/>
                      <w:lang w:val="en-US" w:eastAsia="zh-CN"/>
                    </w:rPr>
                  </w:pPr>
                  <w:r>
                    <w:rPr>
                      <w:rFonts w:hint="eastAsia"/>
                      <w:szCs w:val="21"/>
                      <w:highlight w:val="none"/>
                      <w:lang w:val="en-US" w:eastAsia="zh-CN"/>
                    </w:rPr>
                    <w:t>%</w:t>
                  </w:r>
                </w:p>
              </w:tc>
              <w:tc>
                <w:tcPr>
                  <w:tcW w:w="1564" w:type="pct"/>
                  <w:tcBorders>
                    <w:top w:val="single" w:color="auto" w:sz="4" w:space="0"/>
                    <w:tl2br w:val="nil"/>
                    <w:tr2bl w:val="nil"/>
                  </w:tcBorders>
                  <w:vAlign w:val="center"/>
                </w:tcPr>
                <w:p>
                  <w:pPr>
                    <w:jc w:val="center"/>
                    <w:rPr>
                      <w:rFonts w:hint="eastAsia"/>
                      <w:szCs w:val="21"/>
                      <w:highlight w:val="none"/>
                      <w:lang w:val="en-US" w:eastAsia="zh-CN"/>
                    </w:rPr>
                  </w:pPr>
                  <w:r>
                    <w:rPr>
                      <w:rFonts w:hint="eastAsia"/>
                      <w:szCs w:val="21"/>
                      <w:highlight w:val="none"/>
                      <w:lang w:val="en-US" w:eastAsia="zh-CN"/>
                    </w:rPr>
                    <w:t>≤10</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245" w:hRule="atLeast"/>
                <w:jc w:val="center"/>
              </w:trPr>
              <w:tc>
                <w:tcPr>
                  <w:tcW w:w="2068" w:type="pct"/>
                  <w:tcBorders>
                    <w:top w:val="single" w:color="auto" w:sz="4" w:space="0"/>
                    <w:tl2br w:val="nil"/>
                    <w:tr2bl w:val="nil"/>
                  </w:tcBorders>
                  <w:vAlign w:val="center"/>
                </w:tcPr>
                <w:p>
                  <w:pPr>
                    <w:jc w:val="center"/>
                    <w:rPr>
                      <w:rFonts w:hint="eastAsia"/>
                      <w:szCs w:val="21"/>
                      <w:highlight w:val="none"/>
                      <w:lang w:val="en-US" w:eastAsia="zh-CN"/>
                    </w:rPr>
                  </w:pPr>
                  <w:r>
                    <w:rPr>
                      <w:rFonts w:hint="eastAsia"/>
                      <w:szCs w:val="21"/>
                      <w:highlight w:val="none"/>
                      <w:lang w:val="en-US" w:eastAsia="zh-CN"/>
                    </w:rPr>
                    <w:t>活性炭水份</w:t>
                  </w:r>
                </w:p>
              </w:tc>
              <w:tc>
                <w:tcPr>
                  <w:tcW w:w="1368" w:type="pct"/>
                  <w:tcBorders>
                    <w:top w:val="single" w:color="auto" w:sz="4" w:space="0"/>
                    <w:tl2br w:val="nil"/>
                    <w:tr2bl w:val="nil"/>
                  </w:tcBorders>
                  <w:vAlign w:val="center"/>
                </w:tcPr>
                <w:p>
                  <w:pPr>
                    <w:jc w:val="center"/>
                    <w:rPr>
                      <w:rFonts w:hint="eastAsia"/>
                      <w:szCs w:val="21"/>
                      <w:highlight w:val="none"/>
                      <w:lang w:val="en-US" w:eastAsia="zh-CN"/>
                    </w:rPr>
                  </w:pPr>
                  <w:r>
                    <w:rPr>
                      <w:rFonts w:hint="eastAsia"/>
                      <w:szCs w:val="21"/>
                      <w:highlight w:val="none"/>
                      <w:lang w:val="en-US" w:eastAsia="zh-CN"/>
                    </w:rPr>
                    <w:t>%</w:t>
                  </w:r>
                </w:p>
              </w:tc>
              <w:tc>
                <w:tcPr>
                  <w:tcW w:w="1564" w:type="pct"/>
                  <w:tcBorders>
                    <w:top w:val="single" w:color="auto" w:sz="4" w:space="0"/>
                    <w:tl2br w:val="nil"/>
                    <w:tr2bl w:val="nil"/>
                  </w:tcBorders>
                  <w:vAlign w:val="center"/>
                </w:tcPr>
                <w:p>
                  <w:pPr>
                    <w:jc w:val="center"/>
                    <w:rPr>
                      <w:rFonts w:hint="eastAsia"/>
                      <w:szCs w:val="21"/>
                      <w:highlight w:val="none"/>
                      <w:lang w:val="en-US" w:eastAsia="zh-CN"/>
                    </w:rPr>
                  </w:pPr>
                  <w:r>
                    <w:rPr>
                      <w:rFonts w:hint="eastAsia"/>
                      <w:szCs w:val="21"/>
                      <w:highlight w:val="none"/>
                      <w:lang w:val="en-US" w:eastAsia="zh-CN"/>
                    </w:rPr>
                    <w:t>≤5</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2068" w:type="pct"/>
                  <w:tcBorders>
                    <w:tl2br w:val="nil"/>
                    <w:tr2bl w:val="nil"/>
                  </w:tcBorders>
                  <w:vAlign w:val="center"/>
                </w:tcPr>
                <w:p>
                  <w:pPr>
                    <w:jc w:val="center"/>
                    <w:rPr>
                      <w:rFonts w:hint="eastAsia"/>
                      <w:szCs w:val="21"/>
                      <w:highlight w:val="none"/>
                      <w:lang w:val="en-US" w:eastAsia="zh-CN"/>
                    </w:rPr>
                  </w:pPr>
                  <w:r>
                    <w:rPr>
                      <w:rFonts w:hint="eastAsia"/>
                      <w:szCs w:val="21"/>
                      <w:highlight w:val="none"/>
                      <w:lang w:val="en-US" w:eastAsia="zh-CN"/>
                    </w:rPr>
                    <w:t>空塔截面流速</w:t>
                  </w:r>
                </w:p>
              </w:tc>
              <w:tc>
                <w:tcPr>
                  <w:tcW w:w="1368" w:type="pct"/>
                  <w:tcBorders>
                    <w:tl2br w:val="nil"/>
                    <w:tr2bl w:val="nil"/>
                  </w:tcBorders>
                  <w:vAlign w:val="center"/>
                </w:tcPr>
                <w:p>
                  <w:pPr>
                    <w:jc w:val="center"/>
                    <w:rPr>
                      <w:rFonts w:hint="eastAsia"/>
                      <w:szCs w:val="21"/>
                      <w:highlight w:val="none"/>
                      <w:lang w:val="en-US" w:eastAsia="zh-CN"/>
                    </w:rPr>
                  </w:pPr>
                  <w:r>
                    <w:rPr>
                      <w:rFonts w:hint="eastAsia"/>
                      <w:szCs w:val="21"/>
                      <w:highlight w:val="none"/>
                      <w:lang w:val="en-US" w:eastAsia="zh-CN"/>
                    </w:rPr>
                    <w:t>m/s</w:t>
                  </w:r>
                </w:p>
              </w:tc>
              <w:tc>
                <w:tcPr>
                  <w:tcW w:w="1564" w:type="pct"/>
                  <w:tcBorders>
                    <w:tl2br w:val="nil"/>
                    <w:tr2bl w:val="nil"/>
                  </w:tcBorders>
                  <w:vAlign w:val="center"/>
                </w:tcPr>
                <w:p>
                  <w:pPr>
                    <w:jc w:val="center"/>
                    <w:rPr>
                      <w:rFonts w:hint="eastAsia"/>
                      <w:szCs w:val="21"/>
                      <w:highlight w:val="none"/>
                      <w:lang w:val="en-US" w:eastAsia="zh-CN"/>
                    </w:rPr>
                  </w:pPr>
                  <w:r>
                    <w:rPr>
                      <w:rFonts w:hint="eastAsia"/>
                      <w:szCs w:val="21"/>
                      <w:highlight w:val="none"/>
                      <w:lang w:val="en-US" w:eastAsia="zh-CN"/>
                    </w:rPr>
                    <w:t>0.5</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2068" w:type="pct"/>
                  <w:tcBorders>
                    <w:tl2br w:val="nil"/>
                    <w:tr2bl w:val="nil"/>
                  </w:tcBorders>
                  <w:vAlign w:val="center"/>
                </w:tcPr>
                <w:p>
                  <w:pPr>
                    <w:jc w:val="center"/>
                    <w:rPr>
                      <w:rFonts w:hint="eastAsia"/>
                      <w:szCs w:val="21"/>
                      <w:highlight w:val="none"/>
                      <w:lang w:val="en-US" w:eastAsia="zh-CN"/>
                    </w:rPr>
                  </w:pPr>
                  <w:r>
                    <w:rPr>
                      <w:rFonts w:hint="eastAsia"/>
                      <w:szCs w:val="21"/>
                      <w:highlight w:val="none"/>
                      <w:lang w:val="en-US" w:eastAsia="zh-CN"/>
                    </w:rPr>
                    <w:t>活性炭堆积密度</w:t>
                  </w:r>
                </w:p>
              </w:tc>
              <w:tc>
                <w:tcPr>
                  <w:tcW w:w="1368" w:type="pct"/>
                  <w:tcBorders>
                    <w:tl2br w:val="nil"/>
                    <w:tr2bl w:val="nil"/>
                  </w:tcBorders>
                  <w:vAlign w:val="center"/>
                </w:tcPr>
                <w:p>
                  <w:pPr>
                    <w:jc w:val="center"/>
                    <w:rPr>
                      <w:rFonts w:hint="eastAsia"/>
                      <w:szCs w:val="21"/>
                      <w:highlight w:val="none"/>
                      <w:lang w:val="en-US" w:eastAsia="zh-CN"/>
                    </w:rPr>
                  </w:pPr>
                  <w:r>
                    <w:rPr>
                      <w:rFonts w:hint="eastAsia"/>
                      <w:szCs w:val="21"/>
                      <w:highlight w:val="none"/>
                      <w:lang w:val="en-US" w:eastAsia="zh-CN"/>
                    </w:rPr>
                    <w:t>kg/m</w:t>
                  </w:r>
                  <w:r>
                    <w:rPr>
                      <w:rFonts w:hint="eastAsia"/>
                      <w:szCs w:val="21"/>
                      <w:highlight w:val="none"/>
                      <w:vertAlign w:val="superscript"/>
                      <w:lang w:val="en-US" w:eastAsia="zh-CN"/>
                    </w:rPr>
                    <w:t>3</w:t>
                  </w:r>
                </w:p>
              </w:tc>
              <w:tc>
                <w:tcPr>
                  <w:tcW w:w="1564" w:type="pct"/>
                  <w:tcBorders>
                    <w:tl2br w:val="nil"/>
                    <w:tr2bl w:val="nil"/>
                  </w:tcBorders>
                  <w:vAlign w:val="center"/>
                </w:tcPr>
                <w:p>
                  <w:pPr>
                    <w:jc w:val="center"/>
                    <w:rPr>
                      <w:rFonts w:hint="eastAsia"/>
                      <w:szCs w:val="21"/>
                      <w:highlight w:val="none"/>
                      <w:lang w:val="en-US" w:eastAsia="zh-CN"/>
                    </w:rPr>
                  </w:pPr>
                  <w:r>
                    <w:rPr>
                      <w:rFonts w:hint="eastAsia"/>
                      <w:szCs w:val="21"/>
                      <w:highlight w:val="none"/>
                      <w:lang w:val="en-US" w:eastAsia="zh-CN"/>
                    </w:rPr>
                    <w:t>560</w:t>
                  </w:r>
                </w:p>
              </w:tc>
            </w:tr>
          </w:tbl>
          <w:p>
            <w:pPr>
              <w:autoSpaceDE w:val="0"/>
              <w:autoSpaceDN w:val="0"/>
              <w:adjustRightInd w:val="0"/>
              <w:spacing w:line="360" w:lineRule="auto"/>
              <w:ind w:firstLine="480" w:firstLineChars="200"/>
              <w:jc w:val="left"/>
              <w:rPr>
                <w:rFonts w:hint="eastAsia"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本次二级活性炭吸附装置，由引风风机、活性炭箱等组成。根据相关数据，每吨活性炭吸附200-400kg有机废气（本环评取300kg），本项目共吸附废气为2.3t/a，则需活性炭量为8吨，产生废活性炭约10.5t/a。</w:t>
            </w:r>
          </w:p>
          <w:p>
            <w:pPr>
              <w:autoSpaceDE w:val="0"/>
              <w:autoSpaceDN w:val="0"/>
              <w:adjustRightInd w:val="0"/>
              <w:spacing w:line="360" w:lineRule="auto"/>
              <w:ind w:firstLine="480" w:firstLineChars="200"/>
              <w:jc w:val="left"/>
              <w:rPr>
                <w:rFonts w:hint="eastAsia"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根据表4-2，二级活性炭吸附效率能达到90%。本吸附装置装填密度约为0.5g/cm</w:t>
            </w:r>
            <w:r>
              <w:rPr>
                <w:rFonts w:hint="eastAsia" w:cs="Times New Roman"/>
                <w:b w:val="0"/>
                <w:bCs w:val="0"/>
                <w:kern w:val="2"/>
                <w:sz w:val="24"/>
                <w:szCs w:val="24"/>
                <w:highlight w:val="none"/>
                <w:vertAlign w:val="superscript"/>
                <w:lang w:val="en-US" w:eastAsia="zh-CN" w:bidi="ar-SA"/>
              </w:rPr>
              <w:t>3</w:t>
            </w:r>
            <w:r>
              <w:rPr>
                <w:rFonts w:hint="eastAsia" w:cs="Times New Roman"/>
                <w:b w:val="0"/>
                <w:bCs w:val="0"/>
                <w:kern w:val="2"/>
                <w:sz w:val="24"/>
                <w:szCs w:val="24"/>
                <w:highlight w:val="none"/>
                <w:lang w:val="en-US" w:eastAsia="zh-CN" w:bidi="ar-SA"/>
              </w:rPr>
              <w:t>，活性炭吸附器尺寸分别为2000mm×1100mm×1300mm，采用侧面进气方式，废气进口温度为常温。本项目产生的废气为低浓度、废气量小，因此能保证二级活性炭吸附装置对有机废气的吸收。处理后产生的废活性炭委托有资质单位进行焚烧处置，满足《江苏省重点行业挥发性有机物控制指南》（苏环办[2014]128号）的相关要求。</w:t>
            </w:r>
          </w:p>
          <w:p>
            <w:pPr>
              <w:autoSpaceDE w:val="0"/>
              <w:autoSpaceDN w:val="0"/>
              <w:adjustRightInd w:val="0"/>
              <w:spacing w:line="360" w:lineRule="auto"/>
              <w:ind w:firstLine="480" w:firstLineChars="200"/>
              <w:jc w:val="left"/>
              <w:rPr>
                <w:rFonts w:hint="eastAsia"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综上分析，本项目活性炭吸附装置设计参数满足《吸附法工业有机废气治理工程技术规范》（HJ2026-2013）中要求。本项目吸附处理的有机废气为非甲烷总烃，活性炭对其处理效率较好，在设施正常运行的条件下，其治理效率是有保证的。</w:t>
            </w:r>
          </w:p>
          <w:p>
            <w:pPr>
              <w:autoSpaceDE w:val="0"/>
              <w:autoSpaceDN w:val="0"/>
              <w:adjustRightInd w:val="0"/>
              <w:spacing w:line="360" w:lineRule="auto"/>
              <w:ind w:firstLine="480" w:firstLineChars="200"/>
              <w:jc w:val="left"/>
              <w:rPr>
                <w:rFonts w:hint="default" w:cs="Times New Roman"/>
                <w:b w:val="0"/>
                <w:bCs w:val="0"/>
                <w:kern w:val="2"/>
                <w:sz w:val="24"/>
                <w:szCs w:val="24"/>
                <w:highlight w:val="none"/>
                <w:lang w:val="en-US" w:eastAsia="zh-CN" w:bidi="ar-SA"/>
              </w:rPr>
            </w:pPr>
            <w:r>
              <w:rPr>
                <w:rFonts w:hint="default" w:cs="Times New Roman"/>
                <w:b w:val="0"/>
                <w:bCs w:val="0"/>
                <w:kern w:val="2"/>
                <w:sz w:val="24"/>
                <w:szCs w:val="24"/>
                <w:highlight w:val="none"/>
                <w:lang w:val="en-US" w:eastAsia="zh-CN" w:bidi="ar-SA"/>
              </w:rPr>
              <w:t>更换周期：根据计算项目方活性炭</w:t>
            </w:r>
            <w:r>
              <w:rPr>
                <w:rFonts w:hint="eastAsia" w:cs="Times New Roman"/>
                <w:b w:val="0"/>
                <w:bCs w:val="0"/>
                <w:kern w:val="2"/>
                <w:sz w:val="24"/>
                <w:szCs w:val="24"/>
                <w:highlight w:val="none"/>
                <w:lang w:val="en-US" w:eastAsia="zh-CN" w:bidi="ar-SA"/>
              </w:rPr>
              <w:t>三个月</w:t>
            </w:r>
            <w:r>
              <w:rPr>
                <w:rFonts w:hint="default" w:cs="Times New Roman"/>
                <w:b w:val="0"/>
                <w:bCs w:val="0"/>
                <w:kern w:val="2"/>
                <w:sz w:val="24"/>
                <w:szCs w:val="24"/>
                <w:highlight w:val="none"/>
                <w:lang w:val="en-US" w:eastAsia="zh-CN" w:bidi="ar-SA"/>
              </w:rPr>
              <w:t>更换一次，以免活性炭失效。最终更换方案需根据活性炭吸附器的使用情况确定，更换下来的废活性炭委托有资质的单位处理。废气经活性炭吸附处理可达标排放</w:t>
            </w:r>
            <w:r>
              <w:rPr>
                <w:rFonts w:hint="eastAsia" w:cs="Times New Roman"/>
                <w:b w:val="0"/>
                <w:bCs w:val="0"/>
                <w:kern w:val="2"/>
                <w:sz w:val="24"/>
                <w:szCs w:val="24"/>
                <w:highlight w:val="none"/>
                <w:lang w:val="en-US" w:eastAsia="zh-CN" w:bidi="ar-SA"/>
              </w:rPr>
              <w:t>。</w:t>
            </w:r>
          </w:p>
          <w:p>
            <w:pPr>
              <w:autoSpaceDE w:val="0"/>
              <w:autoSpaceDN w:val="0"/>
              <w:adjustRightInd w:val="0"/>
              <w:spacing w:line="360" w:lineRule="auto"/>
              <w:ind w:firstLine="482" w:firstLineChars="200"/>
              <w:jc w:val="left"/>
              <w:rPr>
                <w:rFonts w:hint="eastAsia" w:cs="Times New Roman"/>
                <w:b/>
                <w:bCs/>
                <w:kern w:val="2"/>
                <w:sz w:val="24"/>
                <w:szCs w:val="24"/>
                <w:highlight w:val="none"/>
                <w:lang w:val="en-US" w:eastAsia="zh-CN" w:bidi="ar-SA"/>
              </w:rPr>
            </w:pPr>
            <w:r>
              <w:rPr>
                <w:rFonts w:hint="eastAsia" w:cs="Times New Roman"/>
                <w:b/>
                <w:bCs/>
                <w:kern w:val="2"/>
                <w:sz w:val="24"/>
                <w:szCs w:val="24"/>
                <w:highlight w:val="none"/>
                <w:lang w:val="en-US" w:eastAsia="zh-CN" w:bidi="ar-SA"/>
              </w:rPr>
              <w:t>（3）废气排放对环境的影响</w:t>
            </w:r>
          </w:p>
          <w:p>
            <w:pPr>
              <w:spacing w:line="360" w:lineRule="auto"/>
              <w:ind w:firstLine="420" w:firstLineChars="200"/>
              <w:rPr>
                <w:b/>
                <w:bCs/>
                <w:sz w:val="24"/>
                <w:highlight w:val="yellow"/>
              </w:rPr>
            </w:pPr>
            <w:r>
              <w:rPr>
                <w:color w:val="FF0000"/>
                <w:szCs w:val="21"/>
                <w:highlight w:val="yellow"/>
              </w:rPr>
              <w:t>根据表可知，项目废气污染物经净化处理后可实现达标排放，且项目周边</w:t>
            </w:r>
            <w:r>
              <w:rPr>
                <w:rFonts w:hint="eastAsia"/>
                <w:color w:val="FF0000"/>
                <w:szCs w:val="21"/>
                <w:highlight w:val="yellow"/>
              </w:rPr>
              <w:t>3</w:t>
            </w:r>
            <w:r>
              <w:rPr>
                <w:color w:val="FF0000"/>
                <w:szCs w:val="21"/>
                <w:highlight w:val="yellow"/>
              </w:rPr>
              <w:t>00</w:t>
            </w:r>
            <w:r>
              <w:rPr>
                <w:rFonts w:hint="eastAsia"/>
                <w:color w:val="FF0000"/>
                <w:szCs w:val="21"/>
                <w:highlight w:val="yellow"/>
              </w:rPr>
              <w:t>m</w:t>
            </w:r>
            <w:r>
              <w:rPr>
                <w:color w:val="FF0000"/>
                <w:szCs w:val="21"/>
                <w:highlight w:val="yellow"/>
              </w:rPr>
              <w:t>范围内不涉及环境敏感目标，项目废气环境影响较小，</w:t>
            </w:r>
            <w:r>
              <w:rPr>
                <w:rFonts w:hint="eastAsia"/>
                <w:color w:val="FF0000"/>
                <w:szCs w:val="21"/>
                <w:highlight w:val="yellow"/>
              </w:rPr>
              <w:t>布袋除尘以及</w:t>
            </w:r>
            <w:r>
              <w:rPr>
                <w:color w:val="FF0000"/>
                <w:szCs w:val="21"/>
                <w:highlight w:val="yellow"/>
              </w:rPr>
              <w:t>活性炭吸附工艺为应用广泛的常见废气处理技术，工艺成熟可行，具备可行性。</w:t>
            </w:r>
          </w:p>
          <w:p>
            <w:pPr>
              <w:spacing w:line="360" w:lineRule="auto"/>
              <w:ind w:firstLine="482" w:firstLineChars="200"/>
              <w:rPr>
                <w:b/>
                <w:bCs/>
                <w:sz w:val="24"/>
                <w:highlight w:val="none"/>
              </w:rPr>
            </w:pPr>
            <w:r>
              <w:rPr>
                <w:b/>
                <w:bCs/>
                <w:sz w:val="24"/>
                <w:highlight w:val="none"/>
              </w:rPr>
              <w:t>2、废水</w:t>
            </w:r>
          </w:p>
          <w:p>
            <w:pPr>
              <w:spacing w:line="360" w:lineRule="auto"/>
              <w:ind w:firstLine="482" w:firstLineChars="200"/>
              <w:rPr>
                <w:b/>
                <w:bCs/>
                <w:sz w:val="24"/>
                <w:highlight w:val="none"/>
              </w:rPr>
            </w:pPr>
            <w:r>
              <w:rPr>
                <w:b/>
                <w:bCs/>
                <w:sz w:val="24"/>
                <w:highlight w:val="none"/>
              </w:rPr>
              <w:t>（1）废水产排情况</w:t>
            </w:r>
          </w:p>
          <w:p>
            <w:pPr>
              <w:autoSpaceDE w:val="0"/>
              <w:autoSpaceDN w:val="0"/>
              <w:adjustRightInd w:val="0"/>
              <w:spacing w:line="360" w:lineRule="auto"/>
              <w:ind w:firstLine="480" w:firstLineChars="200"/>
              <w:jc w:val="left"/>
              <w:rPr>
                <w:kern w:val="0"/>
                <w:sz w:val="24"/>
                <w:highlight w:val="none"/>
              </w:rPr>
            </w:pPr>
            <w:r>
              <w:rPr>
                <w:rFonts w:hint="eastAsia"/>
                <w:kern w:val="0"/>
                <w:sz w:val="24"/>
                <w:highlight w:val="none"/>
              </w:rPr>
              <w:t>本项目运营期用水主要为职工生活用水</w:t>
            </w:r>
            <w:r>
              <w:rPr>
                <w:rFonts w:hint="eastAsia"/>
                <w:kern w:val="0"/>
                <w:sz w:val="24"/>
                <w:highlight w:val="none"/>
                <w:lang w:eastAsia="zh-CN"/>
              </w:rPr>
              <w:t>和</w:t>
            </w:r>
            <w:r>
              <w:rPr>
                <w:rFonts w:hint="eastAsia"/>
                <w:kern w:val="0"/>
                <w:sz w:val="24"/>
                <w:highlight w:val="none"/>
              </w:rPr>
              <w:t>冷却</w:t>
            </w:r>
            <w:r>
              <w:rPr>
                <w:rFonts w:hint="eastAsia"/>
                <w:kern w:val="0"/>
                <w:sz w:val="24"/>
                <w:highlight w:val="none"/>
                <w:lang w:eastAsia="zh-CN"/>
              </w:rPr>
              <w:t>废</w:t>
            </w:r>
            <w:r>
              <w:rPr>
                <w:rFonts w:hint="eastAsia"/>
                <w:kern w:val="0"/>
                <w:sz w:val="24"/>
                <w:highlight w:val="none"/>
              </w:rPr>
              <w:t>水。</w:t>
            </w:r>
          </w:p>
          <w:p>
            <w:pPr>
              <w:autoSpaceDE w:val="0"/>
              <w:autoSpaceDN w:val="0"/>
              <w:adjustRightInd w:val="0"/>
              <w:spacing w:line="360" w:lineRule="auto"/>
              <w:ind w:firstLine="480" w:firstLineChars="200"/>
              <w:jc w:val="left"/>
              <w:rPr>
                <w:rFonts w:hint="eastAsia"/>
                <w:kern w:val="0"/>
                <w:sz w:val="24"/>
                <w:highlight w:val="none"/>
              </w:rPr>
            </w:pPr>
            <w:r>
              <w:rPr>
                <w:rFonts w:hint="eastAsia"/>
                <w:kern w:val="0"/>
                <w:sz w:val="24"/>
                <w:highlight w:val="none"/>
              </w:rPr>
              <w:t>①生活污水</w:t>
            </w:r>
          </w:p>
          <w:p>
            <w:pPr>
              <w:autoSpaceDE w:val="0"/>
              <w:autoSpaceDN w:val="0"/>
              <w:adjustRightInd w:val="0"/>
              <w:spacing w:line="360" w:lineRule="auto"/>
              <w:ind w:firstLine="480" w:firstLineChars="200"/>
              <w:jc w:val="left"/>
              <w:rPr>
                <w:kern w:val="0"/>
                <w:sz w:val="24"/>
                <w:highlight w:val="none"/>
              </w:rPr>
            </w:pPr>
            <w:r>
              <w:rPr>
                <w:rFonts w:hint="eastAsia"/>
                <w:kern w:val="0"/>
                <w:sz w:val="24"/>
                <w:highlight w:val="none"/>
              </w:rPr>
              <w:t>本次项目员工</w:t>
            </w:r>
            <w:r>
              <w:rPr>
                <w:rFonts w:hint="eastAsia"/>
                <w:kern w:val="0"/>
                <w:sz w:val="24"/>
                <w:highlight w:val="none"/>
                <w:lang w:val="en-US" w:eastAsia="zh-CN"/>
              </w:rPr>
              <w:t>50</w:t>
            </w:r>
            <w:r>
              <w:rPr>
                <w:rFonts w:hint="eastAsia"/>
                <w:kern w:val="0"/>
                <w:sz w:val="24"/>
                <w:highlight w:val="none"/>
              </w:rPr>
              <w:t>人，年工作300天，生活用水以100L/人·天计，则生活用水约</w:t>
            </w:r>
            <w:r>
              <w:rPr>
                <w:rFonts w:hint="eastAsia"/>
                <w:kern w:val="0"/>
                <w:sz w:val="24"/>
                <w:highlight w:val="none"/>
                <w:lang w:val="en-US" w:eastAsia="zh-CN"/>
              </w:rPr>
              <w:t>1500</w:t>
            </w:r>
            <w:r>
              <w:rPr>
                <w:rFonts w:hint="eastAsia"/>
                <w:kern w:val="0"/>
                <w:sz w:val="24"/>
                <w:highlight w:val="none"/>
              </w:rPr>
              <w:t>t/a，产污率以0.8计，生活污水产生量为</w:t>
            </w:r>
            <w:r>
              <w:rPr>
                <w:rFonts w:hint="eastAsia"/>
                <w:kern w:val="0"/>
                <w:sz w:val="24"/>
                <w:highlight w:val="none"/>
                <w:lang w:val="en-US" w:eastAsia="zh-CN"/>
              </w:rPr>
              <w:t>1200</w:t>
            </w:r>
            <w:r>
              <w:rPr>
                <w:rFonts w:hint="eastAsia"/>
                <w:kern w:val="0"/>
                <w:sz w:val="24"/>
                <w:highlight w:val="none"/>
              </w:rPr>
              <w:t>t/a。主要污染物为COD、SS、氨氮、TP。</w:t>
            </w:r>
          </w:p>
          <w:p>
            <w:pPr>
              <w:autoSpaceDE w:val="0"/>
              <w:autoSpaceDN w:val="0"/>
              <w:adjustRightInd w:val="0"/>
              <w:spacing w:line="360" w:lineRule="auto"/>
              <w:ind w:firstLine="480" w:firstLineChars="200"/>
              <w:jc w:val="left"/>
              <w:rPr>
                <w:rFonts w:hint="eastAsia"/>
                <w:kern w:val="0"/>
                <w:sz w:val="24"/>
                <w:highlight w:val="none"/>
              </w:rPr>
            </w:pPr>
            <w:r>
              <w:rPr>
                <w:rFonts w:hint="eastAsia"/>
                <w:kern w:val="0"/>
                <w:sz w:val="24"/>
                <w:highlight w:val="none"/>
              </w:rPr>
              <w:t>②冷却</w:t>
            </w:r>
            <w:r>
              <w:rPr>
                <w:rFonts w:hint="eastAsia"/>
                <w:kern w:val="0"/>
                <w:sz w:val="24"/>
                <w:highlight w:val="none"/>
                <w:lang w:eastAsia="zh-CN"/>
              </w:rPr>
              <w:t>废</w:t>
            </w:r>
            <w:r>
              <w:rPr>
                <w:rFonts w:hint="eastAsia"/>
                <w:kern w:val="0"/>
                <w:sz w:val="24"/>
                <w:highlight w:val="none"/>
              </w:rPr>
              <w:t>水</w:t>
            </w:r>
          </w:p>
          <w:p>
            <w:pPr>
              <w:autoSpaceDE w:val="0"/>
              <w:autoSpaceDN w:val="0"/>
              <w:adjustRightInd w:val="0"/>
              <w:spacing w:line="360" w:lineRule="auto"/>
              <w:ind w:firstLine="480" w:firstLineChars="200"/>
              <w:jc w:val="left"/>
              <w:rPr>
                <w:rFonts w:hint="eastAsia"/>
                <w:lang w:val="en-US" w:eastAsia="zh-CN"/>
              </w:rPr>
            </w:pPr>
            <w:r>
              <w:rPr>
                <w:rFonts w:hint="eastAsia"/>
                <w:kern w:val="0"/>
                <w:sz w:val="24"/>
                <w:highlight w:val="none"/>
              </w:rPr>
              <w:t>本项目生产过程中需使用水间接冷却产品，</w:t>
            </w:r>
            <w:r>
              <w:rPr>
                <w:rFonts w:hint="eastAsia"/>
                <w:kern w:val="0"/>
                <w:sz w:val="24"/>
                <w:highlight w:val="none"/>
                <w:lang w:eastAsia="zh-CN"/>
              </w:rPr>
              <w:t>根据企业提供，</w:t>
            </w:r>
            <w:r>
              <w:rPr>
                <w:rFonts w:hint="eastAsia"/>
                <w:kern w:val="0"/>
                <w:sz w:val="24"/>
                <w:highlight w:val="none"/>
              </w:rPr>
              <w:t>项目冷却</w:t>
            </w:r>
            <w:r>
              <w:rPr>
                <w:rFonts w:hint="eastAsia"/>
                <w:kern w:val="0"/>
                <w:sz w:val="24"/>
                <w:highlight w:val="none"/>
                <w:lang w:eastAsia="zh-CN"/>
              </w:rPr>
              <w:t>塔循环水量为</w:t>
            </w:r>
            <w:r>
              <w:rPr>
                <w:rFonts w:hint="eastAsia"/>
                <w:kern w:val="0"/>
                <w:sz w:val="24"/>
                <w:highlight w:val="none"/>
                <w:lang w:val="en-US" w:eastAsia="zh-CN"/>
              </w:rPr>
              <w:t>50立方/h，每天工作3小时，一年工作300天，因此冷却塔</w:t>
            </w:r>
            <w:r>
              <w:rPr>
                <w:rFonts w:hint="eastAsia"/>
                <w:kern w:val="0"/>
                <w:sz w:val="24"/>
                <w:highlight w:val="none"/>
              </w:rPr>
              <w:t>用水量</w:t>
            </w:r>
            <w:r>
              <w:rPr>
                <w:rFonts w:hint="eastAsia"/>
                <w:kern w:val="0"/>
                <w:sz w:val="24"/>
                <w:highlight w:val="none"/>
                <w:lang w:val="en-US" w:eastAsia="zh-CN"/>
              </w:rPr>
              <w:t>900</w:t>
            </w:r>
            <w:r>
              <w:rPr>
                <w:rFonts w:hint="eastAsia"/>
                <w:kern w:val="0"/>
                <w:sz w:val="24"/>
                <w:highlight w:val="none"/>
              </w:rPr>
              <w:t>t/a，</w:t>
            </w:r>
            <w:r>
              <w:rPr>
                <w:rFonts w:hint="eastAsia"/>
                <w:kern w:val="0"/>
                <w:sz w:val="24"/>
                <w:highlight w:val="none"/>
                <w:lang w:eastAsia="zh-CN"/>
              </w:rPr>
              <w:t>损耗量以</w:t>
            </w:r>
            <w:r>
              <w:rPr>
                <w:rFonts w:hint="eastAsia"/>
                <w:kern w:val="0"/>
                <w:sz w:val="24"/>
                <w:highlight w:val="none"/>
                <w:lang w:val="en-US" w:eastAsia="zh-CN"/>
              </w:rPr>
              <w:t>20%计，因此</w:t>
            </w:r>
            <w:r>
              <w:rPr>
                <w:rFonts w:hint="eastAsia"/>
                <w:kern w:val="0"/>
                <w:sz w:val="24"/>
                <w:highlight w:val="none"/>
              </w:rPr>
              <w:t>冷却</w:t>
            </w:r>
            <w:r>
              <w:rPr>
                <w:rFonts w:hint="eastAsia"/>
                <w:kern w:val="0"/>
                <w:sz w:val="24"/>
                <w:highlight w:val="none"/>
                <w:lang w:eastAsia="zh-CN"/>
              </w:rPr>
              <w:t>强排水</w:t>
            </w:r>
            <w:r>
              <w:rPr>
                <w:rFonts w:hint="eastAsia"/>
                <w:kern w:val="0"/>
                <w:sz w:val="24"/>
                <w:highlight w:val="none"/>
              </w:rPr>
              <w:t>水</w:t>
            </w:r>
            <w:r>
              <w:rPr>
                <w:rFonts w:hint="eastAsia"/>
                <w:kern w:val="0"/>
                <w:sz w:val="24"/>
                <w:highlight w:val="none"/>
                <w:lang w:eastAsia="zh-CN"/>
              </w:rPr>
              <w:t>为</w:t>
            </w:r>
            <w:r>
              <w:rPr>
                <w:rFonts w:hint="eastAsia"/>
                <w:kern w:val="0"/>
                <w:sz w:val="24"/>
                <w:highlight w:val="none"/>
                <w:lang w:val="en-US" w:eastAsia="zh-CN"/>
              </w:rPr>
              <w:t>720</w:t>
            </w:r>
            <w:r>
              <w:rPr>
                <w:rFonts w:hint="eastAsia"/>
                <w:kern w:val="0"/>
                <w:sz w:val="24"/>
                <w:highlight w:val="none"/>
              </w:rPr>
              <w:t>t/a。</w:t>
            </w:r>
          </w:p>
          <w:p>
            <w:pPr>
              <w:autoSpaceDE w:val="0"/>
              <w:autoSpaceDN w:val="0"/>
              <w:adjustRightInd w:val="0"/>
              <w:spacing w:line="360" w:lineRule="auto"/>
              <w:ind w:firstLine="480" w:firstLineChars="200"/>
              <w:jc w:val="left"/>
              <w:rPr>
                <w:kern w:val="0"/>
                <w:sz w:val="24"/>
                <w:highlight w:val="none"/>
              </w:rPr>
            </w:pPr>
            <w:r>
              <w:rPr>
                <w:rFonts w:hint="eastAsia"/>
                <w:kern w:val="0"/>
                <w:sz w:val="24"/>
                <w:highlight w:val="none"/>
              </w:rPr>
              <w:t>废水产排情况如下表：</w:t>
            </w:r>
          </w:p>
          <w:p>
            <w:pPr>
              <w:adjustRightInd w:val="0"/>
              <w:snapToGrid w:val="0"/>
              <w:jc w:val="center"/>
              <w:rPr>
                <w:b/>
                <w:kern w:val="21"/>
                <w:sz w:val="24"/>
                <w:highlight w:val="none"/>
              </w:rPr>
            </w:pPr>
            <w:r>
              <w:rPr>
                <w:b/>
                <w:kern w:val="21"/>
                <w:sz w:val="24"/>
                <w:highlight w:val="none"/>
              </w:rPr>
              <w:t>表4-2  项目废水产排情况</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949"/>
              <w:gridCol w:w="473"/>
              <w:gridCol w:w="609"/>
              <w:gridCol w:w="872"/>
              <w:gridCol w:w="861"/>
              <w:gridCol w:w="522"/>
              <w:gridCol w:w="552"/>
              <w:gridCol w:w="902"/>
              <w:gridCol w:w="895"/>
              <w:gridCol w:w="835"/>
              <w:gridCol w:w="137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36" w:type="pct"/>
                  <w:vMerge w:val="restart"/>
                  <w:tcBorders>
                    <w:tl2br w:val="nil"/>
                    <w:tr2bl w:val="nil"/>
                  </w:tcBorders>
                  <w:vAlign w:val="center"/>
                </w:tcPr>
                <w:p>
                  <w:pPr>
                    <w:jc w:val="center"/>
                    <w:rPr>
                      <w:b/>
                      <w:bCs/>
                      <w:szCs w:val="21"/>
                      <w:highlight w:val="none"/>
                    </w:rPr>
                  </w:pPr>
                  <w:r>
                    <w:rPr>
                      <w:b/>
                      <w:bCs/>
                      <w:szCs w:val="21"/>
                      <w:highlight w:val="none"/>
                    </w:rPr>
                    <w:t>废水类型</w:t>
                  </w:r>
                </w:p>
              </w:tc>
              <w:tc>
                <w:tcPr>
                  <w:tcW w:w="267" w:type="pct"/>
                  <w:vMerge w:val="restart"/>
                  <w:tcBorders>
                    <w:tl2br w:val="nil"/>
                    <w:tr2bl w:val="nil"/>
                  </w:tcBorders>
                  <w:vAlign w:val="center"/>
                </w:tcPr>
                <w:p>
                  <w:pPr>
                    <w:jc w:val="center"/>
                    <w:rPr>
                      <w:b/>
                      <w:bCs/>
                      <w:szCs w:val="21"/>
                      <w:highlight w:val="none"/>
                    </w:rPr>
                  </w:pPr>
                  <w:r>
                    <w:rPr>
                      <w:b/>
                      <w:bCs/>
                      <w:szCs w:val="21"/>
                      <w:highlight w:val="none"/>
                    </w:rPr>
                    <w:t>废水量</w:t>
                  </w:r>
                </w:p>
                <w:p>
                  <w:pPr>
                    <w:jc w:val="center"/>
                    <w:rPr>
                      <w:b/>
                      <w:bCs/>
                      <w:szCs w:val="21"/>
                      <w:highlight w:val="none"/>
                    </w:rPr>
                  </w:pPr>
                  <w:r>
                    <w:rPr>
                      <w:b/>
                      <w:bCs/>
                      <w:szCs w:val="21"/>
                      <w:highlight w:val="none"/>
                    </w:rPr>
                    <w:t>t/a</w:t>
                  </w:r>
                </w:p>
              </w:tc>
              <w:tc>
                <w:tcPr>
                  <w:tcW w:w="344" w:type="pct"/>
                  <w:vMerge w:val="restart"/>
                  <w:tcBorders>
                    <w:tl2br w:val="nil"/>
                    <w:tr2bl w:val="nil"/>
                  </w:tcBorders>
                  <w:vAlign w:val="center"/>
                </w:tcPr>
                <w:p>
                  <w:pPr>
                    <w:jc w:val="center"/>
                    <w:rPr>
                      <w:b/>
                      <w:bCs/>
                      <w:szCs w:val="21"/>
                      <w:highlight w:val="none"/>
                    </w:rPr>
                  </w:pPr>
                  <w:r>
                    <w:rPr>
                      <w:b/>
                      <w:bCs/>
                      <w:szCs w:val="21"/>
                      <w:highlight w:val="none"/>
                    </w:rPr>
                    <w:t>污染物</w:t>
                  </w:r>
                </w:p>
              </w:tc>
              <w:tc>
                <w:tcPr>
                  <w:tcW w:w="979" w:type="pct"/>
                  <w:gridSpan w:val="2"/>
                  <w:tcBorders>
                    <w:tl2br w:val="nil"/>
                    <w:tr2bl w:val="nil"/>
                  </w:tcBorders>
                  <w:vAlign w:val="center"/>
                </w:tcPr>
                <w:p>
                  <w:pPr>
                    <w:jc w:val="center"/>
                    <w:rPr>
                      <w:b/>
                      <w:bCs/>
                      <w:szCs w:val="21"/>
                      <w:highlight w:val="none"/>
                    </w:rPr>
                  </w:pPr>
                  <w:r>
                    <w:rPr>
                      <w:b/>
                      <w:bCs/>
                      <w:szCs w:val="21"/>
                      <w:highlight w:val="none"/>
                    </w:rPr>
                    <w:t>产生情况</w:t>
                  </w:r>
                </w:p>
              </w:tc>
              <w:tc>
                <w:tcPr>
                  <w:tcW w:w="295" w:type="pct"/>
                  <w:vMerge w:val="restart"/>
                  <w:tcBorders>
                    <w:tl2br w:val="nil"/>
                    <w:tr2bl w:val="nil"/>
                  </w:tcBorders>
                  <w:vAlign w:val="center"/>
                </w:tcPr>
                <w:p>
                  <w:pPr>
                    <w:jc w:val="center"/>
                    <w:rPr>
                      <w:b/>
                      <w:bCs/>
                      <w:szCs w:val="21"/>
                      <w:highlight w:val="none"/>
                    </w:rPr>
                  </w:pPr>
                  <w:r>
                    <w:rPr>
                      <w:b/>
                      <w:bCs/>
                      <w:szCs w:val="21"/>
                      <w:highlight w:val="none"/>
                    </w:rPr>
                    <w:t>处理</w:t>
                  </w:r>
                </w:p>
                <w:p>
                  <w:pPr>
                    <w:jc w:val="center"/>
                    <w:rPr>
                      <w:b/>
                      <w:bCs/>
                      <w:szCs w:val="21"/>
                      <w:highlight w:val="none"/>
                    </w:rPr>
                  </w:pPr>
                  <w:r>
                    <w:rPr>
                      <w:b/>
                      <w:bCs/>
                      <w:szCs w:val="21"/>
                      <w:highlight w:val="none"/>
                    </w:rPr>
                    <w:t>措施</w:t>
                  </w:r>
                </w:p>
              </w:tc>
              <w:tc>
                <w:tcPr>
                  <w:tcW w:w="312" w:type="pct"/>
                  <w:vMerge w:val="restart"/>
                  <w:tcBorders>
                    <w:tl2br w:val="nil"/>
                    <w:tr2bl w:val="nil"/>
                  </w:tcBorders>
                  <w:vAlign w:val="center"/>
                </w:tcPr>
                <w:p>
                  <w:pPr>
                    <w:jc w:val="center"/>
                    <w:rPr>
                      <w:b/>
                      <w:bCs/>
                      <w:szCs w:val="21"/>
                      <w:highlight w:val="none"/>
                    </w:rPr>
                  </w:pPr>
                  <w:r>
                    <w:rPr>
                      <w:b/>
                      <w:bCs/>
                      <w:szCs w:val="21"/>
                      <w:highlight w:val="none"/>
                    </w:rPr>
                    <w:t>去除率%</w:t>
                  </w:r>
                </w:p>
              </w:tc>
              <w:tc>
                <w:tcPr>
                  <w:tcW w:w="1015" w:type="pct"/>
                  <w:gridSpan w:val="2"/>
                  <w:tcBorders>
                    <w:tl2br w:val="nil"/>
                    <w:tr2bl w:val="nil"/>
                  </w:tcBorders>
                  <w:vAlign w:val="center"/>
                </w:tcPr>
                <w:p>
                  <w:pPr>
                    <w:jc w:val="center"/>
                    <w:rPr>
                      <w:b/>
                      <w:bCs/>
                      <w:szCs w:val="21"/>
                      <w:highlight w:val="none"/>
                    </w:rPr>
                  </w:pPr>
                  <w:r>
                    <w:rPr>
                      <w:b/>
                      <w:bCs/>
                      <w:szCs w:val="21"/>
                      <w:highlight w:val="none"/>
                    </w:rPr>
                    <w:t>排放情况</w:t>
                  </w:r>
                </w:p>
              </w:tc>
              <w:tc>
                <w:tcPr>
                  <w:tcW w:w="472" w:type="pct"/>
                  <w:vMerge w:val="restart"/>
                  <w:tcBorders>
                    <w:tl2br w:val="nil"/>
                    <w:tr2bl w:val="nil"/>
                  </w:tcBorders>
                  <w:vAlign w:val="center"/>
                </w:tcPr>
                <w:p>
                  <w:pPr>
                    <w:jc w:val="center"/>
                    <w:rPr>
                      <w:b/>
                      <w:bCs/>
                      <w:szCs w:val="21"/>
                      <w:highlight w:val="none"/>
                    </w:rPr>
                  </w:pPr>
                  <w:r>
                    <w:rPr>
                      <w:b/>
                      <w:bCs/>
                      <w:szCs w:val="21"/>
                      <w:highlight w:val="none"/>
                    </w:rPr>
                    <w:t>接管/排放标准</w:t>
                  </w:r>
                </w:p>
              </w:tc>
              <w:tc>
                <w:tcPr>
                  <w:tcW w:w="776" w:type="pct"/>
                  <w:vMerge w:val="restart"/>
                  <w:tcBorders>
                    <w:tl2br w:val="nil"/>
                    <w:tr2bl w:val="nil"/>
                  </w:tcBorders>
                  <w:vAlign w:val="center"/>
                </w:tcPr>
                <w:p>
                  <w:pPr>
                    <w:jc w:val="center"/>
                    <w:rPr>
                      <w:b/>
                      <w:bCs/>
                      <w:szCs w:val="21"/>
                      <w:highlight w:val="none"/>
                    </w:rPr>
                  </w:pPr>
                  <w:r>
                    <w:rPr>
                      <w:b/>
                      <w:bCs/>
                      <w:szCs w:val="21"/>
                      <w:highlight w:val="none"/>
                    </w:rPr>
                    <w:t>排放</w:t>
                  </w:r>
                </w:p>
                <w:p>
                  <w:pPr>
                    <w:jc w:val="center"/>
                    <w:rPr>
                      <w:b/>
                      <w:bCs/>
                      <w:szCs w:val="21"/>
                      <w:highlight w:val="none"/>
                    </w:rPr>
                  </w:pPr>
                  <w:r>
                    <w:rPr>
                      <w:b/>
                      <w:bCs/>
                      <w:szCs w:val="21"/>
                      <w:highlight w:val="none"/>
                    </w:rPr>
                    <w:t>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36" w:type="pct"/>
                  <w:vMerge w:val="continue"/>
                  <w:tcBorders>
                    <w:tl2br w:val="nil"/>
                    <w:tr2bl w:val="nil"/>
                  </w:tcBorders>
                  <w:vAlign w:val="center"/>
                </w:tcPr>
                <w:p>
                  <w:pPr>
                    <w:jc w:val="center"/>
                    <w:rPr>
                      <w:szCs w:val="21"/>
                      <w:highlight w:val="none"/>
                    </w:rPr>
                  </w:pPr>
                </w:p>
              </w:tc>
              <w:tc>
                <w:tcPr>
                  <w:tcW w:w="267" w:type="pct"/>
                  <w:vMerge w:val="continue"/>
                  <w:tcBorders>
                    <w:tl2br w:val="nil"/>
                    <w:tr2bl w:val="nil"/>
                  </w:tcBorders>
                  <w:vAlign w:val="center"/>
                </w:tcPr>
                <w:p>
                  <w:pPr>
                    <w:jc w:val="center"/>
                    <w:rPr>
                      <w:szCs w:val="21"/>
                      <w:highlight w:val="none"/>
                    </w:rPr>
                  </w:pPr>
                </w:p>
              </w:tc>
              <w:tc>
                <w:tcPr>
                  <w:tcW w:w="344" w:type="pct"/>
                  <w:vMerge w:val="continue"/>
                  <w:tcBorders>
                    <w:tl2br w:val="nil"/>
                    <w:tr2bl w:val="nil"/>
                  </w:tcBorders>
                  <w:vAlign w:val="center"/>
                </w:tcPr>
                <w:p>
                  <w:pPr>
                    <w:jc w:val="center"/>
                    <w:rPr>
                      <w:szCs w:val="21"/>
                      <w:highlight w:val="none"/>
                    </w:rPr>
                  </w:pPr>
                </w:p>
              </w:tc>
              <w:tc>
                <w:tcPr>
                  <w:tcW w:w="492" w:type="pct"/>
                  <w:tcBorders>
                    <w:tl2br w:val="nil"/>
                    <w:tr2bl w:val="nil"/>
                  </w:tcBorders>
                  <w:vAlign w:val="center"/>
                </w:tcPr>
                <w:p>
                  <w:pPr>
                    <w:jc w:val="center"/>
                    <w:rPr>
                      <w:b/>
                      <w:bCs/>
                      <w:szCs w:val="21"/>
                      <w:highlight w:val="none"/>
                    </w:rPr>
                  </w:pPr>
                  <w:r>
                    <w:rPr>
                      <w:b/>
                      <w:bCs/>
                      <w:szCs w:val="21"/>
                      <w:highlight w:val="none"/>
                    </w:rPr>
                    <w:t>浓度mg/L</w:t>
                  </w:r>
                </w:p>
              </w:tc>
              <w:tc>
                <w:tcPr>
                  <w:tcW w:w="486" w:type="pct"/>
                  <w:tcBorders>
                    <w:tl2br w:val="nil"/>
                    <w:tr2bl w:val="nil"/>
                  </w:tcBorders>
                  <w:vAlign w:val="center"/>
                </w:tcPr>
                <w:p>
                  <w:pPr>
                    <w:jc w:val="center"/>
                    <w:rPr>
                      <w:b/>
                      <w:bCs/>
                      <w:szCs w:val="21"/>
                      <w:highlight w:val="none"/>
                    </w:rPr>
                  </w:pPr>
                  <w:r>
                    <w:rPr>
                      <w:b/>
                      <w:bCs/>
                      <w:szCs w:val="21"/>
                      <w:highlight w:val="none"/>
                    </w:rPr>
                    <w:t>产生量t/a</w:t>
                  </w:r>
                </w:p>
              </w:tc>
              <w:tc>
                <w:tcPr>
                  <w:tcW w:w="295" w:type="pct"/>
                  <w:vMerge w:val="continue"/>
                  <w:tcBorders>
                    <w:tl2br w:val="nil"/>
                    <w:tr2bl w:val="nil"/>
                  </w:tcBorders>
                  <w:vAlign w:val="center"/>
                </w:tcPr>
                <w:p>
                  <w:pPr>
                    <w:jc w:val="center"/>
                    <w:rPr>
                      <w:b/>
                      <w:bCs/>
                      <w:szCs w:val="21"/>
                      <w:highlight w:val="none"/>
                    </w:rPr>
                  </w:pPr>
                </w:p>
              </w:tc>
              <w:tc>
                <w:tcPr>
                  <w:tcW w:w="312" w:type="pct"/>
                  <w:vMerge w:val="continue"/>
                  <w:tcBorders>
                    <w:tl2br w:val="nil"/>
                    <w:tr2bl w:val="nil"/>
                  </w:tcBorders>
                  <w:vAlign w:val="center"/>
                </w:tcPr>
                <w:p>
                  <w:pPr>
                    <w:jc w:val="center"/>
                    <w:rPr>
                      <w:b/>
                      <w:bCs/>
                      <w:szCs w:val="21"/>
                      <w:highlight w:val="none"/>
                    </w:rPr>
                  </w:pPr>
                </w:p>
              </w:tc>
              <w:tc>
                <w:tcPr>
                  <w:tcW w:w="509" w:type="pct"/>
                  <w:tcBorders>
                    <w:tl2br w:val="nil"/>
                    <w:tr2bl w:val="nil"/>
                  </w:tcBorders>
                  <w:vAlign w:val="center"/>
                </w:tcPr>
                <w:p>
                  <w:pPr>
                    <w:jc w:val="center"/>
                    <w:rPr>
                      <w:b/>
                      <w:bCs/>
                      <w:szCs w:val="21"/>
                      <w:highlight w:val="none"/>
                    </w:rPr>
                  </w:pPr>
                  <w:r>
                    <w:rPr>
                      <w:b/>
                      <w:bCs/>
                      <w:szCs w:val="21"/>
                      <w:highlight w:val="none"/>
                    </w:rPr>
                    <w:t>浓度mg/L</w:t>
                  </w:r>
                </w:p>
              </w:tc>
              <w:tc>
                <w:tcPr>
                  <w:tcW w:w="505" w:type="pct"/>
                  <w:tcBorders>
                    <w:tl2br w:val="nil"/>
                    <w:tr2bl w:val="nil"/>
                  </w:tcBorders>
                  <w:vAlign w:val="center"/>
                </w:tcPr>
                <w:p>
                  <w:pPr>
                    <w:jc w:val="center"/>
                    <w:rPr>
                      <w:b/>
                      <w:bCs/>
                      <w:szCs w:val="21"/>
                      <w:highlight w:val="none"/>
                    </w:rPr>
                  </w:pPr>
                  <w:r>
                    <w:rPr>
                      <w:b/>
                      <w:bCs/>
                      <w:szCs w:val="21"/>
                      <w:highlight w:val="none"/>
                    </w:rPr>
                    <w:t>排放量t/a</w:t>
                  </w:r>
                </w:p>
              </w:tc>
              <w:tc>
                <w:tcPr>
                  <w:tcW w:w="472" w:type="pct"/>
                  <w:vMerge w:val="continue"/>
                  <w:tcBorders>
                    <w:tl2br w:val="nil"/>
                    <w:tr2bl w:val="nil"/>
                  </w:tcBorders>
                  <w:vAlign w:val="center"/>
                </w:tcPr>
                <w:p>
                  <w:pPr>
                    <w:jc w:val="center"/>
                    <w:rPr>
                      <w:szCs w:val="21"/>
                      <w:highlight w:val="none"/>
                    </w:rPr>
                  </w:pPr>
                </w:p>
              </w:tc>
              <w:tc>
                <w:tcPr>
                  <w:tcW w:w="776" w:type="pct"/>
                  <w:vMerge w:val="continue"/>
                  <w:tcBorders>
                    <w:tl2br w:val="nil"/>
                    <w:tr2bl w:val="nil"/>
                  </w:tcBorders>
                  <w:vAlign w:val="center"/>
                </w:tcPr>
                <w:p>
                  <w:pPr>
                    <w:jc w:val="center"/>
                    <w:rPr>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05" w:hRule="atLeast"/>
                <w:jc w:val="center"/>
              </w:trPr>
              <w:tc>
                <w:tcPr>
                  <w:tcW w:w="536" w:type="pct"/>
                  <w:vMerge w:val="restart"/>
                  <w:tcBorders>
                    <w:tl2br w:val="nil"/>
                    <w:tr2bl w:val="nil"/>
                  </w:tcBorders>
                  <w:noWrap/>
                  <w:vAlign w:val="center"/>
                </w:tcPr>
                <w:p>
                  <w:pPr>
                    <w:jc w:val="center"/>
                    <w:rPr>
                      <w:szCs w:val="21"/>
                      <w:highlight w:val="none"/>
                    </w:rPr>
                  </w:pPr>
                  <w:r>
                    <w:rPr>
                      <w:szCs w:val="21"/>
                      <w:highlight w:val="none"/>
                    </w:rPr>
                    <w:t>生活污水</w:t>
                  </w:r>
                </w:p>
              </w:tc>
              <w:tc>
                <w:tcPr>
                  <w:tcW w:w="267" w:type="pct"/>
                  <w:vMerge w:val="restart"/>
                  <w:tcBorders>
                    <w:tl2br w:val="nil"/>
                    <w:tr2bl w:val="nil"/>
                  </w:tcBorders>
                  <w:noWrap/>
                  <w:vAlign w:val="center"/>
                </w:tcPr>
                <w:p>
                  <w:pPr>
                    <w:jc w:val="center"/>
                    <w:rPr>
                      <w:rFonts w:hint="default" w:eastAsia="宋体"/>
                      <w:szCs w:val="21"/>
                      <w:highlight w:val="none"/>
                      <w:lang w:val="en-US" w:eastAsia="zh-CN"/>
                    </w:rPr>
                  </w:pPr>
                  <w:r>
                    <w:rPr>
                      <w:rFonts w:hint="eastAsia"/>
                      <w:szCs w:val="21"/>
                      <w:highlight w:val="none"/>
                      <w:lang w:val="en-US" w:eastAsia="zh-CN"/>
                    </w:rPr>
                    <w:t>1200</w:t>
                  </w:r>
                </w:p>
              </w:tc>
              <w:tc>
                <w:tcPr>
                  <w:tcW w:w="344" w:type="pct"/>
                  <w:tcBorders>
                    <w:tl2br w:val="nil"/>
                    <w:tr2bl w:val="nil"/>
                  </w:tcBorders>
                  <w:noWrap/>
                  <w:vAlign w:val="center"/>
                </w:tcPr>
                <w:p>
                  <w:pPr>
                    <w:jc w:val="center"/>
                    <w:rPr>
                      <w:szCs w:val="21"/>
                      <w:highlight w:val="none"/>
                    </w:rPr>
                  </w:pPr>
                  <w:r>
                    <w:rPr>
                      <w:szCs w:val="21"/>
                      <w:highlight w:val="none"/>
                    </w:rPr>
                    <w:t>COD</w:t>
                  </w:r>
                </w:p>
              </w:tc>
              <w:tc>
                <w:tcPr>
                  <w:tcW w:w="492" w:type="pct"/>
                  <w:tcBorders>
                    <w:tl2br w:val="nil"/>
                    <w:tr2bl w:val="nil"/>
                  </w:tcBorders>
                  <w:noWrap/>
                  <w:vAlign w:val="center"/>
                </w:tcPr>
                <w:p>
                  <w:pPr>
                    <w:jc w:val="center"/>
                    <w:rPr>
                      <w:szCs w:val="21"/>
                      <w:highlight w:val="none"/>
                    </w:rPr>
                  </w:pPr>
                  <w:r>
                    <w:rPr>
                      <w:szCs w:val="21"/>
                      <w:highlight w:val="none"/>
                    </w:rPr>
                    <w:t>350</w:t>
                  </w:r>
                </w:p>
              </w:tc>
              <w:tc>
                <w:tcPr>
                  <w:tcW w:w="486" w:type="pct"/>
                  <w:tcBorders>
                    <w:tl2br w:val="nil"/>
                    <w:tr2bl w:val="nil"/>
                  </w:tcBorders>
                  <w:noWrap/>
                  <w:vAlign w:val="bottom"/>
                </w:tcPr>
                <w:p>
                  <w:pPr>
                    <w:jc w:val="center"/>
                    <w:rPr>
                      <w:rFonts w:hint="default" w:eastAsia="宋体"/>
                      <w:szCs w:val="21"/>
                      <w:highlight w:val="none"/>
                      <w:lang w:val="en-US" w:eastAsia="zh-CN"/>
                    </w:rPr>
                  </w:pPr>
                  <w:r>
                    <w:rPr>
                      <w:rFonts w:hint="eastAsia"/>
                      <w:szCs w:val="21"/>
                      <w:highlight w:val="none"/>
                      <w:lang w:val="en-US" w:eastAsia="zh-CN"/>
                    </w:rPr>
                    <w:t>0.42</w:t>
                  </w:r>
                </w:p>
              </w:tc>
              <w:tc>
                <w:tcPr>
                  <w:tcW w:w="295" w:type="pct"/>
                  <w:vMerge w:val="restart"/>
                  <w:tcBorders>
                    <w:tl2br w:val="nil"/>
                    <w:tr2bl w:val="nil"/>
                  </w:tcBorders>
                  <w:noWrap/>
                  <w:vAlign w:val="center"/>
                </w:tcPr>
                <w:p>
                  <w:pPr>
                    <w:jc w:val="center"/>
                    <w:rPr>
                      <w:szCs w:val="21"/>
                      <w:highlight w:val="none"/>
                    </w:rPr>
                  </w:pPr>
                  <w:r>
                    <w:rPr>
                      <w:szCs w:val="21"/>
                      <w:highlight w:val="none"/>
                    </w:rPr>
                    <w:t>/</w:t>
                  </w:r>
                </w:p>
              </w:tc>
              <w:tc>
                <w:tcPr>
                  <w:tcW w:w="312" w:type="pct"/>
                  <w:vMerge w:val="restart"/>
                  <w:tcBorders>
                    <w:tl2br w:val="nil"/>
                    <w:tr2bl w:val="nil"/>
                  </w:tcBorders>
                  <w:noWrap/>
                  <w:vAlign w:val="center"/>
                </w:tcPr>
                <w:p>
                  <w:pPr>
                    <w:jc w:val="center"/>
                    <w:rPr>
                      <w:szCs w:val="21"/>
                      <w:highlight w:val="none"/>
                    </w:rPr>
                  </w:pPr>
                  <w:r>
                    <w:rPr>
                      <w:szCs w:val="21"/>
                      <w:highlight w:val="none"/>
                    </w:rPr>
                    <w:t>/</w:t>
                  </w:r>
                </w:p>
              </w:tc>
              <w:tc>
                <w:tcPr>
                  <w:tcW w:w="509" w:type="pct"/>
                  <w:tcBorders>
                    <w:tl2br w:val="nil"/>
                    <w:tr2bl w:val="nil"/>
                  </w:tcBorders>
                  <w:noWrap/>
                  <w:vAlign w:val="center"/>
                </w:tcPr>
                <w:p>
                  <w:pPr>
                    <w:jc w:val="center"/>
                    <w:rPr>
                      <w:szCs w:val="21"/>
                      <w:highlight w:val="none"/>
                    </w:rPr>
                  </w:pPr>
                  <w:r>
                    <w:rPr>
                      <w:szCs w:val="21"/>
                      <w:highlight w:val="none"/>
                    </w:rPr>
                    <w:t>350</w:t>
                  </w:r>
                </w:p>
              </w:tc>
              <w:tc>
                <w:tcPr>
                  <w:tcW w:w="895" w:type="dxa"/>
                  <w:tcBorders>
                    <w:tl2br w:val="nil"/>
                    <w:tr2bl w:val="nil"/>
                  </w:tcBorders>
                  <w:noWrap/>
                  <w:vAlign w:val="bottom"/>
                </w:tcPr>
                <w:p>
                  <w:pPr>
                    <w:jc w:val="center"/>
                    <w:rPr>
                      <w:szCs w:val="21"/>
                      <w:highlight w:val="none"/>
                    </w:rPr>
                  </w:pPr>
                  <w:r>
                    <w:rPr>
                      <w:rFonts w:hint="eastAsia"/>
                      <w:szCs w:val="21"/>
                      <w:highlight w:val="none"/>
                      <w:lang w:val="en-US" w:eastAsia="zh-CN"/>
                    </w:rPr>
                    <w:t>0.42</w:t>
                  </w:r>
                </w:p>
              </w:tc>
              <w:tc>
                <w:tcPr>
                  <w:tcW w:w="472" w:type="pct"/>
                  <w:tcBorders>
                    <w:tl2br w:val="nil"/>
                    <w:tr2bl w:val="nil"/>
                  </w:tcBorders>
                  <w:noWrap/>
                  <w:vAlign w:val="center"/>
                </w:tcPr>
                <w:p>
                  <w:pPr>
                    <w:jc w:val="center"/>
                    <w:rPr>
                      <w:szCs w:val="21"/>
                      <w:highlight w:val="none"/>
                    </w:rPr>
                  </w:pPr>
                  <w:r>
                    <w:rPr>
                      <w:szCs w:val="21"/>
                      <w:highlight w:val="none"/>
                    </w:rPr>
                    <w:t>350</w:t>
                  </w:r>
                </w:p>
              </w:tc>
              <w:tc>
                <w:tcPr>
                  <w:tcW w:w="776" w:type="pct"/>
                  <w:vMerge w:val="restart"/>
                  <w:tcBorders>
                    <w:tl2br w:val="nil"/>
                    <w:tr2bl w:val="nil"/>
                  </w:tcBorders>
                  <w:noWrap/>
                  <w:vAlign w:val="center"/>
                </w:tcPr>
                <w:p>
                  <w:pPr>
                    <w:jc w:val="center"/>
                    <w:rPr>
                      <w:rFonts w:hint="eastAsia" w:eastAsia="宋体"/>
                      <w:szCs w:val="21"/>
                      <w:highlight w:val="none"/>
                      <w:lang w:eastAsia="zh-CN"/>
                    </w:rPr>
                  </w:pPr>
                  <w:r>
                    <w:rPr>
                      <w:rFonts w:hint="eastAsia"/>
                      <w:szCs w:val="21"/>
                      <w:highlight w:val="none"/>
                      <w:lang w:eastAsia="zh-CN"/>
                    </w:rPr>
                    <w:t>科技城水质净化厂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6" w:type="pct"/>
                  <w:vMerge w:val="continue"/>
                  <w:tcBorders>
                    <w:tl2br w:val="nil"/>
                    <w:tr2bl w:val="nil"/>
                  </w:tcBorders>
                  <w:noWrap/>
                  <w:vAlign w:val="center"/>
                </w:tcPr>
                <w:p>
                  <w:pPr>
                    <w:jc w:val="center"/>
                    <w:rPr>
                      <w:szCs w:val="21"/>
                      <w:highlight w:val="none"/>
                    </w:rPr>
                  </w:pPr>
                </w:p>
              </w:tc>
              <w:tc>
                <w:tcPr>
                  <w:tcW w:w="267" w:type="pct"/>
                  <w:vMerge w:val="continue"/>
                  <w:tcBorders>
                    <w:tl2br w:val="nil"/>
                    <w:tr2bl w:val="nil"/>
                  </w:tcBorders>
                  <w:noWrap/>
                  <w:vAlign w:val="center"/>
                </w:tcPr>
                <w:p>
                  <w:pPr>
                    <w:jc w:val="center"/>
                    <w:rPr>
                      <w:szCs w:val="21"/>
                      <w:highlight w:val="none"/>
                    </w:rPr>
                  </w:pPr>
                </w:p>
              </w:tc>
              <w:tc>
                <w:tcPr>
                  <w:tcW w:w="344" w:type="pct"/>
                  <w:tcBorders>
                    <w:tl2br w:val="nil"/>
                    <w:tr2bl w:val="nil"/>
                  </w:tcBorders>
                  <w:noWrap/>
                  <w:vAlign w:val="center"/>
                </w:tcPr>
                <w:p>
                  <w:pPr>
                    <w:jc w:val="center"/>
                    <w:rPr>
                      <w:szCs w:val="21"/>
                      <w:highlight w:val="none"/>
                    </w:rPr>
                  </w:pPr>
                  <w:r>
                    <w:rPr>
                      <w:szCs w:val="21"/>
                      <w:highlight w:val="none"/>
                    </w:rPr>
                    <w:t>SS</w:t>
                  </w:r>
                </w:p>
              </w:tc>
              <w:tc>
                <w:tcPr>
                  <w:tcW w:w="492" w:type="pct"/>
                  <w:tcBorders>
                    <w:tl2br w:val="nil"/>
                    <w:tr2bl w:val="nil"/>
                  </w:tcBorders>
                  <w:noWrap/>
                  <w:vAlign w:val="center"/>
                </w:tcPr>
                <w:p>
                  <w:pPr>
                    <w:jc w:val="center"/>
                    <w:rPr>
                      <w:szCs w:val="21"/>
                      <w:highlight w:val="none"/>
                    </w:rPr>
                  </w:pPr>
                  <w:r>
                    <w:rPr>
                      <w:szCs w:val="21"/>
                      <w:highlight w:val="none"/>
                    </w:rPr>
                    <w:t>300</w:t>
                  </w:r>
                </w:p>
              </w:tc>
              <w:tc>
                <w:tcPr>
                  <w:tcW w:w="486" w:type="pct"/>
                  <w:tcBorders>
                    <w:tl2br w:val="nil"/>
                    <w:tr2bl w:val="nil"/>
                  </w:tcBorders>
                  <w:noWrap/>
                  <w:vAlign w:val="bottom"/>
                </w:tcPr>
                <w:p>
                  <w:pPr>
                    <w:jc w:val="center"/>
                    <w:rPr>
                      <w:rFonts w:hint="default" w:eastAsia="宋体"/>
                      <w:szCs w:val="21"/>
                      <w:highlight w:val="none"/>
                      <w:lang w:val="en-US" w:eastAsia="zh-CN"/>
                    </w:rPr>
                  </w:pPr>
                  <w:r>
                    <w:rPr>
                      <w:rFonts w:hint="eastAsia"/>
                      <w:szCs w:val="21"/>
                      <w:highlight w:val="none"/>
                      <w:lang w:val="en-US" w:eastAsia="zh-CN"/>
                    </w:rPr>
                    <w:t>0.36</w:t>
                  </w:r>
                </w:p>
              </w:tc>
              <w:tc>
                <w:tcPr>
                  <w:tcW w:w="295" w:type="pct"/>
                  <w:vMerge w:val="continue"/>
                  <w:tcBorders>
                    <w:tl2br w:val="nil"/>
                    <w:tr2bl w:val="nil"/>
                  </w:tcBorders>
                  <w:noWrap/>
                  <w:vAlign w:val="center"/>
                </w:tcPr>
                <w:p>
                  <w:pPr>
                    <w:jc w:val="center"/>
                    <w:rPr>
                      <w:szCs w:val="21"/>
                      <w:highlight w:val="none"/>
                    </w:rPr>
                  </w:pPr>
                </w:p>
              </w:tc>
              <w:tc>
                <w:tcPr>
                  <w:tcW w:w="312" w:type="pct"/>
                  <w:vMerge w:val="continue"/>
                  <w:tcBorders>
                    <w:tl2br w:val="nil"/>
                    <w:tr2bl w:val="nil"/>
                  </w:tcBorders>
                  <w:noWrap/>
                  <w:vAlign w:val="center"/>
                </w:tcPr>
                <w:p>
                  <w:pPr>
                    <w:jc w:val="center"/>
                    <w:rPr>
                      <w:szCs w:val="21"/>
                      <w:highlight w:val="none"/>
                    </w:rPr>
                  </w:pPr>
                </w:p>
              </w:tc>
              <w:tc>
                <w:tcPr>
                  <w:tcW w:w="509" w:type="pct"/>
                  <w:tcBorders>
                    <w:tl2br w:val="nil"/>
                    <w:tr2bl w:val="nil"/>
                  </w:tcBorders>
                  <w:noWrap/>
                  <w:vAlign w:val="center"/>
                </w:tcPr>
                <w:p>
                  <w:pPr>
                    <w:jc w:val="center"/>
                    <w:rPr>
                      <w:szCs w:val="21"/>
                      <w:highlight w:val="none"/>
                    </w:rPr>
                  </w:pPr>
                  <w:r>
                    <w:rPr>
                      <w:szCs w:val="21"/>
                      <w:highlight w:val="none"/>
                    </w:rPr>
                    <w:t>300</w:t>
                  </w:r>
                </w:p>
              </w:tc>
              <w:tc>
                <w:tcPr>
                  <w:tcW w:w="895" w:type="dxa"/>
                  <w:tcBorders>
                    <w:tl2br w:val="nil"/>
                    <w:tr2bl w:val="nil"/>
                  </w:tcBorders>
                  <w:noWrap/>
                  <w:vAlign w:val="bottom"/>
                </w:tcPr>
                <w:p>
                  <w:pPr>
                    <w:jc w:val="center"/>
                    <w:rPr>
                      <w:szCs w:val="21"/>
                      <w:highlight w:val="none"/>
                    </w:rPr>
                  </w:pPr>
                  <w:r>
                    <w:rPr>
                      <w:rFonts w:hint="eastAsia"/>
                      <w:szCs w:val="21"/>
                      <w:highlight w:val="none"/>
                      <w:lang w:val="en-US" w:eastAsia="zh-CN"/>
                    </w:rPr>
                    <w:t>0.36</w:t>
                  </w:r>
                </w:p>
              </w:tc>
              <w:tc>
                <w:tcPr>
                  <w:tcW w:w="472" w:type="pct"/>
                  <w:tcBorders>
                    <w:tl2br w:val="nil"/>
                    <w:tr2bl w:val="nil"/>
                  </w:tcBorders>
                  <w:noWrap/>
                  <w:vAlign w:val="center"/>
                </w:tcPr>
                <w:p>
                  <w:pPr>
                    <w:jc w:val="center"/>
                    <w:rPr>
                      <w:szCs w:val="21"/>
                      <w:highlight w:val="none"/>
                    </w:rPr>
                  </w:pPr>
                  <w:r>
                    <w:rPr>
                      <w:szCs w:val="21"/>
                      <w:highlight w:val="none"/>
                    </w:rPr>
                    <w:t>300</w:t>
                  </w:r>
                </w:p>
              </w:tc>
              <w:tc>
                <w:tcPr>
                  <w:tcW w:w="776" w:type="pct"/>
                  <w:vMerge w:val="continue"/>
                  <w:tcBorders>
                    <w:tl2br w:val="nil"/>
                    <w:tr2bl w:val="nil"/>
                  </w:tcBorders>
                  <w:noWrap/>
                  <w:vAlign w:val="center"/>
                </w:tcPr>
                <w:p>
                  <w:pPr>
                    <w:snapToGrid w:val="0"/>
                    <w:jc w:val="center"/>
                    <w:rPr>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6" w:hRule="atLeast"/>
                <w:jc w:val="center"/>
              </w:trPr>
              <w:tc>
                <w:tcPr>
                  <w:tcW w:w="536" w:type="pct"/>
                  <w:vMerge w:val="continue"/>
                  <w:tcBorders>
                    <w:tl2br w:val="nil"/>
                    <w:tr2bl w:val="nil"/>
                  </w:tcBorders>
                  <w:noWrap/>
                  <w:vAlign w:val="center"/>
                </w:tcPr>
                <w:p>
                  <w:pPr>
                    <w:jc w:val="center"/>
                    <w:rPr>
                      <w:szCs w:val="21"/>
                      <w:highlight w:val="none"/>
                    </w:rPr>
                  </w:pPr>
                </w:p>
              </w:tc>
              <w:tc>
                <w:tcPr>
                  <w:tcW w:w="267" w:type="pct"/>
                  <w:vMerge w:val="continue"/>
                  <w:tcBorders>
                    <w:tl2br w:val="nil"/>
                    <w:tr2bl w:val="nil"/>
                  </w:tcBorders>
                  <w:noWrap/>
                  <w:vAlign w:val="center"/>
                </w:tcPr>
                <w:p>
                  <w:pPr>
                    <w:jc w:val="center"/>
                    <w:rPr>
                      <w:szCs w:val="21"/>
                      <w:highlight w:val="none"/>
                    </w:rPr>
                  </w:pPr>
                </w:p>
              </w:tc>
              <w:tc>
                <w:tcPr>
                  <w:tcW w:w="344" w:type="pct"/>
                  <w:tcBorders>
                    <w:tl2br w:val="nil"/>
                    <w:tr2bl w:val="nil"/>
                  </w:tcBorders>
                  <w:noWrap/>
                  <w:vAlign w:val="center"/>
                </w:tcPr>
                <w:p>
                  <w:pPr>
                    <w:jc w:val="center"/>
                    <w:rPr>
                      <w:szCs w:val="21"/>
                      <w:highlight w:val="none"/>
                    </w:rPr>
                  </w:pPr>
                  <w:r>
                    <w:rPr>
                      <w:rFonts w:hint="eastAsia"/>
                      <w:szCs w:val="21"/>
                      <w:highlight w:val="none"/>
                    </w:rPr>
                    <w:t>总氮</w:t>
                  </w:r>
                </w:p>
              </w:tc>
              <w:tc>
                <w:tcPr>
                  <w:tcW w:w="492" w:type="pct"/>
                  <w:tcBorders>
                    <w:tl2br w:val="nil"/>
                    <w:tr2bl w:val="nil"/>
                  </w:tcBorders>
                  <w:noWrap/>
                  <w:vAlign w:val="center"/>
                </w:tcPr>
                <w:p>
                  <w:pPr>
                    <w:jc w:val="center"/>
                    <w:rPr>
                      <w:szCs w:val="21"/>
                      <w:highlight w:val="none"/>
                    </w:rPr>
                  </w:pPr>
                  <w:r>
                    <w:rPr>
                      <w:szCs w:val="21"/>
                      <w:highlight w:val="none"/>
                    </w:rPr>
                    <w:t>40</w:t>
                  </w:r>
                </w:p>
              </w:tc>
              <w:tc>
                <w:tcPr>
                  <w:tcW w:w="486" w:type="pct"/>
                  <w:tcBorders>
                    <w:tl2br w:val="nil"/>
                    <w:tr2bl w:val="nil"/>
                  </w:tcBorders>
                  <w:noWrap/>
                  <w:vAlign w:val="bottom"/>
                </w:tcPr>
                <w:p>
                  <w:pPr>
                    <w:jc w:val="center"/>
                    <w:rPr>
                      <w:rFonts w:hint="default" w:eastAsia="宋体"/>
                      <w:szCs w:val="21"/>
                      <w:highlight w:val="none"/>
                      <w:lang w:val="en-US" w:eastAsia="zh-CN"/>
                    </w:rPr>
                  </w:pPr>
                  <w:r>
                    <w:rPr>
                      <w:rFonts w:hint="eastAsia"/>
                      <w:szCs w:val="21"/>
                      <w:highlight w:val="none"/>
                      <w:lang w:val="en-US" w:eastAsia="zh-CN"/>
                    </w:rPr>
                    <w:t>0.048</w:t>
                  </w:r>
                </w:p>
              </w:tc>
              <w:tc>
                <w:tcPr>
                  <w:tcW w:w="295" w:type="pct"/>
                  <w:vMerge w:val="continue"/>
                  <w:tcBorders>
                    <w:tl2br w:val="nil"/>
                    <w:tr2bl w:val="nil"/>
                  </w:tcBorders>
                  <w:noWrap/>
                  <w:vAlign w:val="center"/>
                </w:tcPr>
                <w:p>
                  <w:pPr>
                    <w:jc w:val="center"/>
                    <w:rPr>
                      <w:szCs w:val="21"/>
                      <w:highlight w:val="none"/>
                    </w:rPr>
                  </w:pPr>
                </w:p>
              </w:tc>
              <w:tc>
                <w:tcPr>
                  <w:tcW w:w="312" w:type="pct"/>
                  <w:vMerge w:val="continue"/>
                  <w:tcBorders>
                    <w:tl2br w:val="nil"/>
                    <w:tr2bl w:val="nil"/>
                  </w:tcBorders>
                  <w:noWrap/>
                  <w:vAlign w:val="center"/>
                </w:tcPr>
                <w:p>
                  <w:pPr>
                    <w:jc w:val="center"/>
                    <w:rPr>
                      <w:szCs w:val="21"/>
                      <w:highlight w:val="none"/>
                    </w:rPr>
                  </w:pPr>
                </w:p>
              </w:tc>
              <w:tc>
                <w:tcPr>
                  <w:tcW w:w="509" w:type="pct"/>
                  <w:tcBorders>
                    <w:tl2br w:val="nil"/>
                    <w:tr2bl w:val="nil"/>
                  </w:tcBorders>
                  <w:noWrap/>
                  <w:vAlign w:val="center"/>
                </w:tcPr>
                <w:p>
                  <w:pPr>
                    <w:jc w:val="center"/>
                    <w:rPr>
                      <w:szCs w:val="21"/>
                      <w:highlight w:val="none"/>
                    </w:rPr>
                  </w:pPr>
                  <w:r>
                    <w:rPr>
                      <w:szCs w:val="21"/>
                      <w:highlight w:val="none"/>
                    </w:rPr>
                    <w:t>40</w:t>
                  </w:r>
                </w:p>
              </w:tc>
              <w:tc>
                <w:tcPr>
                  <w:tcW w:w="895" w:type="dxa"/>
                  <w:tcBorders>
                    <w:tl2br w:val="nil"/>
                    <w:tr2bl w:val="nil"/>
                  </w:tcBorders>
                  <w:noWrap/>
                  <w:vAlign w:val="bottom"/>
                </w:tcPr>
                <w:p>
                  <w:pPr>
                    <w:jc w:val="center"/>
                    <w:rPr>
                      <w:szCs w:val="21"/>
                      <w:highlight w:val="none"/>
                    </w:rPr>
                  </w:pPr>
                  <w:r>
                    <w:rPr>
                      <w:rFonts w:hint="eastAsia"/>
                      <w:szCs w:val="21"/>
                      <w:highlight w:val="none"/>
                      <w:lang w:val="en-US" w:eastAsia="zh-CN"/>
                    </w:rPr>
                    <w:t>0.048</w:t>
                  </w:r>
                </w:p>
              </w:tc>
              <w:tc>
                <w:tcPr>
                  <w:tcW w:w="472" w:type="pct"/>
                  <w:tcBorders>
                    <w:tl2br w:val="nil"/>
                    <w:tr2bl w:val="nil"/>
                  </w:tcBorders>
                  <w:noWrap/>
                  <w:vAlign w:val="center"/>
                </w:tcPr>
                <w:p>
                  <w:pPr>
                    <w:jc w:val="center"/>
                    <w:rPr>
                      <w:szCs w:val="21"/>
                      <w:highlight w:val="none"/>
                    </w:rPr>
                  </w:pPr>
                  <w:r>
                    <w:rPr>
                      <w:szCs w:val="21"/>
                      <w:highlight w:val="none"/>
                    </w:rPr>
                    <w:t>25</w:t>
                  </w:r>
                </w:p>
              </w:tc>
              <w:tc>
                <w:tcPr>
                  <w:tcW w:w="776" w:type="pct"/>
                  <w:vMerge w:val="continue"/>
                  <w:tcBorders>
                    <w:tl2br w:val="nil"/>
                    <w:tr2bl w:val="nil"/>
                  </w:tcBorders>
                  <w:noWrap/>
                  <w:vAlign w:val="center"/>
                </w:tcPr>
                <w:p>
                  <w:pPr>
                    <w:snapToGrid w:val="0"/>
                    <w:jc w:val="center"/>
                    <w:rPr>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6" w:hRule="atLeast"/>
                <w:jc w:val="center"/>
              </w:trPr>
              <w:tc>
                <w:tcPr>
                  <w:tcW w:w="536" w:type="pct"/>
                  <w:vMerge w:val="continue"/>
                  <w:tcBorders>
                    <w:tl2br w:val="nil"/>
                    <w:tr2bl w:val="nil"/>
                  </w:tcBorders>
                  <w:noWrap/>
                  <w:vAlign w:val="center"/>
                </w:tcPr>
                <w:p>
                  <w:pPr>
                    <w:jc w:val="center"/>
                    <w:rPr>
                      <w:szCs w:val="21"/>
                      <w:highlight w:val="none"/>
                    </w:rPr>
                  </w:pPr>
                </w:p>
              </w:tc>
              <w:tc>
                <w:tcPr>
                  <w:tcW w:w="267" w:type="pct"/>
                  <w:vMerge w:val="continue"/>
                  <w:tcBorders>
                    <w:tl2br w:val="nil"/>
                    <w:tr2bl w:val="nil"/>
                  </w:tcBorders>
                  <w:noWrap/>
                  <w:vAlign w:val="center"/>
                </w:tcPr>
                <w:p>
                  <w:pPr>
                    <w:jc w:val="center"/>
                    <w:rPr>
                      <w:szCs w:val="21"/>
                      <w:highlight w:val="none"/>
                    </w:rPr>
                  </w:pPr>
                </w:p>
              </w:tc>
              <w:tc>
                <w:tcPr>
                  <w:tcW w:w="344" w:type="pct"/>
                  <w:tcBorders>
                    <w:tl2br w:val="nil"/>
                    <w:tr2bl w:val="nil"/>
                  </w:tcBorders>
                  <w:noWrap/>
                  <w:vAlign w:val="center"/>
                </w:tcPr>
                <w:p>
                  <w:pPr>
                    <w:jc w:val="center"/>
                    <w:rPr>
                      <w:szCs w:val="21"/>
                      <w:highlight w:val="none"/>
                    </w:rPr>
                  </w:pPr>
                  <w:r>
                    <w:rPr>
                      <w:szCs w:val="21"/>
                      <w:highlight w:val="none"/>
                    </w:rPr>
                    <w:t>氨氮</w:t>
                  </w:r>
                </w:p>
              </w:tc>
              <w:tc>
                <w:tcPr>
                  <w:tcW w:w="492" w:type="pct"/>
                  <w:tcBorders>
                    <w:tl2br w:val="nil"/>
                    <w:tr2bl w:val="nil"/>
                  </w:tcBorders>
                  <w:noWrap/>
                  <w:vAlign w:val="center"/>
                </w:tcPr>
                <w:p>
                  <w:pPr>
                    <w:jc w:val="center"/>
                    <w:rPr>
                      <w:szCs w:val="21"/>
                      <w:highlight w:val="none"/>
                    </w:rPr>
                  </w:pPr>
                  <w:r>
                    <w:rPr>
                      <w:rFonts w:hint="eastAsia"/>
                      <w:szCs w:val="21"/>
                      <w:highlight w:val="none"/>
                    </w:rPr>
                    <w:t>2</w:t>
                  </w:r>
                  <w:r>
                    <w:rPr>
                      <w:szCs w:val="21"/>
                      <w:highlight w:val="none"/>
                    </w:rPr>
                    <w:t>5</w:t>
                  </w:r>
                </w:p>
              </w:tc>
              <w:tc>
                <w:tcPr>
                  <w:tcW w:w="486" w:type="pct"/>
                  <w:tcBorders>
                    <w:tl2br w:val="nil"/>
                    <w:tr2bl w:val="nil"/>
                  </w:tcBorders>
                  <w:noWrap/>
                  <w:vAlign w:val="bottom"/>
                </w:tcPr>
                <w:p>
                  <w:pPr>
                    <w:jc w:val="center"/>
                    <w:rPr>
                      <w:rFonts w:hint="default" w:eastAsia="宋体"/>
                      <w:szCs w:val="21"/>
                      <w:highlight w:val="none"/>
                      <w:lang w:val="en-US" w:eastAsia="zh-CN"/>
                    </w:rPr>
                  </w:pPr>
                  <w:r>
                    <w:rPr>
                      <w:rFonts w:hint="eastAsia"/>
                      <w:szCs w:val="21"/>
                      <w:highlight w:val="none"/>
                      <w:lang w:val="en-US" w:eastAsia="zh-CN"/>
                    </w:rPr>
                    <w:t>0.03</w:t>
                  </w:r>
                </w:p>
              </w:tc>
              <w:tc>
                <w:tcPr>
                  <w:tcW w:w="295" w:type="pct"/>
                  <w:vMerge w:val="continue"/>
                  <w:tcBorders>
                    <w:tl2br w:val="nil"/>
                    <w:tr2bl w:val="nil"/>
                  </w:tcBorders>
                  <w:noWrap/>
                  <w:vAlign w:val="center"/>
                </w:tcPr>
                <w:p>
                  <w:pPr>
                    <w:jc w:val="center"/>
                    <w:rPr>
                      <w:szCs w:val="21"/>
                      <w:highlight w:val="none"/>
                    </w:rPr>
                  </w:pPr>
                </w:p>
              </w:tc>
              <w:tc>
                <w:tcPr>
                  <w:tcW w:w="312" w:type="pct"/>
                  <w:vMerge w:val="continue"/>
                  <w:tcBorders>
                    <w:tl2br w:val="nil"/>
                    <w:tr2bl w:val="nil"/>
                  </w:tcBorders>
                  <w:noWrap/>
                  <w:vAlign w:val="center"/>
                </w:tcPr>
                <w:p>
                  <w:pPr>
                    <w:jc w:val="center"/>
                    <w:rPr>
                      <w:szCs w:val="21"/>
                      <w:highlight w:val="none"/>
                    </w:rPr>
                  </w:pPr>
                </w:p>
              </w:tc>
              <w:tc>
                <w:tcPr>
                  <w:tcW w:w="509" w:type="pct"/>
                  <w:tcBorders>
                    <w:tl2br w:val="nil"/>
                    <w:tr2bl w:val="nil"/>
                  </w:tcBorders>
                  <w:noWrap/>
                  <w:vAlign w:val="center"/>
                </w:tcPr>
                <w:p>
                  <w:pPr>
                    <w:jc w:val="center"/>
                    <w:rPr>
                      <w:szCs w:val="21"/>
                      <w:highlight w:val="none"/>
                    </w:rPr>
                  </w:pPr>
                  <w:r>
                    <w:rPr>
                      <w:rFonts w:hint="eastAsia"/>
                      <w:szCs w:val="21"/>
                      <w:highlight w:val="none"/>
                    </w:rPr>
                    <w:t>2</w:t>
                  </w:r>
                  <w:r>
                    <w:rPr>
                      <w:szCs w:val="21"/>
                      <w:highlight w:val="none"/>
                    </w:rPr>
                    <w:t>5</w:t>
                  </w:r>
                </w:p>
              </w:tc>
              <w:tc>
                <w:tcPr>
                  <w:tcW w:w="895" w:type="dxa"/>
                  <w:tcBorders>
                    <w:tl2br w:val="nil"/>
                    <w:tr2bl w:val="nil"/>
                  </w:tcBorders>
                  <w:noWrap/>
                  <w:vAlign w:val="bottom"/>
                </w:tcPr>
                <w:p>
                  <w:pPr>
                    <w:jc w:val="center"/>
                    <w:rPr>
                      <w:szCs w:val="21"/>
                      <w:highlight w:val="none"/>
                    </w:rPr>
                  </w:pPr>
                  <w:r>
                    <w:rPr>
                      <w:rFonts w:hint="eastAsia"/>
                      <w:szCs w:val="21"/>
                      <w:highlight w:val="none"/>
                      <w:lang w:val="en-US" w:eastAsia="zh-CN"/>
                    </w:rPr>
                    <w:t>0.03</w:t>
                  </w:r>
                </w:p>
              </w:tc>
              <w:tc>
                <w:tcPr>
                  <w:tcW w:w="472" w:type="pct"/>
                  <w:tcBorders>
                    <w:tl2br w:val="nil"/>
                    <w:tr2bl w:val="nil"/>
                  </w:tcBorders>
                  <w:noWrap/>
                  <w:vAlign w:val="center"/>
                </w:tcPr>
                <w:p>
                  <w:pPr>
                    <w:jc w:val="center"/>
                    <w:rPr>
                      <w:szCs w:val="21"/>
                      <w:highlight w:val="none"/>
                    </w:rPr>
                  </w:pPr>
                  <w:r>
                    <w:rPr>
                      <w:szCs w:val="21"/>
                      <w:highlight w:val="none"/>
                    </w:rPr>
                    <w:t>40</w:t>
                  </w:r>
                </w:p>
              </w:tc>
              <w:tc>
                <w:tcPr>
                  <w:tcW w:w="776" w:type="pct"/>
                  <w:vMerge w:val="continue"/>
                  <w:tcBorders>
                    <w:tl2br w:val="nil"/>
                    <w:tr2bl w:val="nil"/>
                  </w:tcBorders>
                  <w:noWrap/>
                  <w:vAlign w:val="center"/>
                </w:tcPr>
                <w:p>
                  <w:pPr>
                    <w:snapToGrid w:val="0"/>
                    <w:jc w:val="center"/>
                    <w:rPr>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6" w:type="pct"/>
                  <w:vMerge w:val="continue"/>
                  <w:vAlign w:val="center"/>
                </w:tcPr>
                <w:p>
                  <w:pPr>
                    <w:jc w:val="center"/>
                    <w:rPr>
                      <w:szCs w:val="21"/>
                      <w:highlight w:val="none"/>
                    </w:rPr>
                  </w:pPr>
                </w:p>
              </w:tc>
              <w:tc>
                <w:tcPr>
                  <w:tcW w:w="267" w:type="pct"/>
                  <w:vMerge w:val="continue"/>
                  <w:vAlign w:val="center"/>
                </w:tcPr>
                <w:p>
                  <w:pPr>
                    <w:jc w:val="center"/>
                    <w:rPr>
                      <w:szCs w:val="21"/>
                      <w:highlight w:val="none"/>
                    </w:rPr>
                  </w:pPr>
                </w:p>
              </w:tc>
              <w:tc>
                <w:tcPr>
                  <w:tcW w:w="344" w:type="pct"/>
                  <w:vAlign w:val="center"/>
                </w:tcPr>
                <w:p>
                  <w:pPr>
                    <w:jc w:val="center"/>
                    <w:rPr>
                      <w:szCs w:val="21"/>
                      <w:highlight w:val="none"/>
                    </w:rPr>
                  </w:pPr>
                  <w:r>
                    <w:rPr>
                      <w:szCs w:val="21"/>
                      <w:highlight w:val="none"/>
                    </w:rPr>
                    <w:t>总磷</w:t>
                  </w:r>
                </w:p>
              </w:tc>
              <w:tc>
                <w:tcPr>
                  <w:tcW w:w="492" w:type="pct"/>
                  <w:vAlign w:val="center"/>
                </w:tcPr>
                <w:p>
                  <w:pPr>
                    <w:jc w:val="center"/>
                    <w:rPr>
                      <w:szCs w:val="21"/>
                      <w:highlight w:val="none"/>
                    </w:rPr>
                  </w:pPr>
                  <w:r>
                    <w:rPr>
                      <w:szCs w:val="21"/>
                      <w:highlight w:val="none"/>
                    </w:rPr>
                    <w:t>3</w:t>
                  </w:r>
                </w:p>
              </w:tc>
              <w:tc>
                <w:tcPr>
                  <w:tcW w:w="486" w:type="pct"/>
                  <w:vAlign w:val="bottom"/>
                </w:tcPr>
                <w:p>
                  <w:pPr>
                    <w:jc w:val="center"/>
                    <w:rPr>
                      <w:rFonts w:hint="default" w:eastAsia="宋体"/>
                      <w:szCs w:val="21"/>
                      <w:highlight w:val="none"/>
                      <w:lang w:val="en-US" w:eastAsia="zh-CN"/>
                    </w:rPr>
                  </w:pPr>
                  <w:r>
                    <w:rPr>
                      <w:rFonts w:hint="eastAsia"/>
                      <w:szCs w:val="21"/>
                      <w:highlight w:val="none"/>
                      <w:lang w:val="en-US" w:eastAsia="zh-CN"/>
                    </w:rPr>
                    <w:t>0.0036</w:t>
                  </w:r>
                </w:p>
              </w:tc>
              <w:tc>
                <w:tcPr>
                  <w:tcW w:w="295" w:type="pct"/>
                  <w:vMerge w:val="continue"/>
                  <w:vAlign w:val="center"/>
                </w:tcPr>
                <w:p>
                  <w:pPr>
                    <w:jc w:val="center"/>
                    <w:rPr>
                      <w:szCs w:val="21"/>
                      <w:highlight w:val="none"/>
                    </w:rPr>
                  </w:pPr>
                </w:p>
              </w:tc>
              <w:tc>
                <w:tcPr>
                  <w:tcW w:w="312" w:type="pct"/>
                  <w:vMerge w:val="continue"/>
                  <w:vAlign w:val="center"/>
                </w:tcPr>
                <w:p>
                  <w:pPr>
                    <w:jc w:val="center"/>
                    <w:rPr>
                      <w:szCs w:val="21"/>
                      <w:highlight w:val="none"/>
                    </w:rPr>
                  </w:pPr>
                </w:p>
              </w:tc>
              <w:tc>
                <w:tcPr>
                  <w:tcW w:w="509" w:type="pct"/>
                  <w:vAlign w:val="center"/>
                </w:tcPr>
                <w:p>
                  <w:pPr>
                    <w:jc w:val="center"/>
                    <w:rPr>
                      <w:szCs w:val="21"/>
                      <w:highlight w:val="none"/>
                    </w:rPr>
                  </w:pPr>
                  <w:r>
                    <w:rPr>
                      <w:szCs w:val="21"/>
                      <w:highlight w:val="none"/>
                    </w:rPr>
                    <w:t>3</w:t>
                  </w:r>
                </w:p>
              </w:tc>
              <w:tc>
                <w:tcPr>
                  <w:tcW w:w="895" w:type="dxa"/>
                  <w:vAlign w:val="bottom"/>
                </w:tcPr>
                <w:p>
                  <w:pPr>
                    <w:jc w:val="center"/>
                    <w:rPr>
                      <w:szCs w:val="21"/>
                      <w:highlight w:val="none"/>
                    </w:rPr>
                  </w:pPr>
                  <w:r>
                    <w:rPr>
                      <w:rFonts w:hint="eastAsia"/>
                      <w:szCs w:val="21"/>
                      <w:highlight w:val="none"/>
                      <w:lang w:val="en-US" w:eastAsia="zh-CN"/>
                    </w:rPr>
                    <w:t>0.0036</w:t>
                  </w:r>
                </w:p>
              </w:tc>
              <w:tc>
                <w:tcPr>
                  <w:tcW w:w="472" w:type="pct"/>
                  <w:vAlign w:val="center"/>
                </w:tcPr>
                <w:p>
                  <w:pPr>
                    <w:jc w:val="center"/>
                    <w:rPr>
                      <w:szCs w:val="21"/>
                      <w:highlight w:val="none"/>
                    </w:rPr>
                  </w:pPr>
                  <w:r>
                    <w:rPr>
                      <w:szCs w:val="21"/>
                      <w:highlight w:val="none"/>
                    </w:rPr>
                    <w:t>3</w:t>
                  </w:r>
                </w:p>
              </w:tc>
              <w:tc>
                <w:tcPr>
                  <w:tcW w:w="776" w:type="pct"/>
                  <w:vMerge w:val="continue"/>
                  <w:vAlign w:val="center"/>
                </w:tcPr>
                <w:p>
                  <w:pPr>
                    <w:snapToGrid w:val="0"/>
                    <w:jc w:val="center"/>
                    <w:rPr>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6" w:type="pct"/>
                  <w:vMerge w:val="restart"/>
                  <w:vAlign w:val="center"/>
                </w:tcPr>
                <w:p>
                  <w:pPr>
                    <w:jc w:val="center"/>
                    <w:rPr>
                      <w:rFonts w:hint="eastAsia" w:eastAsia="宋体"/>
                      <w:szCs w:val="21"/>
                      <w:highlight w:val="none"/>
                      <w:lang w:eastAsia="zh-CN"/>
                    </w:rPr>
                  </w:pPr>
                  <w:r>
                    <w:rPr>
                      <w:rFonts w:hint="eastAsia"/>
                      <w:szCs w:val="21"/>
                      <w:highlight w:val="none"/>
                      <w:lang w:eastAsia="zh-CN"/>
                    </w:rPr>
                    <w:t>冷却废水</w:t>
                  </w:r>
                </w:p>
              </w:tc>
              <w:tc>
                <w:tcPr>
                  <w:tcW w:w="267" w:type="pct"/>
                  <w:vMerge w:val="restart"/>
                  <w:vAlign w:val="center"/>
                </w:tcPr>
                <w:p>
                  <w:pPr>
                    <w:jc w:val="center"/>
                    <w:rPr>
                      <w:rFonts w:hint="default" w:eastAsia="宋体"/>
                      <w:szCs w:val="21"/>
                      <w:highlight w:val="none"/>
                      <w:lang w:val="en-US" w:eastAsia="zh-CN"/>
                    </w:rPr>
                  </w:pPr>
                  <w:r>
                    <w:rPr>
                      <w:rFonts w:hint="eastAsia"/>
                      <w:szCs w:val="21"/>
                      <w:highlight w:val="none"/>
                      <w:lang w:val="en-US" w:eastAsia="zh-CN"/>
                    </w:rPr>
                    <w:t>720</w:t>
                  </w:r>
                </w:p>
              </w:tc>
              <w:tc>
                <w:tcPr>
                  <w:tcW w:w="344" w:type="pct"/>
                  <w:vAlign w:val="center"/>
                </w:tcPr>
                <w:p>
                  <w:pPr>
                    <w:jc w:val="center"/>
                    <w:rPr>
                      <w:szCs w:val="21"/>
                      <w:highlight w:val="none"/>
                    </w:rPr>
                  </w:pPr>
                  <w:r>
                    <w:rPr>
                      <w:szCs w:val="21"/>
                      <w:highlight w:val="none"/>
                    </w:rPr>
                    <w:t>COD</w:t>
                  </w:r>
                </w:p>
              </w:tc>
              <w:tc>
                <w:tcPr>
                  <w:tcW w:w="492" w:type="pct"/>
                  <w:vAlign w:val="center"/>
                </w:tcPr>
                <w:p>
                  <w:pPr>
                    <w:jc w:val="center"/>
                    <w:rPr>
                      <w:szCs w:val="21"/>
                      <w:highlight w:val="none"/>
                    </w:rPr>
                  </w:pPr>
                  <w:r>
                    <w:rPr>
                      <w:szCs w:val="21"/>
                      <w:highlight w:val="none"/>
                    </w:rPr>
                    <w:t>350</w:t>
                  </w:r>
                </w:p>
              </w:tc>
              <w:tc>
                <w:tcPr>
                  <w:tcW w:w="486" w:type="pct"/>
                  <w:vAlign w:val="bottom"/>
                </w:tcPr>
                <w:p>
                  <w:pPr>
                    <w:jc w:val="center"/>
                    <w:rPr>
                      <w:rFonts w:hint="default"/>
                      <w:szCs w:val="21"/>
                      <w:highlight w:val="none"/>
                      <w:lang w:val="en-US"/>
                    </w:rPr>
                  </w:pPr>
                  <w:r>
                    <w:rPr>
                      <w:rFonts w:hint="eastAsia"/>
                      <w:szCs w:val="21"/>
                      <w:highlight w:val="none"/>
                      <w:lang w:val="en-US" w:eastAsia="zh-CN"/>
                    </w:rPr>
                    <w:t>0.252</w:t>
                  </w:r>
                </w:p>
              </w:tc>
              <w:tc>
                <w:tcPr>
                  <w:tcW w:w="295" w:type="pct"/>
                  <w:vMerge w:val="restart"/>
                  <w:vAlign w:val="center"/>
                </w:tcPr>
                <w:p>
                  <w:pPr>
                    <w:jc w:val="center"/>
                    <w:rPr>
                      <w:rFonts w:ascii="Times New Roman" w:hAnsi="Times New Roman" w:eastAsia="宋体" w:cs="Times New Roman"/>
                      <w:kern w:val="2"/>
                      <w:sz w:val="21"/>
                      <w:szCs w:val="21"/>
                      <w:highlight w:val="none"/>
                      <w:lang w:val="en-US" w:eastAsia="zh-CN" w:bidi="ar-SA"/>
                    </w:rPr>
                  </w:pPr>
                  <w:r>
                    <w:rPr>
                      <w:szCs w:val="21"/>
                      <w:highlight w:val="none"/>
                    </w:rPr>
                    <w:t>/</w:t>
                  </w:r>
                </w:p>
              </w:tc>
              <w:tc>
                <w:tcPr>
                  <w:tcW w:w="312" w:type="pct"/>
                  <w:vMerge w:val="restart"/>
                  <w:vAlign w:val="center"/>
                </w:tcPr>
                <w:p>
                  <w:pPr>
                    <w:jc w:val="center"/>
                    <w:rPr>
                      <w:rFonts w:ascii="Times New Roman" w:hAnsi="Times New Roman" w:eastAsia="宋体" w:cs="Times New Roman"/>
                      <w:kern w:val="2"/>
                      <w:sz w:val="21"/>
                      <w:szCs w:val="21"/>
                      <w:highlight w:val="none"/>
                      <w:lang w:val="en-US" w:eastAsia="zh-CN" w:bidi="ar-SA"/>
                    </w:rPr>
                  </w:pPr>
                  <w:r>
                    <w:rPr>
                      <w:szCs w:val="21"/>
                      <w:highlight w:val="none"/>
                    </w:rPr>
                    <w:t>/</w:t>
                  </w:r>
                </w:p>
              </w:tc>
              <w:tc>
                <w:tcPr>
                  <w:tcW w:w="509" w:type="pct"/>
                  <w:vAlign w:val="center"/>
                </w:tcPr>
                <w:p>
                  <w:pPr>
                    <w:jc w:val="center"/>
                    <w:rPr>
                      <w:szCs w:val="21"/>
                      <w:highlight w:val="none"/>
                    </w:rPr>
                  </w:pPr>
                  <w:r>
                    <w:rPr>
                      <w:szCs w:val="21"/>
                      <w:highlight w:val="none"/>
                    </w:rPr>
                    <w:t>350</w:t>
                  </w:r>
                </w:p>
              </w:tc>
              <w:tc>
                <w:tcPr>
                  <w:tcW w:w="505" w:type="pct"/>
                  <w:vAlign w:val="bottom"/>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0.252</w:t>
                  </w:r>
                </w:p>
              </w:tc>
              <w:tc>
                <w:tcPr>
                  <w:tcW w:w="472" w:type="pct"/>
                  <w:vAlign w:val="center"/>
                </w:tcPr>
                <w:p>
                  <w:pPr>
                    <w:jc w:val="center"/>
                    <w:rPr>
                      <w:szCs w:val="21"/>
                      <w:highlight w:val="none"/>
                    </w:rPr>
                  </w:pPr>
                  <w:r>
                    <w:rPr>
                      <w:szCs w:val="21"/>
                      <w:highlight w:val="none"/>
                    </w:rPr>
                    <w:t>350</w:t>
                  </w:r>
                </w:p>
              </w:tc>
              <w:tc>
                <w:tcPr>
                  <w:tcW w:w="776" w:type="pct"/>
                  <w:vMerge w:val="continue"/>
                  <w:vAlign w:val="center"/>
                </w:tcPr>
                <w:p>
                  <w:pPr>
                    <w:snapToGrid w:val="0"/>
                    <w:jc w:val="center"/>
                    <w:rPr>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6" w:type="pct"/>
                  <w:vMerge w:val="continue"/>
                  <w:vAlign w:val="center"/>
                </w:tcPr>
                <w:p>
                  <w:pPr>
                    <w:jc w:val="center"/>
                    <w:rPr>
                      <w:szCs w:val="21"/>
                      <w:highlight w:val="none"/>
                    </w:rPr>
                  </w:pPr>
                </w:p>
              </w:tc>
              <w:tc>
                <w:tcPr>
                  <w:tcW w:w="267" w:type="pct"/>
                  <w:vMerge w:val="continue"/>
                  <w:vAlign w:val="center"/>
                </w:tcPr>
                <w:p>
                  <w:pPr>
                    <w:jc w:val="center"/>
                    <w:rPr>
                      <w:szCs w:val="21"/>
                      <w:highlight w:val="none"/>
                    </w:rPr>
                  </w:pPr>
                </w:p>
              </w:tc>
              <w:tc>
                <w:tcPr>
                  <w:tcW w:w="344" w:type="pct"/>
                  <w:vAlign w:val="center"/>
                </w:tcPr>
                <w:p>
                  <w:pPr>
                    <w:jc w:val="center"/>
                    <w:rPr>
                      <w:szCs w:val="21"/>
                      <w:highlight w:val="none"/>
                    </w:rPr>
                  </w:pPr>
                  <w:r>
                    <w:rPr>
                      <w:szCs w:val="21"/>
                      <w:highlight w:val="none"/>
                    </w:rPr>
                    <w:t>SS</w:t>
                  </w:r>
                </w:p>
              </w:tc>
              <w:tc>
                <w:tcPr>
                  <w:tcW w:w="492" w:type="pct"/>
                  <w:vAlign w:val="center"/>
                </w:tcPr>
                <w:p>
                  <w:pPr>
                    <w:jc w:val="center"/>
                    <w:rPr>
                      <w:szCs w:val="21"/>
                      <w:highlight w:val="none"/>
                    </w:rPr>
                  </w:pPr>
                  <w:r>
                    <w:rPr>
                      <w:szCs w:val="21"/>
                      <w:highlight w:val="none"/>
                    </w:rPr>
                    <w:t>300</w:t>
                  </w:r>
                </w:p>
              </w:tc>
              <w:tc>
                <w:tcPr>
                  <w:tcW w:w="486" w:type="pct"/>
                  <w:vAlign w:val="bottom"/>
                </w:tcPr>
                <w:p>
                  <w:pPr>
                    <w:jc w:val="center"/>
                    <w:rPr>
                      <w:rFonts w:hint="default" w:eastAsia="宋体"/>
                      <w:szCs w:val="21"/>
                      <w:highlight w:val="none"/>
                      <w:lang w:val="en-US" w:eastAsia="zh-CN"/>
                    </w:rPr>
                  </w:pPr>
                  <w:r>
                    <w:rPr>
                      <w:rFonts w:hint="eastAsia"/>
                      <w:szCs w:val="21"/>
                      <w:highlight w:val="none"/>
                      <w:lang w:val="en-US" w:eastAsia="zh-CN"/>
                    </w:rPr>
                    <w:t>0.216</w:t>
                  </w:r>
                </w:p>
              </w:tc>
              <w:tc>
                <w:tcPr>
                  <w:tcW w:w="295" w:type="pct"/>
                  <w:vMerge w:val="continue"/>
                  <w:vAlign w:val="center"/>
                </w:tcPr>
                <w:p>
                  <w:pPr>
                    <w:jc w:val="center"/>
                    <w:rPr>
                      <w:szCs w:val="21"/>
                      <w:highlight w:val="none"/>
                    </w:rPr>
                  </w:pPr>
                </w:p>
              </w:tc>
              <w:tc>
                <w:tcPr>
                  <w:tcW w:w="312" w:type="pct"/>
                  <w:vMerge w:val="continue"/>
                  <w:vAlign w:val="center"/>
                </w:tcPr>
                <w:p>
                  <w:pPr>
                    <w:jc w:val="center"/>
                    <w:rPr>
                      <w:szCs w:val="21"/>
                      <w:highlight w:val="none"/>
                    </w:rPr>
                  </w:pPr>
                </w:p>
              </w:tc>
              <w:tc>
                <w:tcPr>
                  <w:tcW w:w="509" w:type="pct"/>
                  <w:vAlign w:val="center"/>
                </w:tcPr>
                <w:p>
                  <w:pPr>
                    <w:jc w:val="center"/>
                    <w:rPr>
                      <w:szCs w:val="21"/>
                      <w:highlight w:val="none"/>
                    </w:rPr>
                  </w:pPr>
                  <w:r>
                    <w:rPr>
                      <w:szCs w:val="21"/>
                      <w:highlight w:val="none"/>
                    </w:rPr>
                    <w:t>300</w:t>
                  </w:r>
                </w:p>
              </w:tc>
              <w:tc>
                <w:tcPr>
                  <w:tcW w:w="505" w:type="pct"/>
                  <w:vAlign w:val="bottom"/>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0.216</w:t>
                  </w:r>
                </w:p>
              </w:tc>
              <w:tc>
                <w:tcPr>
                  <w:tcW w:w="472" w:type="pct"/>
                  <w:vAlign w:val="center"/>
                </w:tcPr>
                <w:p>
                  <w:pPr>
                    <w:jc w:val="center"/>
                    <w:rPr>
                      <w:szCs w:val="21"/>
                      <w:highlight w:val="none"/>
                    </w:rPr>
                  </w:pPr>
                  <w:r>
                    <w:rPr>
                      <w:szCs w:val="21"/>
                      <w:highlight w:val="none"/>
                    </w:rPr>
                    <w:t>300</w:t>
                  </w:r>
                </w:p>
              </w:tc>
              <w:tc>
                <w:tcPr>
                  <w:tcW w:w="776" w:type="pct"/>
                  <w:vMerge w:val="continue"/>
                  <w:vAlign w:val="center"/>
                </w:tcPr>
                <w:p>
                  <w:pPr>
                    <w:snapToGrid w:val="0"/>
                    <w:jc w:val="center"/>
                    <w:rPr>
                      <w:sz w:val="18"/>
                      <w:szCs w:val="18"/>
                    </w:rPr>
                  </w:pPr>
                </w:p>
              </w:tc>
            </w:tr>
          </w:tbl>
          <w:p>
            <w:pPr>
              <w:spacing w:line="360" w:lineRule="auto"/>
              <w:ind w:firstLine="482" w:firstLineChars="200"/>
              <w:rPr>
                <w:b/>
                <w:bCs/>
                <w:sz w:val="24"/>
                <w:highlight w:val="yellow"/>
              </w:rPr>
            </w:pPr>
            <w:r>
              <w:rPr>
                <w:rFonts w:hint="eastAsia"/>
                <w:b/>
                <w:bCs/>
                <w:sz w:val="24"/>
                <w:highlight w:val="none"/>
                <w:lang w:eastAsia="zh-CN"/>
              </w:rPr>
              <w:t>（</w:t>
            </w:r>
            <w:r>
              <w:rPr>
                <w:rFonts w:hint="eastAsia"/>
                <w:b/>
                <w:bCs/>
                <w:sz w:val="24"/>
                <w:highlight w:val="none"/>
                <w:lang w:val="en-US" w:eastAsia="zh-CN"/>
              </w:rPr>
              <w:t>2</w:t>
            </w:r>
            <w:r>
              <w:rPr>
                <w:rFonts w:hint="eastAsia"/>
                <w:b/>
                <w:bCs/>
                <w:sz w:val="24"/>
                <w:highlight w:val="none"/>
                <w:lang w:eastAsia="zh-CN"/>
              </w:rPr>
              <w:t>）水平衡图</w:t>
            </w:r>
            <w:r>
              <w:rPr>
                <w:b/>
                <w:bCs/>
                <w:sz w:val="24"/>
                <w:highlight w:val="none"/>
              </w:rPr>
              <w:pict>
                <v:shape id="_x0000_s1026" o:spid="_x0000_s1026" o:spt="75" type="#_x0000_t75" style="position:absolute;left:0pt;margin-left:0pt;margin-top:23.3pt;height:163.7pt;width:402.05pt;mso-wrap-distance-bottom:0pt;mso-wrap-distance-left:9pt;mso-wrap-distance-right:9pt;mso-wrap-distance-top:0pt;z-index:251659264;mso-width-relative:page;mso-height-relative:page;" o:ole="t" filled="f" o:preferrelative="t" stroked="f" coordsize="21600,21600">
                  <v:path/>
                  <v:fill on="f" focussize="0,0"/>
                  <v:stroke on="f"/>
                  <v:imagedata r:id="rId18" o:title=""/>
                  <o:lock v:ext="edit" aspectratio="f"/>
                  <w10:wrap type="square"/>
                </v:shape>
                <o:OLEObject Type="Embed" ProgID="Visio.Drawing.11" ShapeID="_x0000_s1026" DrawAspect="Content" ObjectID="_1468075729" r:id="rId17">
                  <o:LockedField>false</o:LockedField>
                </o:OLEObject>
              </w:pict>
            </w:r>
          </w:p>
          <w:p>
            <w:pPr>
              <w:pStyle w:val="10"/>
              <w:snapToGrid w:val="0"/>
              <w:ind w:firstLine="0" w:firstLineChars="0"/>
              <w:jc w:val="center"/>
              <w:rPr>
                <w:rFonts w:ascii="Times New Roman" w:eastAsia="宋体"/>
                <w:b/>
                <w:sz w:val="24"/>
                <w:szCs w:val="21"/>
                <w:highlight w:val="none"/>
              </w:rPr>
            </w:pPr>
          </w:p>
          <w:p>
            <w:pPr>
              <w:pStyle w:val="10"/>
              <w:snapToGrid w:val="0"/>
              <w:ind w:firstLine="0" w:firstLineChars="0"/>
              <w:jc w:val="center"/>
              <w:rPr>
                <w:rFonts w:ascii="Times New Roman" w:eastAsia="宋体"/>
                <w:b/>
                <w:sz w:val="24"/>
                <w:szCs w:val="21"/>
                <w:highlight w:val="none"/>
              </w:rPr>
            </w:pPr>
          </w:p>
          <w:p>
            <w:pPr>
              <w:pStyle w:val="10"/>
              <w:snapToGrid w:val="0"/>
              <w:ind w:firstLine="0" w:firstLineChars="0"/>
              <w:jc w:val="center"/>
              <w:rPr>
                <w:rFonts w:ascii="Times New Roman" w:eastAsia="宋体"/>
                <w:b/>
                <w:sz w:val="24"/>
                <w:szCs w:val="21"/>
                <w:highlight w:val="none"/>
              </w:rPr>
            </w:pPr>
          </w:p>
          <w:p>
            <w:pPr>
              <w:pStyle w:val="10"/>
              <w:snapToGrid w:val="0"/>
              <w:ind w:firstLine="0" w:firstLineChars="0"/>
              <w:jc w:val="center"/>
              <w:rPr>
                <w:rFonts w:ascii="Times New Roman" w:eastAsia="宋体"/>
                <w:b/>
                <w:sz w:val="24"/>
                <w:szCs w:val="21"/>
                <w:highlight w:val="none"/>
              </w:rPr>
            </w:pPr>
          </w:p>
          <w:p>
            <w:pPr>
              <w:pStyle w:val="10"/>
              <w:snapToGrid w:val="0"/>
              <w:ind w:firstLine="0" w:firstLineChars="0"/>
              <w:jc w:val="center"/>
              <w:rPr>
                <w:rFonts w:ascii="Times New Roman" w:eastAsia="宋体"/>
                <w:b/>
                <w:sz w:val="24"/>
                <w:szCs w:val="21"/>
                <w:highlight w:val="none"/>
              </w:rPr>
            </w:pPr>
          </w:p>
          <w:p>
            <w:pPr>
              <w:pStyle w:val="10"/>
              <w:snapToGrid w:val="0"/>
              <w:ind w:firstLine="0" w:firstLineChars="0"/>
              <w:jc w:val="center"/>
              <w:rPr>
                <w:rFonts w:ascii="Times New Roman" w:eastAsia="宋体"/>
                <w:b/>
                <w:sz w:val="24"/>
                <w:szCs w:val="21"/>
                <w:highlight w:val="none"/>
              </w:rPr>
            </w:pPr>
          </w:p>
          <w:p>
            <w:pPr>
              <w:pStyle w:val="10"/>
              <w:snapToGrid w:val="0"/>
              <w:ind w:firstLine="0" w:firstLineChars="0"/>
              <w:jc w:val="center"/>
              <w:rPr>
                <w:rFonts w:ascii="Times New Roman" w:eastAsia="宋体"/>
                <w:b/>
                <w:sz w:val="24"/>
                <w:szCs w:val="21"/>
                <w:highlight w:val="none"/>
              </w:rPr>
            </w:pPr>
          </w:p>
          <w:p>
            <w:pPr>
              <w:pStyle w:val="10"/>
              <w:snapToGrid w:val="0"/>
              <w:ind w:firstLine="0" w:firstLineChars="0"/>
              <w:jc w:val="center"/>
              <w:rPr>
                <w:rFonts w:ascii="Times New Roman" w:eastAsia="宋体"/>
                <w:b/>
                <w:sz w:val="24"/>
                <w:szCs w:val="21"/>
                <w:highlight w:val="none"/>
              </w:rPr>
            </w:pPr>
          </w:p>
          <w:p>
            <w:pPr>
              <w:pStyle w:val="10"/>
              <w:snapToGrid w:val="0"/>
              <w:ind w:firstLine="0" w:firstLineChars="0"/>
              <w:jc w:val="center"/>
              <w:rPr>
                <w:rFonts w:ascii="Times New Roman" w:eastAsia="宋体"/>
                <w:b/>
                <w:sz w:val="24"/>
                <w:szCs w:val="21"/>
                <w:highlight w:val="none"/>
              </w:rPr>
            </w:pPr>
          </w:p>
          <w:p>
            <w:pPr>
              <w:pStyle w:val="10"/>
              <w:snapToGrid w:val="0"/>
              <w:ind w:firstLine="0" w:firstLineChars="0"/>
              <w:jc w:val="center"/>
              <w:rPr>
                <w:rFonts w:ascii="Times New Roman" w:eastAsia="宋体"/>
                <w:b/>
                <w:sz w:val="24"/>
                <w:szCs w:val="21"/>
                <w:highlight w:val="none"/>
              </w:rPr>
            </w:pPr>
          </w:p>
          <w:p>
            <w:pPr>
              <w:pStyle w:val="10"/>
              <w:snapToGrid w:val="0"/>
              <w:ind w:firstLine="0" w:firstLineChars="0"/>
              <w:jc w:val="center"/>
              <w:rPr>
                <w:rFonts w:ascii="Times New Roman" w:eastAsia="宋体"/>
                <w:b/>
                <w:sz w:val="24"/>
                <w:szCs w:val="21"/>
                <w:highlight w:val="none"/>
              </w:rPr>
            </w:pPr>
          </w:p>
          <w:p>
            <w:pPr>
              <w:pStyle w:val="10"/>
              <w:snapToGrid w:val="0"/>
              <w:ind w:firstLine="0" w:firstLineChars="0"/>
              <w:jc w:val="center"/>
              <w:rPr>
                <w:rFonts w:ascii="Times New Roman" w:eastAsia="宋体"/>
                <w:b/>
                <w:sz w:val="24"/>
                <w:szCs w:val="21"/>
                <w:highlight w:val="none"/>
              </w:rPr>
            </w:pPr>
          </w:p>
          <w:p>
            <w:pPr>
              <w:pStyle w:val="10"/>
              <w:snapToGrid w:val="0"/>
              <w:ind w:firstLine="0" w:firstLineChars="0"/>
              <w:jc w:val="center"/>
              <w:rPr>
                <w:rFonts w:ascii="Times New Roman" w:eastAsia="宋体"/>
                <w:b/>
                <w:sz w:val="24"/>
                <w:szCs w:val="21"/>
                <w:highlight w:val="none"/>
              </w:rPr>
            </w:pPr>
            <w:r>
              <w:rPr>
                <w:rFonts w:ascii="Times New Roman" w:eastAsia="宋体"/>
                <w:b/>
                <w:sz w:val="24"/>
                <w:szCs w:val="21"/>
                <w:highlight w:val="none"/>
              </w:rPr>
              <w:t>图4-1  水平衡图（t/a）</w:t>
            </w:r>
          </w:p>
          <w:p>
            <w:pPr>
              <w:spacing w:line="360" w:lineRule="auto"/>
              <w:ind w:firstLine="482" w:firstLineChars="200"/>
              <w:rPr>
                <w:b/>
                <w:bCs/>
                <w:sz w:val="24"/>
                <w:szCs w:val="21"/>
                <w:highlight w:val="none"/>
              </w:rPr>
            </w:pPr>
            <w:r>
              <w:rPr>
                <w:b/>
                <w:bCs/>
                <w:sz w:val="24"/>
                <w:szCs w:val="21"/>
                <w:highlight w:val="none"/>
              </w:rPr>
              <w:t>（3）废水治理设施以及可行性分析</w:t>
            </w:r>
          </w:p>
          <w:p>
            <w:pPr>
              <w:spacing w:line="360" w:lineRule="auto"/>
              <w:ind w:firstLine="480" w:firstLineChars="200"/>
              <w:rPr>
                <w:kern w:val="0"/>
                <w:sz w:val="24"/>
                <w:szCs w:val="21"/>
                <w:highlight w:val="none"/>
              </w:rPr>
            </w:pPr>
            <w:r>
              <w:rPr>
                <w:rFonts w:hint="eastAsia"/>
                <w:kern w:val="0"/>
                <w:sz w:val="24"/>
                <w:szCs w:val="21"/>
                <w:highlight w:val="none"/>
              </w:rPr>
              <w:t>本项目污水主要为员工生活污水和</w:t>
            </w:r>
            <w:r>
              <w:rPr>
                <w:rFonts w:hint="eastAsia"/>
                <w:kern w:val="0"/>
                <w:sz w:val="24"/>
                <w:szCs w:val="21"/>
                <w:highlight w:val="none"/>
                <w:lang w:eastAsia="zh-CN"/>
              </w:rPr>
              <w:t>冷却</w:t>
            </w:r>
            <w:r>
              <w:rPr>
                <w:rFonts w:hint="eastAsia"/>
                <w:kern w:val="0"/>
                <w:sz w:val="24"/>
                <w:szCs w:val="21"/>
                <w:highlight w:val="none"/>
              </w:rPr>
              <w:t>废水，</w:t>
            </w:r>
            <w:r>
              <w:rPr>
                <w:rFonts w:hint="eastAsia"/>
                <w:kern w:val="0"/>
                <w:sz w:val="24"/>
                <w:szCs w:val="21"/>
                <w:highlight w:val="none"/>
                <w:lang w:eastAsia="zh-CN"/>
              </w:rPr>
              <w:t>员工生活污水</w:t>
            </w:r>
            <w:r>
              <w:rPr>
                <w:rFonts w:hint="eastAsia"/>
                <w:kern w:val="0"/>
                <w:sz w:val="24"/>
                <w:szCs w:val="21"/>
                <w:highlight w:val="none"/>
              </w:rPr>
              <w:t>排放量约为</w:t>
            </w:r>
            <w:r>
              <w:rPr>
                <w:rFonts w:hint="eastAsia"/>
                <w:kern w:val="0"/>
                <w:sz w:val="24"/>
                <w:szCs w:val="21"/>
                <w:highlight w:val="none"/>
                <w:lang w:val="en-US" w:eastAsia="zh-CN"/>
              </w:rPr>
              <w:t>1200</w:t>
            </w:r>
            <w:r>
              <w:rPr>
                <w:rFonts w:hint="eastAsia"/>
                <w:kern w:val="0"/>
                <w:sz w:val="24"/>
                <w:szCs w:val="21"/>
                <w:highlight w:val="none"/>
              </w:rPr>
              <w:t>t/a，</w:t>
            </w:r>
            <w:r>
              <w:rPr>
                <w:rFonts w:hint="eastAsia"/>
                <w:kern w:val="0"/>
                <w:sz w:val="24"/>
                <w:szCs w:val="21"/>
                <w:highlight w:val="none"/>
                <w:lang w:eastAsia="zh-CN"/>
              </w:rPr>
              <w:t>冷却废水</w:t>
            </w:r>
            <w:r>
              <w:rPr>
                <w:rFonts w:hint="eastAsia"/>
                <w:kern w:val="0"/>
                <w:sz w:val="24"/>
                <w:szCs w:val="21"/>
                <w:highlight w:val="none"/>
              </w:rPr>
              <w:t>排放量约为</w:t>
            </w:r>
            <w:r>
              <w:rPr>
                <w:rFonts w:hint="eastAsia"/>
                <w:kern w:val="0"/>
                <w:sz w:val="24"/>
                <w:szCs w:val="21"/>
                <w:highlight w:val="none"/>
                <w:lang w:val="en-US" w:eastAsia="zh-CN"/>
              </w:rPr>
              <w:t>720</w:t>
            </w:r>
            <w:r>
              <w:rPr>
                <w:rFonts w:hint="eastAsia"/>
                <w:kern w:val="0"/>
                <w:sz w:val="24"/>
                <w:szCs w:val="21"/>
                <w:highlight w:val="none"/>
              </w:rPr>
              <w:t>t/a，其排水水质能够达到城区污水厂的接管标准。</w:t>
            </w:r>
            <w:r>
              <w:rPr>
                <w:rFonts w:hint="eastAsia"/>
                <w:kern w:val="0"/>
                <w:sz w:val="24"/>
                <w:szCs w:val="21"/>
                <w:highlight w:val="none"/>
                <w:lang w:eastAsia="zh-CN"/>
              </w:rPr>
              <w:t>冷却废水</w:t>
            </w:r>
            <w:r>
              <w:rPr>
                <w:rFonts w:hint="eastAsia"/>
                <w:kern w:val="0"/>
                <w:sz w:val="24"/>
                <w:szCs w:val="21"/>
                <w:highlight w:val="none"/>
              </w:rPr>
              <w:t>和生活污水一起经市政管网进入</w:t>
            </w:r>
            <w:r>
              <w:rPr>
                <w:rFonts w:hint="eastAsia"/>
                <w:kern w:val="0"/>
                <w:sz w:val="24"/>
                <w:szCs w:val="21"/>
                <w:highlight w:val="none"/>
                <w:lang w:eastAsia="zh-CN"/>
              </w:rPr>
              <w:t>科技城</w:t>
            </w:r>
            <w:r>
              <w:rPr>
                <w:rFonts w:hint="eastAsia"/>
                <w:kern w:val="0"/>
                <w:sz w:val="24"/>
                <w:szCs w:val="21"/>
                <w:highlight w:val="none"/>
              </w:rPr>
              <w:t>水质净化厂处理集中处理后达标排放。</w:t>
            </w:r>
          </w:p>
          <w:p>
            <w:pPr>
              <w:spacing w:line="360" w:lineRule="auto"/>
              <w:ind w:firstLine="482" w:firstLineChars="200"/>
              <w:rPr>
                <w:sz w:val="24"/>
                <w:szCs w:val="21"/>
                <w:highlight w:val="none"/>
              </w:rPr>
            </w:pPr>
            <w:r>
              <w:rPr>
                <w:b/>
                <w:bCs/>
                <w:sz w:val="24"/>
                <w:szCs w:val="21"/>
                <w:highlight w:val="none"/>
              </w:rPr>
              <w:t>（4）</w:t>
            </w:r>
            <w:r>
              <w:rPr>
                <w:rFonts w:hint="eastAsia"/>
                <w:b/>
                <w:bCs/>
                <w:sz w:val="24"/>
                <w:szCs w:val="21"/>
                <w:highlight w:val="none"/>
              </w:rPr>
              <w:t>科技城水质净化厂接管可行性分析</w:t>
            </w:r>
          </w:p>
          <w:p>
            <w:pPr>
              <w:spacing w:line="360" w:lineRule="auto"/>
              <w:ind w:firstLine="480" w:firstLineChars="200"/>
              <w:rPr>
                <w:rFonts w:hint="eastAsia"/>
                <w:sz w:val="24"/>
                <w:szCs w:val="21"/>
                <w:highlight w:val="none"/>
              </w:rPr>
            </w:pPr>
            <w:r>
              <w:rPr>
                <w:rFonts w:hint="eastAsia"/>
                <w:sz w:val="24"/>
                <w:szCs w:val="21"/>
                <w:highlight w:val="none"/>
              </w:rPr>
              <w:t>科技城水质净化厂位于通安和东渚镇交界处恩古山以东，浒光运河西岸，服务于镇湖、东渚以及通安大部。一期工程4万t/d，采用循环式活性污泥法处理工艺，2004 年8月开工建设，2007年底基本建成，远期总规模30万t/d。</w:t>
            </w:r>
          </w:p>
          <w:p>
            <w:pPr>
              <w:spacing w:line="360" w:lineRule="auto"/>
              <w:ind w:firstLine="480" w:firstLineChars="200"/>
              <w:rPr>
                <w:rFonts w:hint="eastAsia"/>
                <w:sz w:val="24"/>
                <w:szCs w:val="21"/>
                <w:highlight w:val="none"/>
              </w:rPr>
            </w:pPr>
            <w:r>
              <w:rPr>
                <w:rFonts w:hint="eastAsia"/>
                <w:sz w:val="24"/>
                <w:szCs w:val="21"/>
                <w:highlight w:val="none"/>
              </w:rPr>
              <w:t>①从时间上看，科技城水质净化厂已经投入使用，而本项目工程预计于2021年12月投入使用，从时间上而言是可行的。</w:t>
            </w:r>
          </w:p>
          <w:p>
            <w:pPr>
              <w:spacing w:line="360" w:lineRule="auto"/>
              <w:ind w:firstLine="480" w:firstLineChars="200"/>
              <w:rPr>
                <w:rFonts w:hint="eastAsia"/>
                <w:sz w:val="24"/>
                <w:szCs w:val="21"/>
                <w:highlight w:val="none"/>
              </w:rPr>
            </w:pPr>
            <w:r>
              <w:rPr>
                <w:rFonts w:hint="eastAsia"/>
                <w:sz w:val="24"/>
                <w:szCs w:val="21"/>
                <w:highlight w:val="none"/>
              </w:rPr>
              <w:t>②从水量上看：目前科技城水质净化厂的处理能力为4万t/d，本项目污水产生量约为</w:t>
            </w:r>
            <w:r>
              <w:rPr>
                <w:rFonts w:hint="eastAsia"/>
                <w:sz w:val="24"/>
                <w:szCs w:val="21"/>
                <w:highlight w:val="none"/>
                <w:lang w:val="en-US" w:eastAsia="zh-CN"/>
              </w:rPr>
              <w:t>6.4</w:t>
            </w:r>
            <w:r>
              <w:rPr>
                <w:rFonts w:hint="eastAsia"/>
                <w:sz w:val="24"/>
                <w:szCs w:val="21"/>
                <w:highlight w:val="none"/>
              </w:rPr>
              <w:t>t/d，占科技城水质净化厂处理能力的0.0</w:t>
            </w:r>
            <w:r>
              <w:rPr>
                <w:rFonts w:hint="eastAsia"/>
                <w:sz w:val="24"/>
                <w:szCs w:val="21"/>
                <w:highlight w:val="none"/>
                <w:lang w:val="en-US" w:eastAsia="zh-CN"/>
              </w:rPr>
              <w:t>16</w:t>
            </w:r>
            <w:r>
              <w:rPr>
                <w:rFonts w:hint="eastAsia"/>
                <w:sz w:val="24"/>
                <w:szCs w:val="21"/>
                <w:highlight w:val="none"/>
              </w:rPr>
              <w:t>%，在水量上是可行的。</w:t>
            </w:r>
          </w:p>
          <w:p>
            <w:pPr>
              <w:spacing w:line="360" w:lineRule="auto"/>
              <w:ind w:firstLine="480" w:firstLineChars="200"/>
              <w:rPr>
                <w:rFonts w:hint="eastAsia"/>
                <w:sz w:val="24"/>
                <w:szCs w:val="21"/>
                <w:highlight w:val="none"/>
              </w:rPr>
            </w:pPr>
            <w:r>
              <w:rPr>
                <w:rFonts w:hint="eastAsia"/>
                <w:sz w:val="24"/>
                <w:szCs w:val="21"/>
                <w:highlight w:val="none"/>
              </w:rPr>
              <w:t>③从水质上看：本项目排放的废水水质简单，主要为pH、COD、SS、氨氮、总磷；各污染物可达科技城水质净化厂接管要求，因此不会对科技城水质净化厂造成冲击负荷，不会影响污水厂出水水质的达标。</w:t>
            </w:r>
          </w:p>
          <w:p>
            <w:pPr>
              <w:spacing w:line="360" w:lineRule="auto"/>
              <w:ind w:firstLine="480" w:firstLineChars="200"/>
              <w:rPr>
                <w:rFonts w:hint="eastAsia"/>
                <w:sz w:val="24"/>
                <w:szCs w:val="21"/>
                <w:highlight w:val="none"/>
              </w:rPr>
            </w:pPr>
            <w:r>
              <w:rPr>
                <w:rFonts w:hint="eastAsia"/>
                <w:sz w:val="24"/>
                <w:szCs w:val="21"/>
                <w:highlight w:val="none"/>
              </w:rPr>
              <w:t>④从空间上看：本项目位于苏州高新区科技城华佗路12号2号楼，属于科技城水质净化厂服务范围，项目地的污水管网已经铺设完成并接通。</w:t>
            </w:r>
          </w:p>
          <w:p>
            <w:pPr>
              <w:spacing w:line="360" w:lineRule="auto"/>
              <w:ind w:firstLine="480" w:firstLineChars="200"/>
              <w:rPr>
                <w:rFonts w:hint="eastAsia"/>
                <w:sz w:val="24"/>
                <w:szCs w:val="21"/>
                <w:highlight w:val="yellow"/>
              </w:rPr>
            </w:pPr>
            <w:r>
              <w:rPr>
                <w:rFonts w:hint="eastAsia"/>
                <w:sz w:val="24"/>
                <w:szCs w:val="21"/>
                <w:highlight w:val="none"/>
              </w:rPr>
              <w:t>因此，不论从水质、数量以及管网铺设情况来看，本项目废水接管至科技城水质净化厂处理都是可行的，不会影响科技城水质净化厂的正常运行。</w:t>
            </w:r>
          </w:p>
          <w:p>
            <w:pPr>
              <w:adjustRightInd w:val="0"/>
              <w:snapToGrid w:val="0"/>
              <w:jc w:val="center"/>
              <w:rPr>
                <w:b/>
                <w:kern w:val="21"/>
                <w:sz w:val="24"/>
                <w:szCs w:val="21"/>
                <w:highlight w:val="yellow"/>
              </w:rPr>
            </w:pPr>
            <w:r>
              <w:rPr>
                <w:b/>
                <w:kern w:val="21"/>
                <w:sz w:val="24"/>
                <w:szCs w:val="21"/>
                <w:highlight w:val="none"/>
              </w:rPr>
              <w:t>表4-3  项目废水排放口情况</w:t>
            </w:r>
          </w:p>
          <w:tbl>
            <w:tblPr>
              <w:tblStyle w:val="22"/>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3" w:type="dxa"/>
                <w:bottom w:w="0" w:type="dxa"/>
                <w:right w:w="23" w:type="dxa"/>
              </w:tblCellMar>
            </w:tblPr>
            <w:tblGrid>
              <w:gridCol w:w="662"/>
              <w:gridCol w:w="970"/>
              <w:gridCol w:w="872"/>
              <w:gridCol w:w="720"/>
              <w:gridCol w:w="394"/>
              <w:gridCol w:w="658"/>
              <w:gridCol w:w="819"/>
              <w:gridCol w:w="1542"/>
              <w:gridCol w:w="1160"/>
              <w:gridCol w:w="104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30" w:hRule="atLeast"/>
                <w:jc w:val="center"/>
              </w:trPr>
              <w:tc>
                <w:tcPr>
                  <w:tcW w:w="374" w:type="pct"/>
                  <w:vMerge w:val="restart"/>
                  <w:vAlign w:val="center"/>
                </w:tcPr>
                <w:p>
                  <w:pPr>
                    <w:widowControl/>
                    <w:jc w:val="center"/>
                    <w:rPr>
                      <w:b/>
                      <w:bCs/>
                      <w:color w:val="000000"/>
                      <w:kern w:val="0"/>
                      <w:szCs w:val="21"/>
                      <w:highlight w:val="none"/>
                    </w:rPr>
                  </w:pPr>
                  <w:r>
                    <w:rPr>
                      <w:b/>
                      <w:bCs/>
                      <w:color w:val="000000"/>
                      <w:kern w:val="0"/>
                      <w:szCs w:val="21"/>
                      <w:highlight w:val="none"/>
                    </w:rPr>
                    <w:t>排放口编号</w:t>
                  </w:r>
                </w:p>
              </w:tc>
              <w:tc>
                <w:tcPr>
                  <w:tcW w:w="1041" w:type="pct"/>
                  <w:gridSpan w:val="2"/>
                  <w:vAlign w:val="center"/>
                </w:tcPr>
                <w:p>
                  <w:pPr>
                    <w:widowControl/>
                    <w:jc w:val="center"/>
                    <w:rPr>
                      <w:b/>
                      <w:bCs/>
                      <w:color w:val="000000"/>
                      <w:kern w:val="0"/>
                      <w:szCs w:val="21"/>
                      <w:highlight w:val="none"/>
                    </w:rPr>
                  </w:pPr>
                  <w:r>
                    <w:rPr>
                      <w:b/>
                      <w:bCs/>
                      <w:color w:val="000000"/>
                      <w:kern w:val="0"/>
                      <w:szCs w:val="21"/>
                      <w:highlight w:val="none"/>
                    </w:rPr>
                    <w:t>排放口地理坐标</w:t>
                  </w:r>
                </w:p>
              </w:tc>
              <w:tc>
                <w:tcPr>
                  <w:tcW w:w="407" w:type="pct"/>
                  <w:vMerge w:val="restart"/>
                  <w:vAlign w:val="center"/>
                </w:tcPr>
                <w:p>
                  <w:pPr>
                    <w:widowControl/>
                    <w:jc w:val="center"/>
                    <w:rPr>
                      <w:b/>
                      <w:bCs/>
                      <w:color w:val="000000"/>
                      <w:kern w:val="0"/>
                      <w:szCs w:val="21"/>
                      <w:highlight w:val="none"/>
                    </w:rPr>
                  </w:pPr>
                  <w:r>
                    <w:rPr>
                      <w:b/>
                      <w:bCs/>
                      <w:color w:val="000000"/>
                      <w:kern w:val="0"/>
                      <w:szCs w:val="21"/>
                      <w:highlight w:val="none"/>
                    </w:rPr>
                    <w:t>废水排放量（万t/a）</w:t>
                  </w:r>
                </w:p>
              </w:tc>
              <w:tc>
                <w:tcPr>
                  <w:tcW w:w="222" w:type="pct"/>
                  <w:vMerge w:val="restart"/>
                  <w:vAlign w:val="center"/>
                </w:tcPr>
                <w:p>
                  <w:pPr>
                    <w:widowControl/>
                    <w:jc w:val="center"/>
                    <w:rPr>
                      <w:b/>
                      <w:bCs/>
                      <w:color w:val="000000"/>
                      <w:kern w:val="0"/>
                      <w:szCs w:val="21"/>
                      <w:highlight w:val="none"/>
                    </w:rPr>
                  </w:pPr>
                  <w:r>
                    <w:rPr>
                      <w:b/>
                      <w:bCs/>
                      <w:color w:val="000000"/>
                      <w:kern w:val="0"/>
                      <w:szCs w:val="21"/>
                      <w:highlight w:val="none"/>
                    </w:rPr>
                    <w:t>排放去向</w:t>
                  </w:r>
                </w:p>
              </w:tc>
              <w:tc>
                <w:tcPr>
                  <w:tcW w:w="372" w:type="pct"/>
                  <w:vMerge w:val="restart"/>
                  <w:vAlign w:val="center"/>
                </w:tcPr>
                <w:p>
                  <w:pPr>
                    <w:widowControl/>
                    <w:jc w:val="center"/>
                    <w:rPr>
                      <w:b/>
                      <w:bCs/>
                      <w:color w:val="000000"/>
                      <w:kern w:val="0"/>
                      <w:szCs w:val="21"/>
                      <w:highlight w:val="none"/>
                    </w:rPr>
                  </w:pPr>
                  <w:r>
                    <w:rPr>
                      <w:b/>
                      <w:bCs/>
                      <w:color w:val="000000"/>
                      <w:kern w:val="0"/>
                      <w:szCs w:val="21"/>
                      <w:highlight w:val="none"/>
                    </w:rPr>
                    <w:t>排放规律</w:t>
                  </w:r>
                </w:p>
              </w:tc>
              <w:tc>
                <w:tcPr>
                  <w:tcW w:w="463" w:type="pct"/>
                  <w:vMerge w:val="restart"/>
                  <w:vAlign w:val="center"/>
                </w:tcPr>
                <w:p>
                  <w:pPr>
                    <w:widowControl/>
                    <w:jc w:val="center"/>
                    <w:rPr>
                      <w:b/>
                      <w:bCs/>
                      <w:color w:val="000000"/>
                      <w:kern w:val="0"/>
                      <w:szCs w:val="21"/>
                      <w:highlight w:val="none"/>
                    </w:rPr>
                  </w:pPr>
                  <w:r>
                    <w:rPr>
                      <w:b/>
                      <w:bCs/>
                      <w:color w:val="000000"/>
                      <w:kern w:val="0"/>
                      <w:szCs w:val="21"/>
                      <w:highlight w:val="none"/>
                    </w:rPr>
                    <w:t>间歇排放时段</w:t>
                  </w:r>
                </w:p>
              </w:tc>
              <w:tc>
                <w:tcPr>
                  <w:tcW w:w="2118" w:type="pct"/>
                  <w:gridSpan w:val="3"/>
                  <w:vAlign w:val="center"/>
                </w:tcPr>
                <w:p>
                  <w:pPr>
                    <w:widowControl/>
                    <w:jc w:val="center"/>
                    <w:rPr>
                      <w:b/>
                      <w:bCs/>
                      <w:color w:val="000000"/>
                      <w:kern w:val="0"/>
                      <w:szCs w:val="21"/>
                      <w:highlight w:val="none"/>
                    </w:rPr>
                  </w:pPr>
                  <w:r>
                    <w:rPr>
                      <w:b/>
                      <w:bCs/>
                      <w:color w:val="000000"/>
                      <w:kern w:val="0"/>
                      <w:szCs w:val="21"/>
                      <w:highlight w:val="none"/>
                    </w:rPr>
                    <w:t>受纳污水处理厂信息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39" w:hRule="atLeast"/>
                <w:jc w:val="center"/>
              </w:trPr>
              <w:tc>
                <w:tcPr>
                  <w:tcW w:w="374" w:type="pct"/>
                  <w:vMerge w:val="continue"/>
                  <w:vAlign w:val="center"/>
                </w:tcPr>
                <w:p>
                  <w:pPr>
                    <w:widowControl/>
                    <w:jc w:val="left"/>
                    <w:rPr>
                      <w:b/>
                      <w:bCs/>
                      <w:color w:val="000000"/>
                      <w:kern w:val="0"/>
                      <w:szCs w:val="21"/>
                      <w:highlight w:val="none"/>
                    </w:rPr>
                  </w:pPr>
                </w:p>
              </w:tc>
              <w:tc>
                <w:tcPr>
                  <w:tcW w:w="548" w:type="pct"/>
                  <w:vAlign w:val="center"/>
                </w:tcPr>
                <w:p>
                  <w:pPr>
                    <w:widowControl/>
                    <w:jc w:val="center"/>
                    <w:rPr>
                      <w:b/>
                      <w:bCs/>
                      <w:color w:val="000000"/>
                      <w:kern w:val="0"/>
                      <w:szCs w:val="21"/>
                      <w:highlight w:val="none"/>
                    </w:rPr>
                  </w:pPr>
                  <w:r>
                    <w:rPr>
                      <w:b/>
                      <w:bCs/>
                      <w:color w:val="000000"/>
                      <w:kern w:val="0"/>
                      <w:szCs w:val="21"/>
                      <w:highlight w:val="none"/>
                    </w:rPr>
                    <w:t>经度</w:t>
                  </w:r>
                </w:p>
              </w:tc>
              <w:tc>
                <w:tcPr>
                  <w:tcW w:w="493" w:type="pct"/>
                  <w:vAlign w:val="center"/>
                </w:tcPr>
                <w:p>
                  <w:pPr>
                    <w:widowControl/>
                    <w:jc w:val="center"/>
                    <w:rPr>
                      <w:b/>
                      <w:bCs/>
                      <w:color w:val="000000"/>
                      <w:kern w:val="0"/>
                      <w:szCs w:val="21"/>
                      <w:highlight w:val="none"/>
                    </w:rPr>
                  </w:pPr>
                  <w:r>
                    <w:rPr>
                      <w:b/>
                      <w:bCs/>
                      <w:color w:val="000000"/>
                      <w:kern w:val="0"/>
                      <w:szCs w:val="21"/>
                      <w:highlight w:val="none"/>
                    </w:rPr>
                    <w:t>纬度</w:t>
                  </w:r>
                </w:p>
              </w:tc>
              <w:tc>
                <w:tcPr>
                  <w:tcW w:w="407" w:type="pct"/>
                  <w:vMerge w:val="continue"/>
                  <w:vAlign w:val="center"/>
                </w:tcPr>
                <w:p>
                  <w:pPr>
                    <w:jc w:val="center"/>
                    <w:rPr>
                      <w:b/>
                      <w:bCs/>
                      <w:color w:val="000000"/>
                      <w:kern w:val="0"/>
                      <w:szCs w:val="21"/>
                      <w:highlight w:val="none"/>
                    </w:rPr>
                  </w:pPr>
                </w:p>
              </w:tc>
              <w:tc>
                <w:tcPr>
                  <w:tcW w:w="222" w:type="pct"/>
                  <w:vMerge w:val="continue"/>
                  <w:vAlign w:val="center"/>
                </w:tcPr>
                <w:p>
                  <w:pPr>
                    <w:widowControl/>
                    <w:jc w:val="left"/>
                    <w:rPr>
                      <w:b/>
                      <w:bCs/>
                      <w:color w:val="000000"/>
                      <w:kern w:val="0"/>
                      <w:szCs w:val="21"/>
                      <w:highlight w:val="none"/>
                    </w:rPr>
                  </w:pPr>
                </w:p>
              </w:tc>
              <w:tc>
                <w:tcPr>
                  <w:tcW w:w="372" w:type="pct"/>
                  <w:vMerge w:val="continue"/>
                  <w:vAlign w:val="center"/>
                </w:tcPr>
                <w:p>
                  <w:pPr>
                    <w:widowControl/>
                    <w:jc w:val="left"/>
                    <w:rPr>
                      <w:b/>
                      <w:bCs/>
                      <w:color w:val="000000"/>
                      <w:kern w:val="0"/>
                      <w:szCs w:val="21"/>
                      <w:highlight w:val="none"/>
                    </w:rPr>
                  </w:pPr>
                </w:p>
              </w:tc>
              <w:tc>
                <w:tcPr>
                  <w:tcW w:w="463" w:type="pct"/>
                  <w:vMerge w:val="continue"/>
                  <w:vAlign w:val="center"/>
                </w:tcPr>
                <w:p>
                  <w:pPr>
                    <w:widowControl/>
                    <w:jc w:val="left"/>
                    <w:rPr>
                      <w:b/>
                      <w:bCs/>
                      <w:color w:val="000000"/>
                      <w:kern w:val="0"/>
                      <w:szCs w:val="21"/>
                      <w:highlight w:val="none"/>
                    </w:rPr>
                  </w:pPr>
                </w:p>
              </w:tc>
              <w:tc>
                <w:tcPr>
                  <w:tcW w:w="872" w:type="pct"/>
                  <w:vAlign w:val="center"/>
                </w:tcPr>
                <w:p>
                  <w:pPr>
                    <w:widowControl/>
                    <w:jc w:val="center"/>
                    <w:rPr>
                      <w:b/>
                      <w:bCs/>
                      <w:color w:val="000000"/>
                      <w:kern w:val="0"/>
                      <w:szCs w:val="21"/>
                      <w:highlight w:val="none"/>
                    </w:rPr>
                  </w:pPr>
                  <w:r>
                    <w:rPr>
                      <w:b/>
                      <w:bCs/>
                      <w:color w:val="000000"/>
                      <w:kern w:val="0"/>
                      <w:szCs w:val="21"/>
                      <w:highlight w:val="none"/>
                    </w:rPr>
                    <w:t>国家或地方污染物排放标准名称</w:t>
                  </w:r>
                </w:p>
              </w:tc>
              <w:tc>
                <w:tcPr>
                  <w:tcW w:w="656" w:type="pct"/>
                  <w:vAlign w:val="center"/>
                </w:tcPr>
                <w:p>
                  <w:pPr>
                    <w:widowControl/>
                    <w:jc w:val="center"/>
                    <w:rPr>
                      <w:b/>
                      <w:bCs/>
                      <w:color w:val="000000"/>
                      <w:kern w:val="0"/>
                      <w:szCs w:val="21"/>
                      <w:highlight w:val="none"/>
                    </w:rPr>
                  </w:pPr>
                  <w:r>
                    <w:rPr>
                      <w:b/>
                      <w:bCs/>
                      <w:color w:val="000000"/>
                      <w:kern w:val="0"/>
                      <w:szCs w:val="21"/>
                      <w:highlight w:val="none"/>
                    </w:rPr>
                    <w:t>污染物</w:t>
                  </w:r>
                </w:p>
                <w:p>
                  <w:pPr>
                    <w:jc w:val="center"/>
                    <w:rPr>
                      <w:b/>
                      <w:bCs/>
                      <w:color w:val="000000"/>
                      <w:kern w:val="0"/>
                      <w:szCs w:val="21"/>
                      <w:highlight w:val="none"/>
                    </w:rPr>
                  </w:pPr>
                  <w:r>
                    <w:rPr>
                      <w:b/>
                      <w:bCs/>
                      <w:color w:val="000000"/>
                      <w:kern w:val="0"/>
                      <w:szCs w:val="21"/>
                      <w:highlight w:val="none"/>
                    </w:rPr>
                    <w:t>种类</w:t>
                  </w:r>
                </w:p>
              </w:tc>
              <w:tc>
                <w:tcPr>
                  <w:tcW w:w="589" w:type="pct"/>
                  <w:vAlign w:val="center"/>
                </w:tcPr>
                <w:p>
                  <w:pPr>
                    <w:widowControl/>
                    <w:jc w:val="center"/>
                    <w:rPr>
                      <w:b/>
                      <w:bCs/>
                      <w:color w:val="000000"/>
                      <w:kern w:val="0"/>
                      <w:szCs w:val="21"/>
                      <w:highlight w:val="none"/>
                    </w:rPr>
                  </w:pPr>
                  <w:r>
                    <w:rPr>
                      <w:b/>
                      <w:bCs/>
                      <w:color w:val="000000"/>
                      <w:kern w:val="0"/>
                      <w:szCs w:val="21"/>
                      <w:highlight w:val="none"/>
                    </w:rPr>
                    <w:t>标准浓度限值(mg/L)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530" w:hRule="atLeast"/>
                <w:jc w:val="center"/>
              </w:trPr>
              <w:tc>
                <w:tcPr>
                  <w:tcW w:w="374" w:type="pct"/>
                  <w:vMerge w:val="restart"/>
                  <w:vAlign w:val="center"/>
                </w:tcPr>
                <w:p>
                  <w:pPr>
                    <w:widowControl/>
                    <w:jc w:val="center"/>
                    <w:rPr>
                      <w:color w:val="000000"/>
                      <w:kern w:val="0"/>
                      <w:szCs w:val="21"/>
                      <w:highlight w:val="none"/>
                    </w:rPr>
                  </w:pPr>
                  <w:r>
                    <w:rPr>
                      <w:color w:val="000000"/>
                      <w:kern w:val="0"/>
                      <w:szCs w:val="21"/>
                      <w:highlight w:val="none"/>
                    </w:rPr>
                    <w:t>DW001</w:t>
                  </w:r>
                </w:p>
              </w:tc>
              <w:tc>
                <w:tcPr>
                  <w:tcW w:w="548" w:type="pct"/>
                  <w:vMerge w:val="restart"/>
                  <w:vAlign w:val="center"/>
                </w:tcPr>
                <w:p>
                  <w:pPr>
                    <w:widowControl/>
                    <w:jc w:val="center"/>
                    <w:rPr>
                      <w:color w:val="000000"/>
                      <w:kern w:val="0"/>
                      <w:szCs w:val="21"/>
                      <w:highlight w:val="none"/>
                    </w:rPr>
                  </w:pPr>
                  <w:r>
                    <w:rPr>
                      <w:rFonts w:hint="default" w:ascii="Times New Roman" w:hAnsi="Times New Roman" w:cs="Times New Roman"/>
                      <w:color w:val="000000"/>
                      <w:kern w:val="0"/>
                      <w:szCs w:val="21"/>
                      <w:highlight w:val="none"/>
                    </w:rPr>
                    <w:t>120°43′91.62″</w:t>
                  </w:r>
                </w:p>
              </w:tc>
              <w:tc>
                <w:tcPr>
                  <w:tcW w:w="493" w:type="pct"/>
                  <w:vMerge w:val="restart"/>
                  <w:vAlign w:val="center"/>
                </w:tcPr>
                <w:p>
                  <w:pPr>
                    <w:widowControl/>
                    <w:jc w:val="center"/>
                    <w:rPr>
                      <w:color w:val="000000"/>
                      <w:kern w:val="0"/>
                      <w:szCs w:val="21"/>
                      <w:highlight w:val="none"/>
                    </w:rPr>
                  </w:pPr>
                  <w:r>
                    <w:rPr>
                      <w:color w:val="000000"/>
                      <w:kern w:val="0"/>
                      <w:szCs w:val="21"/>
                      <w:highlight w:val="none"/>
                    </w:rPr>
                    <w:t>31°</w:t>
                  </w:r>
                  <w:r>
                    <w:rPr>
                      <w:rFonts w:hint="eastAsia"/>
                      <w:color w:val="000000"/>
                      <w:kern w:val="0"/>
                      <w:szCs w:val="21"/>
                      <w:highlight w:val="none"/>
                      <w:lang w:val="en-US" w:eastAsia="zh-CN"/>
                    </w:rPr>
                    <w:t>31</w:t>
                  </w:r>
                  <w:r>
                    <w:rPr>
                      <w:color w:val="000000"/>
                      <w:kern w:val="0"/>
                      <w:szCs w:val="21"/>
                      <w:highlight w:val="none"/>
                    </w:rPr>
                    <w:t>′</w:t>
                  </w:r>
                  <w:r>
                    <w:rPr>
                      <w:rFonts w:hint="eastAsia"/>
                      <w:color w:val="000000"/>
                      <w:kern w:val="0"/>
                      <w:szCs w:val="21"/>
                      <w:highlight w:val="none"/>
                      <w:lang w:val="en-US" w:eastAsia="zh-CN"/>
                    </w:rPr>
                    <w:t>50</w:t>
                  </w:r>
                  <w:r>
                    <w:rPr>
                      <w:color w:val="000000"/>
                      <w:kern w:val="0"/>
                      <w:szCs w:val="21"/>
                      <w:highlight w:val="none"/>
                    </w:rPr>
                    <w:t>.</w:t>
                  </w:r>
                  <w:r>
                    <w:rPr>
                      <w:rFonts w:hint="eastAsia"/>
                      <w:color w:val="000000"/>
                      <w:kern w:val="0"/>
                      <w:szCs w:val="21"/>
                      <w:highlight w:val="none"/>
                      <w:lang w:val="en-US" w:eastAsia="zh-CN"/>
                    </w:rPr>
                    <w:t>37</w:t>
                  </w:r>
                  <w:r>
                    <w:rPr>
                      <w:color w:val="000000"/>
                      <w:kern w:val="0"/>
                      <w:szCs w:val="21"/>
                      <w:highlight w:val="none"/>
                    </w:rPr>
                    <w:t>″</w:t>
                  </w:r>
                </w:p>
              </w:tc>
              <w:tc>
                <w:tcPr>
                  <w:tcW w:w="407" w:type="pct"/>
                  <w:vMerge w:val="restart"/>
                  <w:vAlign w:val="center"/>
                </w:tcPr>
                <w:p>
                  <w:pPr>
                    <w:widowControl/>
                    <w:jc w:val="center"/>
                    <w:rPr>
                      <w:color w:val="000000"/>
                      <w:kern w:val="0"/>
                      <w:szCs w:val="21"/>
                      <w:highlight w:val="none"/>
                    </w:rPr>
                  </w:pPr>
                  <w:r>
                    <w:rPr>
                      <w:color w:val="000000"/>
                      <w:kern w:val="0"/>
                      <w:szCs w:val="21"/>
                      <w:highlight w:val="none"/>
                    </w:rPr>
                    <w:t>0.0215</w:t>
                  </w:r>
                </w:p>
              </w:tc>
              <w:tc>
                <w:tcPr>
                  <w:tcW w:w="222" w:type="pct"/>
                  <w:vMerge w:val="restart"/>
                  <w:vAlign w:val="center"/>
                </w:tcPr>
                <w:p>
                  <w:pPr>
                    <w:widowControl/>
                    <w:jc w:val="center"/>
                    <w:rPr>
                      <w:color w:val="000000"/>
                      <w:kern w:val="0"/>
                      <w:szCs w:val="21"/>
                      <w:highlight w:val="none"/>
                    </w:rPr>
                  </w:pPr>
                  <w:r>
                    <w:rPr>
                      <w:rFonts w:hint="eastAsia"/>
                      <w:color w:val="000000"/>
                      <w:kern w:val="0"/>
                      <w:szCs w:val="21"/>
                      <w:highlight w:val="none"/>
                      <w:lang w:eastAsia="zh-CN"/>
                    </w:rPr>
                    <w:t>科技城</w:t>
                  </w:r>
                  <w:r>
                    <w:rPr>
                      <w:color w:val="000000"/>
                      <w:kern w:val="0"/>
                      <w:szCs w:val="21"/>
                      <w:highlight w:val="none"/>
                    </w:rPr>
                    <w:t>水质净化厂</w:t>
                  </w:r>
                </w:p>
              </w:tc>
              <w:tc>
                <w:tcPr>
                  <w:tcW w:w="372" w:type="pct"/>
                  <w:vMerge w:val="restart"/>
                  <w:vAlign w:val="center"/>
                </w:tcPr>
                <w:p>
                  <w:pPr>
                    <w:adjustRightInd w:val="0"/>
                    <w:snapToGrid w:val="0"/>
                    <w:jc w:val="center"/>
                    <w:rPr>
                      <w:bCs/>
                      <w:spacing w:val="-10"/>
                      <w:szCs w:val="21"/>
                      <w:highlight w:val="none"/>
                    </w:rPr>
                  </w:pPr>
                  <w:r>
                    <w:rPr>
                      <w:bCs/>
                      <w:spacing w:val="-10"/>
                      <w:szCs w:val="21"/>
                      <w:highlight w:val="none"/>
                    </w:rPr>
                    <w:t>间断排放，排放期间流量不稳定且无规律，但不属于冲击型排放</w:t>
                  </w:r>
                </w:p>
              </w:tc>
              <w:tc>
                <w:tcPr>
                  <w:tcW w:w="463" w:type="pct"/>
                  <w:vMerge w:val="restart"/>
                  <w:vAlign w:val="center"/>
                </w:tcPr>
                <w:p>
                  <w:pPr>
                    <w:adjustRightInd w:val="0"/>
                    <w:snapToGrid w:val="0"/>
                    <w:jc w:val="center"/>
                    <w:rPr>
                      <w:bCs/>
                      <w:spacing w:val="-10"/>
                      <w:szCs w:val="21"/>
                      <w:highlight w:val="none"/>
                    </w:rPr>
                  </w:pPr>
                  <w:r>
                    <w:rPr>
                      <w:bCs/>
                      <w:spacing w:val="-10"/>
                      <w:szCs w:val="21"/>
                      <w:highlight w:val="none"/>
                    </w:rPr>
                    <w:t>0：00-24:00</w:t>
                  </w:r>
                </w:p>
              </w:tc>
              <w:tc>
                <w:tcPr>
                  <w:tcW w:w="872" w:type="pct"/>
                  <w:vMerge w:val="restart"/>
                  <w:vAlign w:val="center"/>
                </w:tcPr>
                <w:p>
                  <w:pPr>
                    <w:widowControl/>
                    <w:wordWrap w:val="0"/>
                    <w:jc w:val="center"/>
                    <w:rPr>
                      <w:color w:val="000000"/>
                      <w:kern w:val="0"/>
                      <w:szCs w:val="21"/>
                      <w:highlight w:val="none"/>
                    </w:rPr>
                  </w:pPr>
                  <w:r>
                    <w:rPr>
                      <w:color w:val="000000"/>
                      <w:kern w:val="0"/>
                      <w:szCs w:val="21"/>
                      <w:highlight w:val="none"/>
                    </w:rPr>
                    <w:t>《医疗机构水污染物排放标准》（GB18466-2005）、《太湖地区城镇污水处理厂及重点工业行业主要水污染物排放限值》(DB32/1072-2018)、《城镇污水处理厂污染物排放标准（征求意见稿）》(GB18918-2016)、苏州特别排放限值</w:t>
                  </w:r>
                </w:p>
              </w:tc>
              <w:tc>
                <w:tcPr>
                  <w:tcW w:w="656" w:type="pct"/>
                  <w:vAlign w:val="center"/>
                </w:tcPr>
                <w:p>
                  <w:pPr>
                    <w:widowControl/>
                    <w:jc w:val="center"/>
                    <w:rPr>
                      <w:color w:val="000000"/>
                      <w:kern w:val="0"/>
                      <w:szCs w:val="21"/>
                      <w:highlight w:val="none"/>
                    </w:rPr>
                  </w:pPr>
                  <w:r>
                    <w:rPr>
                      <w:color w:val="000000"/>
                      <w:kern w:val="0"/>
                      <w:szCs w:val="21"/>
                      <w:highlight w:val="none"/>
                    </w:rPr>
                    <w:t>pH（无量纲）</w:t>
                  </w:r>
                </w:p>
              </w:tc>
              <w:tc>
                <w:tcPr>
                  <w:tcW w:w="589" w:type="pct"/>
                  <w:vAlign w:val="center"/>
                </w:tcPr>
                <w:p>
                  <w:pPr>
                    <w:widowControl/>
                    <w:jc w:val="center"/>
                    <w:rPr>
                      <w:color w:val="000000"/>
                      <w:kern w:val="0"/>
                      <w:szCs w:val="21"/>
                      <w:highlight w:val="none"/>
                    </w:rPr>
                  </w:pPr>
                  <w:r>
                    <w:rPr>
                      <w:color w:val="000000"/>
                      <w:kern w:val="0"/>
                      <w:szCs w:val="21"/>
                      <w:highlight w:val="none"/>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450" w:hRule="atLeast"/>
                <w:jc w:val="center"/>
              </w:trPr>
              <w:tc>
                <w:tcPr>
                  <w:tcW w:w="374" w:type="pct"/>
                  <w:vMerge w:val="continue"/>
                  <w:vAlign w:val="center"/>
                </w:tcPr>
                <w:p>
                  <w:pPr>
                    <w:widowControl/>
                    <w:jc w:val="left"/>
                    <w:rPr>
                      <w:color w:val="000000"/>
                      <w:kern w:val="0"/>
                      <w:szCs w:val="21"/>
                      <w:highlight w:val="none"/>
                    </w:rPr>
                  </w:pPr>
                </w:p>
              </w:tc>
              <w:tc>
                <w:tcPr>
                  <w:tcW w:w="548" w:type="pct"/>
                  <w:vMerge w:val="continue"/>
                  <w:vAlign w:val="center"/>
                </w:tcPr>
                <w:p>
                  <w:pPr>
                    <w:widowControl/>
                    <w:jc w:val="left"/>
                    <w:rPr>
                      <w:color w:val="000000"/>
                      <w:kern w:val="0"/>
                      <w:szCs w:val="21"/>
                      <w:highlight w:val="none"/>
                    </w:rPr>
                  </w:pPr>
                </w:p>
              </w:tc>
              <w:tc>
                <w:tcPr>
                  <w:tcW w:w="493" w:type="pct"/>
                  <w:vMerge w:val="continue"/>
                  <w:vAlign w:val="center"/>
                </w:tcPr>
                <w:p>
                  <w:pPr>
                    <w:widowControl/>
                    <w:jc w:val="left"/>
                    <w:rPr>
                      <w:color w:val="000000"/>
                      <w:kern w:val="0"/>
                      <w:szCs w:val="21"/>
                      <w:highlight w:val="none"/>
                    </w:rPr>
                  </w:pPr>
                </w:p>
              </w:tc>
              <w:tc>
                <w:tcPr>
                  <w:tcW w:w="407" w:type="pct"/>
                  <w:vMerge w:val="continue"/>
                  <w:vAlign w:val="center"/>
                </w:tcPr>
                <w:p>
                  <w:pPr>
                    <w:widowControl/>
                    <w:jc w:val="left"/>
                    <w:rPr>
                      <w:color w:val="000000"/>
                      <w:kern w:val="0"/>
                      <w:szCs w:val="21"/>
                      <w:highlight w:val="none"/>
                    </w:rPr>
                  </w:pPr>
                </w:p>
              </w:tc>
              <w:tc>
                <w:tcPr>
                  <w:tcW w:w="222" w:type="pct"/>
                  <w:vMerge w:val="continue"/>
                  <w:vAlign w:val="center"/>
                </w:tcPr>
                <w:p>
                  <w:pPr>
                    <w:widowControl/>
                    <w:jc w:val="center"/>
                    <w:rPr>
                      <w:color w:val="000000"/>
                      <w:kern w:val="0"/>
                      <w:szCs w:val="21"/>
                      <w:highlight w:val="none"/>
                    </w:rPr>
                  </w:pPr>
                </w:p>
              </w:tc>
              <w:tc>
                <w:tcPr>
                  <w:tcW w:w="372" w:type="pct"/>
                  <w:vMerge w:val="continue"/>
                  <w:vAlign w:val="center"/>
                </w:tcPr>
                <w:p>
                  <w:pPr>
                    <w:widowControl/>
                    <w:jc w:val="left"/>
                    <w:rPr>
                      <w:color w:val="000000"/>
                      <w:kern w:val="0"/>
                      <w:szCs w:val="21"/>
                      <w:highlight w:val="none"/>
                    </w:rPr>
                  </w:pPr>
                </w:p>
              </w:tc>
              <w:tc>
                <w:tcPr>
                  <w:tcW w:w="463" w:type="pct"/>
                  <w:vMerge w:val="continue"/>
                  <w:vAlign w:val="center"/>
                </w:tcPr>
                <w:p>
                  <w:pPr>
                    <w:widowControl/>
                    <w:jc w:val="left"/>
                    <w:rPr>
                      <w:color w:val="000000"/>
                      <w:kern w:val="0"/>
                      <w:szCs w:val="21"/>
                      <w:highlight w:val="none"/>
                    </w:rPr>
                  </w:pPr>
                </w:p>
              </w:tc>
              <w:tc>
                <w:tcPr>
                  <w:tcW w:w="872" w:type="pct"/>
                  <w:vMerge w:val="continue"/>
                  <w:vAlign w:val="center"/>
                </w:tcPr>
                <w:p>
                  <w:pPr>
                    <w:widowControl/>
                    <w:jc w:val="center"/>
                    <w:rPr>
                      <w:color w:val="000000"/>
                      <w:kern w:val="0"/>
                      <w:szCs w:val="21"/>
                      <w:highlight w:val="none"/>
                    </w:rPr>
                  </w:pPr>
                </w:p>
              </w:tc>
              <w:tc>
                <w:tcPr>
                  <w:tcW w:w="656" w:type="pct"/>
                  <w:vAlign w:val="center"/>
                </w:tcPr>
                <w:p>
                  <w:pPr>
                    <w:widowControl/>
                    <w:jc w:val="center"/>
                    <w:rPr>
                      <w:color w:val="000000"/>
                      <w:kern w:val="0"/>
                      <w:szCs w:val="21"/>
                      <w:highlight w:val="none"/>
                    </w:rPr>
                  </w:pPr>
                  <w:r>
                    <w:rPr>
                      <w:color w:val="000000"/>
                      <w:kern w:val="0"/>
                      <w:szCs w:val="21"/>
                      <w:highlight w:val="none"/>
                    </w:rPr>
                    <w:t>SS</w:t>
                  </w:r>
                </w:p>
              </w:tc>
              <w:tc>
                <w:tcPr>
                  <w:tcW w:w="589" w:type="pct"/>
                  <w:vAlign w:val="center"/>
                </w:tcPr>
                <w:p>
                  <w:pPr>
                    <w:widowControl/>
                    <w:jc w:val="center"/>
                    <w:rPr>
                      <w:color w:val="000000"/>
                      <w:kern w:val="0"/>
                      <w:szCs w:val="21"/>
                      <w:highlight w:val="none"/>
                    </w:rPr>
                  </w:pPr>
                  <w:r>
                    <w:rPr>
                      <w:color w:val="000000"/>
                      <w:kern w:val="0"/>
                      <w:szCs w:val="21"/>
                      <w:highlight w:val="none"/>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518" w:hRule="atLeast"/>
                <w:jc w:val="center"/>
              </w:trPr>
              <w:tc>
                <w:tcPr>
                  <w:tcW w:w="374" w:type="pct"/>
                  <w:vMerge w:val="continue"/>
                  <w:vAlign w:val="center"/>
                </w:tcPr>
                <w:p>
                  <w:pPr>
                    <w:widowControl/>
                    <w:jc w:val="left"/>
                    <w:rPr>
                      <w:color w:val="000000"/>
                      <w:kern w:val="0"/>
                      <w:szCs w:val="21"/>
                      <w:highlight w:val="none"/>
                    </w:rPr>
                  </w:pPr>
                </w:p>
              </w:tc>
              <w:tc>
                <w:tcPr>
                  <w:tcW w:w="548" w:type="pct"/>
                  <w:vMerge w:val="continue"/>
                  <w:vAlign w:val="center"/>
                </w:tcPr>
                <w:p>
                  <w:pPr>
                    <w:widowControl/>
                    <w:jc w:val="left"/>
                    <w:rPr>
                      <w:color w:val="000000"/>
                      <w:kern w:val="0"/>
                      <w:szCs w:val="21"/>
                      <w:highlight w:val="none"/>
                    </w:rPr>
                  </w:pPr>
                </w:p>
              </w:tc>
              <w:tc>
                <w:tcPr>
                  <w:tcW w:w="493" w:type="pct"/>
                  <w:vMerge w:val="continue"/>
                  <w:vAlign w:val="center"/>
                </w:tcPr>
                <w:p>
                  <w:pPr>
                    <w:widowControl/>
                    <w:jc w:val="left"/>
                    <w:rPr>
                      <w:color w:val="000000"/>
                      <w:kern w:val="0"/>
                      <w:szCs w:val="21"/>
                      <w:highlight w:val="none"/>
                    </w:rPr>
                  </w:pPr>
                </w:p>
              </w:tc>
              <w:tc>
                <w:tcPr>
                  <w:tcW w:w="407" w:type="pct"/>
                  <w:vMerge w:val="continue"/>
                  <w:vAlign w:val="center"/>
                </w:tcPr>
                <w:p>
                  <w:pPr>
                    <w:widowControl/>
                    <w:jc w:val="left"/>
                    <w:rPr>
                      <w:color w:val="000000"/>
                      <w:kern w:val="0"/>
                      <w:szCs w:val="21"/>
                      <w:highlight w:val="none"/>
                    </w:rPr>
                  </w:pPr>
                </w:p>
              </w:tc>
              <w:tc>
                <w:tcPr>
                  <w:tcW w:w="222" w:type="pct"/>
                  <w:vMerge w:val="continue"/>
                  <w:vAlign w:val="center"/>
                </w:tcPr>
                <w:p>
                  <w:pPr>
                    <w:widowControl/>
                    <w:jc w:val="left"/>
                    <w:rPr>
                      <w:color w:val="000000"/>
                      <w:kern w:val="0"/>
                      <w:szCs w:val="21"/>
                      <w:highlight w:val="none"/>
                    </w:rPr>
                  </w:pPr>
                </w:p>
              </w:tc>
              <w:tc>
                <w:tcPr>
                  <w:tcW w:w="372" w:type="pct"/>
                  <w:vMerge w:val="continue"/>
                  <w:vAlign w:val="center"/>
                </w:tcPr>
                <w:p>
                  <w:pPr>
                    <w:widowControl/>
                    <w:jc w:val="left"/>
                    <w:rPr>
                      <w:color w:val="000000"/>
                      <w:kern w:val="0"/>
                      <w:szCs w:val="21"/>
                      <w:highlight w:val="none"/>
                    </w:rPr>
                  </w:pPr>
                </w:p>
              </w:tc>
              <w:tc>
                <w:tcPr>
                  <w:tcW w:w="463" w:type="pct"/>
                  <w:vMerge w:val="continue"/>
                  <w:vAlign w:val="center"/>
                </w:tcPr>
                <w:p>
                  <w:pPr>
                    <w:widowControl/>
                    <w:jc w:val="left"/>
                    <w:rPr>
                      <w:color w:val="000000"/>
                      <w:kern w:val="0"/>
                      <w:szCs w:val="21"/>
                      <w:highlight w:val="none"/>
                    </w:rPr>
                  </w:pPr>
                </w:p>
              </w:tc>
              <w:tc>
                <w:tcPr>
                  <w:tcW w:w="872" w:type="pct"/>
                  <w:vMerge w:val="continue"/>
                  <w:vAlign w:val="center"/>
                </w:tcPr>
                <w:p>
                  <w:pPr>
                    <w:widowControl/>
                    <w:jc w:val="center"/>
                    <w:rPr>
                      <w:color w:val="000000"/>
                      <w:kern w:val="0"/>
                      <w:szCs w:val="21"/>
                      <w:highlight w:val="none"/>
                    </w:rPr>
                  </w:pPr>
                </w:p>
              </w:tc>
              <w:tc>
                <w:tcPr>
                  <w:tcW w:w="656" w:type="pct"/>
                  <w:vAlign w:val="center"/>
                </w:tcPr>
                <w:p>
                  <w:pPr>
                    <w:widowControl/>
                    <w:jc w:val="center"/>
                    <w:rPr>
                      <w:color w:val="000000"/>
                      <w:kern w:val="0"/>
                      <w:szCs w:val="21"/>
                      <w:highlight w:val="none"/>
                    </w:rPr>
                  </w:pPr>
                  <w:r>
                    <w:rPr>
                      <w:color w:val="000000"/>
                      <w:kern w:val="0"/>
                      <w:szCs w:val="21"/>
                      <w:highlight w:val="none"/>
                    </w:rPr>
                    <w:t>COD</w:t>
                  </w:r>
                </w:p>
              </w:tc>
              <w:tc>
                <w:tcPr>
                  <w:tcW w:w="589" w:type="pct"/>
                  <w:vAlign w:val="center"/>
                </w:tcPr>
                <w:p>
                  <w:pPr>
                    <w:widowControl/>
                    <w:jc w:val="center"/>
                    <w:rPr>
                      <w:color w:val="000000"/>
                      <w:kern w:val="0"/>
                      <w:szCs w:val="21"/>
                      <w:highlight w:val="none"/>
                    </w:rPr>
                  </w:pPr>
                  <w:r>
                    <w:rPr>
                      <w:color w:val="000000"/>
                      <w:kern w:val="0"/>
                      <w:szCs w:val="21"/>
                      <w:highlight w:val="none"/>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604" w:hRule="atLeast"/>
                <w:jc w:val="center"/>
              </w:trPr>
              <w:tc>
                <w:tcPr>
                  <w:tcW w:w="374" w:type="pct"/>
                  <w:vMerge w:val="continue"/>
                  <w:vAlign w:val="center"/>
                </w:tcPr>
                <w:p>
                  <w:pPr>
                    <w:widowControl/>
                    <w:jc w:val="left"/>
                    <w:rPr>
                      <w:color w:val="000000"/>
                      <w:kern w:val="0"/>
                      <w:szCs w:val="21"/>
                      <w:highlight w:val="none"/>
                    </w:rPr>
                  </w:pPr>
                </w:p>
              </w:tc>
              <w:tc>
                <w:tcPr>
                  <w:tcW w:w="548" w:type="pct"/>
                  <w:vMerge w:val="continue"/>
                  <w:vAlign w:val="center"/>
                </w:tcPr>
                <w:p>
                  <w:pPr>
                    <w:widowControl/>
                    <w:jc w:val="left"/>
                    <w:rPr>
                      <w:color w:val="000000"/>
                      <w:kern w:val="0"/>
                      <w:szCs w:val="21"/>
                      <w:highlight w:val="none"/>
                    </w:rPr>
                  </w:pPr>
                </w:p>
              </w:tc>
              <w:tc>
                <w:tcPr>
                  <w:tcW w:w="493" w:type="pct"/>
                  <w:vMerge w:val="continue"/>
                  <w:vAlign w:val="center"/>
                </w:tcPr>
                <w:p>
                  <w:pPr>
                    <w:widowControl/>
                    <w:jc w:val="left"/>
                    <w:rPr>
                      <w:color w:val="000000"/>
                      <w:kern w:val="0"/>
                      <w:szCs w:val="21"/>
                      <w:highlight w:val="none"/>
                    </w:rPr>
                  </w:pPr>
                </w:p>
              </w:tc>
              <w:tc>
                <w:tcPr>
                  <w:tcW w:w="407" w:type="pct"/>
                  <w:vMerge w:val="continue"/>
                  <w:vAlign w:val="center"/>
                </w:tcPr>
                <w:p>
                  <w:pPr>
                    <w:widowControl/>
                    <w:jc w:val="left"/>
                    <w:rPr>
                      <w:color w:val="000000"/>
                      <w:kern w:val="0"/>
                      <w:szCs w:val="21"/>
                      <w:highlight w:val="none"/>
                    </w:rPr>
                  </w:pPr>
                </w:p>
              </w:tc>
              <w:tc>
                <w:tcPr>
                  <w:tcW w:w="222" w:type="pct"/>
                  <w:vMerge w:val="continue"/>
                  <w:vAlign w:val="center"/>
                </w:tcPr>
                <w:p>
                  <w:pPr>
                    <w:widowControl/>
                    <w:jc w:val="left"/>
                    <w:rPr>
                      <w:color w:val="000000"/>
                      <w:kern w:val="0"/>
                      <w:szCs w:val="21"/>
                      <w:highlight w:val="none"/>
                    </w:rPr>
                  </w:pPr>
                </w:p>
              </w:tc>
              <w:tc>
                <w:tcPr>
                  <w:tcW w:w="372" w:type="pct"/>
                  <w:vMerge w:val="continue"/>
                  <w:vAlign w:val="center"/>
                </w:tcPr>
                <w:p>
                  <w:pPr>
                    <w:widowControl/>
                    <w:jc w:val="left"/>
                    <w:rPr>
                      <w:color w:val="000000"/>
                      <w:kern w:val="0"/>
                      <w:szCs w:val="21"/>
                      <w:highlight w:val="none"/>
                    </w:rPr>
                  </w:pPr>
                </w:p>
              </w:tc>
              <w:tc>
                <w:tcPr>
                  <w:tcW w:w="463" w:type="pct"/>
                  <w:vMerge w:val="continue"/>
                  <w:vAlign w:val="center"/>
                </w:tcPr>
                <w:p>
                  <w:pPr>
                    <w:widowControl/>
                    <w:jc w:val="left"/>
                    <w:rPr>
                      <w:color w:val="000000"/>
                      <w:kern w:val="0"/>
                      <w:szCs w:val="21"/>
                      <w:highlight w:val="none"/>
                    </w:rPr>
                  </w:pPr>
                </w:p>
              </w:tc>
              <w:tc>
                <w:tcPr>
                  <w:tcW w:w="872" w:type="pct"/>
                  <w:vMerge w:val="continue"/>
                  <w:vAlign w:val="center"/>
                </w:tcPr>
                <w:p>
                  <w:pPr>
                    <w:widowControl/>
                    <w:jc w:val="left"/>
                    <w:rPr>
                      <w:color w:val="000000"/>
                      <w:kern w:val="0"/>
                      <w:szCs w:val="21"/>
                      <w:highlight w:val="none"/>
                    </w:rPr>
                  </w:pPr>
                </w:p>
              </w:tc>
              <w:tc>
                <w:tcPr>
                  <w:tcW w:w="656" w:type="pct"/>
                  <w:vAlign w:val="center"/>
                </w:tcPr>
                <w:p>
                  <w:pPr>
                    <w:widowControl/>
                    <w:jc w:val="center"/>
                    <w:rPr>
                      <w:color w:val="000000"/>
                      <w:kern w:val="0"/>
                      <w:szCs w:val="21"/>
                      <w:highlight w:val="none"/>
                    </w:rPr>
                  </w:pPr>
                  <w:r>
                    <w:rPr>
                      <w:color w:val="000000"/>
                      <w:kern w:val="0"/>
                      <w:szCs w:val="21"/>
                      <w:highlight w:val="none"/>
                    </w:rPr>
                    <w:t>NH</w:t>
                  </w:r>
                  <w:r>
                    <w:rPr>
                      <w:color w:val="000000"/>
                      <w:kern w:val="0"/>
                      <w:szCs w:val="21"/>
                      <w:highlight w:val="none"/>
                      <w:vertAlign w:val="subscript"/>
                    </w:rPr>
                    <w:t>3</w:t>
                  </w:r>
                  <w:r>
                    <w:rPr>
                      <w:color w:val="000000"/>
                      <w:kern w:val="0"/>
                      <w:szCs w:val="21"/>
                      <w:highlight w:val="none"/>
                    </w:rPr>
                    <w:t>-N</w:t>
                  </w:r>
                </w:p>
              </w:tc>
              <w:tc>
                <w:tcPr>
                  <w:tcW w:w="589" w:type="pct"/>
                  <w:vAlign w:val="center"/>
                </w:tcPr>
                <w:p>
                  <w:pPr>
                    <w:widowControl/>
                    <w:jc w:val="center"/>
                    <w:rPr>
                      <w:color w:val="000000"/>
                      <w:kern w:val="0"/>
                      <w:szCs w:val="21"/>
                      <w:highlight w:val="none"/>
                    </w:rPr>
                  </w:pPr>
                  <w:r>
                    <w:rPr>
                      <w:color w:val="000000"/>
                      <w:kern w:val="0"/>
                      <w:szCs w:val="21"/>
                      <w:highlight w:val="none"/>
                    </w:rPr>
                    <w:t>1.5（3）*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578" w:hRule="atLeast"/>
                <w:jc w:val="center"/>
              </w:trPr>
              <w:tc>
                <w:tcPr>
                  <w:tcW w:w="374" w:type="pct"/>
                  <w:vMerge w:val="continue"/>
                  <w:vAlign w:val="center"/>
                </w:tcPr>
                <w:p>
                  <w:pPr>
                    <w:widowControl/>
                    <w:jc w:val="left"/>
                    <w:rPr>
                      <w:color w:val="000000"/>
                      <w:kern w:val="0"/>
                      <w:szCs w:val="21"/>
                      <w:highlight w:val="none"/>
                    </w:rPr>
                  </w:pPr>
                </w:p>
              </w:tc>
              <w:tc>
                <w:tcPr>
                  <w:tcW w:w="548" w:type="pct"/>
                  <w:vMerge w:val="continue"/>
                  <w:vAlign w:val="center"/>
                </w:tcPr>
                <w:p>
                  <w:pPr>
                    <w:widowControl/>
                    <w:jc w:val="left"/>
                    <w:rPr>
                      <w:color w:val="000000"/>
                      <w:kern w:val="0"/>
                      <w:szCs w:val="21"/>
                      <w:highlight w:val="none"/>
                    </w:rPr>
                  </w:pPr>
                </w:p>
              </w:tc>
              <w:tc>
                <w:tcPr>
                  <w:tcW w:w="493" w:type="pct"/>
                  <w:vMerge w:val="continue"/>
                  <w:vAlign w:val="center"/>
                </w:tcPr>
                <w:p>
                  <w:pPr>
                    <w:widowControl/>
                    <w:jc w:val="left"/>
                    <w:rPr>
                      <w:color w:val="000000"/>
                      <w:kern w:val="0"/>
                      <w:szCs w:val="21"/>
                      <w:highlight w:val="none"/>
                    </w:rPr>
                  </w:pPr>
                </w:p>
              </w:tc>
              <w:tc>
                <w:tcPr>
                  <w:tcW w:w="407" w:type="pct"/>
                  <w:vMerge w:val="continue"/>
                  <w:vAlign w:val="center"/>
                </w:tcPr>
                <w:p>
                  <w:pPr>
                    <w:widowControl/>
                    <w:jc w:val="left"/>
                    <w:rPr>
                      <w:color w:val="000000"/>
                      <w:kern w:val="0"/>
                      <w:szCs w:val="21"/>
                      <w:highlight w:val="none"/>
                    </w:rPr>
                  </w:pPr>
                </w:p>
              </w:tc>
              <w:tc>
                <w:tcPr>
                  <w:tcW w:w="222" w:type="pct"/>
                  <w:vMerge w:val="continue"/>
                  <w:vAlign w:val="center"/>
                </w:tcPr>
                <w:p>
                  <w:pPr>
                    <w:widowControl/>
                    <w:jc w:val="left"/>
                    <w:rPr>
                      <w:color w:val="000000"/>
                      <w:kern w:val="0"/>
                      <w:szCs w:val="21"/>
                      <w:highlight w:val="none"/>
                    </w:rPr>
                  </w:pPr>
                </w:p>
              </w:tc>
              <w:tc>
                <w:tcPr>
                  <w:tcW w:w="372" w:type="pct"/>
                  <w:vMerge w:val="continue"/>
                  <w:vAlign w:val="center"/>
                </w:tcPr>
                <w:p>
                  <w:pPr>
                    <w:widowControl/>
                    <w:jc w:val="left"/>
                    <w:rPr>
                      <w:color w:val="000000"/>
                      <w:kern w:val="0"/>
                      <w:szCs w:val="21"/>
                      <w:highlight w:val="none"/>
                    </w:rPr>
                  </w:pPr>
                </w:p>
              </w:tc>
              <w:tc>
                <w:tcPr>
                  <w:tcW w:w="463" w:type="pct"/>
                  <w:vMerge w:val="continue"/>
                  <w:vAlign w:val="center"/>
                </w:tcPr>
                <w:p>
                  <w:pPr>
                    <w:widowControl/>
                    <w:jc w:val="left"/>
                    <w:rPr>
                      <w:color w:val="000000"/>
                      <w:kern w:val="0"/>
                      <w:szCs w:val="21"/>
                      <w:highlight w:val="none"/>
                    </w:rPr>
                  </w:pPr>
                </w:p>
              </w:tc>
              <w:tc>
                <w:tcPr>
                  <w:tcW w:w="872" w:type="pct"/>
                  <w:vMerge w:val="continue"/>
                  <w:vAlign w:val="center"/>
                </w:tcPr>
                <w:p>
                  <w:pPr>
                    <w:widowControl/>
                    <w:jc w:val="left"/>
                    <w:rPr>
                      <w:color w:val="000000"/>
                      <w:kern w:val="0"/>
                      <w:szCs w:val="21"/>
                      <w:highlight w:val="none"/>
                    </w:rPr>
                  </w:pPr>
                </w:p>
              </w:tc>
              <w:tc>
                <w:tcPr>
                  <w:tcW w:w="656" w:type="pct"/>
                  <w:vAlign w:val="center"/>
                </w:tcPr>
                <w:p>
                  <w:pPr>
                    <w:widowControl/>
                    <w:jc w:val="center"/>
                    <w:rPr>
                      <w:color w:val="000000"/>
                      <w:kern w:val="0"/>
                      <w:szCs w:val="21"/>
                      <w:highlight w:val="none"/>
                    </w:rPr>
                  </w:pPr>
                  <w:r>
                    <w:rPr>
                      <w:color w:val="000000"/>
                      <w:kern w:val="0"/>
                      <w:szCs w:val="21"/>
                      <w:highlight w:val="none"/>
                    </w:rPr>
                    <w:t>TP</w:t>
                  </w:r>
                </w:p>
              </w:tc>
              <w:tc>
                <w:tcPr>
                  <w:tcW w:w="589" w:type="pct"/>
                  <w:vAlign w:val="center"/>
                </w:tcPr>
                <w:p>
                  <w:pPr>
                    <w:widowControl/>
                    <w:jc w:val="center"/>
                    <w:rPr>
                      <w:color w:val="000000"/>
                      <w:kern w:val="0"/>
                      <w:szCs w:val="21"/>
                      <w:highlight w:val="none"/>
                    </w:rPr>
                  </w:pPr>
                  <w:r>
                    <w:rPr>
                      <w:color w:val="000000"/>
                      <w:kern w:val="0"/>
                      <w:szCs w:val="21"/>
                      <w:highlight w:val="none"/>
                    </w:rPr>
                    <w:t>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00" w:hRule="atLeast"/>
                <w:jc w:val="center"/>
              </w:trPr>
              <w:tc>
                <w:tcPr>
                  <w:tcW w:w="374" w:type="pct"/>
                  <w:vMerge w:val="continue"/>
                  <w:vAlign w:val="center"/>
                </w:tcPr>
                <w:p>
                  <w:pPr>
                    <w:widowControl/>
                    <w:jc w:val="left"/>
                    <w:rPr>
                      <w:color w:val="000000"/>
                      <w:kern w:val="0"/>
                      <w:szCs w:val="21"/>
                      <w:highlight w:val="none"/>
                    </w:rPr>
                  </w:pPr>
                </w:p>
              </w:tc>
              <w:tc>
                <w:tcPr>
                  <w:tcW w:w="548" w:type="pct"/>
                  <w:vMerge w:val="continue"/>
                  <w:vAlign w:val="center"/>
                </w:tcPr>
                <w:p>
                  <w:pPr>
                    <w:widowControl/>
                    <w:jc w:val="left"/>
                    <w:rPr>
                      <w:color w:val="000000"/>
                      <w:kern w:val="0"/>
                      <w:szCs w:val="21"/>
                      <w:highlight w:val="none"/>
                    </w:rPr>
                  </w:pPr>
                </w:p>
              </w:tc>
              <w:tc>
                <w:tcPr>
                  <w:tcW w:w="493" w:type="pct"/>
                  <w:vMerge w:val="continue"/>
                  <w:vAlign w:val="center"/>
                </w:tcPr>
                <w:p>
                  <w:pPr>
                    <w:widowControl/>
                    <w:jc w:val="left"/>
                    <w:rPr>
                      <w:color w:val="000000"/>
                      <w:kern w:val="0"/>
                      <w:szCs w:val="21"/>
                      <w:highlight w:val="none"/>
                    </w:rPr>
                  </w:pPr>
                </w:p>
              </w:tc>
              <w:tc>
                <w:tcPr>
                  <w:tcW w:w="407" w:type="pct"/>
                  <w:vMerge w:val="continue"/>
                  <w:vAlign w:val="center"/>
                </w:tcPr>
                <w:p>
                  <w:pPr>
                    <w:widowControl/>
                    <w:jc w:val="left"/>
                    <w:rPr>
                      <w:color w:val="000000"/>
                      <w:kern w:val="0"/>
                      <w:szCs w:val="21"/>
                      <w:highlight w:val="none"/>
                    </w:rPr>
                  </w:pPr>
                </w:p>
              </w:tc>
              <w:tc>
                <w:tcPr>
                  <w:tcW w:w="222" w:type="pct"/>
                  <w:vMerge w:val="continue"/>
                  <w:vAlign w:val="center"/>
                </w:tcPr>
                <w:p>
                  <w:pPr>
                    <w:widowControl/>
                    <w:jc w:val="left"/>
                    <w:rPr>
                      <w:color w:val="000000"/>
                      <w:kern w:val="0"/>
                      <w:szCs w:val="21"/>
                      <w:highlight w:val="none"/>
                    </w:rPr>
                  </w:pPr>
                </w:p>
              </w:tc>
              <w:tc>
                <w:tcPr>
                  <w:tcW w:w="372" w:type="pct"/>
                  <w:vMerge w:val="continue"/>
                  <w:vAlign w:val="center"/>
                </w:tcPr>
                <w:p>
                  <w:pPr>
                    <w:widowControl/>
                    <w:jc w:val="left"/>
                    <w:rPr>
                      <w:color w:val="000000"/>
                      <w:kern w:val="0"/>
                      <w:szCs w:val="21"/>
                      <w:highlight w:val="none"/>
                    </w:rPr>
                  </w:pPr>
                </w:p>
              </w:tc>
              <w:tc>
                <w:tcPr>
                  <w:tcW w:w="463" w:type="pct"/>
                  <w:vMerge w:val="continue"/>
                  <w:vAlign w:val="center"/>
                </w:tcPr>
                <w:p>
                  <w:pPr>
                    <w:widowControl/>
                    <w:jc w:val="left"/>
                    <w:rPr>
                      <w:color w:val="000000"/>
                      <w:kern w:val="0"/>
                      <w:szCs w:val="21"/>
                      <w:highlight w:val="none"/>
                    </w:rPr>
                  </w:pPr>
                </w:p>
              </w:tc>
              <w:tc>
                <w:tcPr>
                  <w:tcW w:w="872" w:type="pct"/>
                  <w:vMerge w:val="continue"/>
                  <w:vAlign w:val="center"/>
                </w:tcPr>
                <w:p>
                  <w:pPr>
                    <w:widowControl/>
                    <w:jc w:val="left"/>
                    <w:rPr>
                      <w:color w:val="000000"/>
                      <w:kern w:val="0"/>
                      <w:szCs w:val="21"/>
                      <w:highlight w:val="none"/>
                    </w:rPr>
                  </w:pPr>
                </w:p>
              </w:tc>
              <w:tc>
                <w:tcPr>
                  <w:tcW w:w="656" w:type="pct"/>
                  <w:vAlign w:val="center"/>
                </w:tcPr>
                <w:p>
                  <w:pPr>
                    <w:widowControl/>
                    <w:jc w:val="center"/>
                    <w:rPr>
                      <w:color w:val="000000"/>
                      <w:kern w:val="0"/>
                      <w:szCs w:val="21"/>
                      <w:highlight w:val="none"/>
                    </w:rPr>
                  </w:pPr>
                  <w:r>
                    <w:rPr>
                      <w:color w:val="000000"/>
                      <w:kern w:val="0"/>
                      <w:szCs w:val="21"/>
                      <w:highlight w:val="none"/>
                    </w:rPr>
                    <w:t>TN</w:t>
                  </w:r>
                </w:p>
              </w:tc>
              <w:tc>
                <w:tcPr>
                  <w:tcW w:w="589" w:type="pct"/>
                  <w:vAlign w:val="center"/>
                </w:tcPr>
                <w:p>
                  <w:pPr>
                    <w:widowControl/>
                    <w:jc w:val="center"/>
                    <w:rPr>
                      <w:color w:val="000000"/>
                      <w:kern w:val="0"/>
                      <w:szCs w:val="21"/>
                      <w:highlight w:val="none"/>
                    </w:rPr>
                  </w:pPr>
                  <w:r>
                    <w:rPr>
                      <w:color w:val="000000"/>
                      <w:kern w:val="0"/>
                      <w:szCs w:val="21"/>
                      <w:highlight w:val="none"/>
                    </w:rPr>
                    <w:t>10</w:t>
                  </w:r>
                </w:p>
              </w:tc>
            </w:tr>
          </w:tbl>
          <w:p>
            <w:pPr>
              <w:snapToGrid w:val="0"/>
              <w:rPr>
                <w:kern w:val="21"/>
                <w:szCs w:val="21"/>
                <w:highlight w:val="none"/>
              </w:rPr>
            </w:pPr>
            <w:r>
              <w:rPr>
                <w:kern w:val="21"/>
                <w:szCs w:val="21"/>
                <w:highlight w:val="none"/>
              </w:rPr>
              <w:t>注：括号外数值为水温＞12℃时的控制指标，括号内数值为水温≤12℃时的控制指标。</w:t>
            </w:r>
          </w:p>
          <w:p>
            <w:pPr>
              <w:spacing w:line="360" w:lineRule="auto"/>
              <w:ind w:firstLine="482" w:firstLineChars="200"/>
              <w:rPr>
                <w:b/>
                <w:bCs/>
                <w:sz w:val="24"/>
                <w:szCs w:val="21"/>
                <w:highlight w:val="none"/>
              </w:rPr>
            </w:pPr>
            <w:r>
              <w:rPr>
                <w:b/>
                <w:bCs/>
                <w:sz w:val="24"/>
                <w:szCs w:val="21"/>
                <w:highlight w:val="none"/>
              </w:rPr>
              <w:t>（5）废水排放对环境的影响</w:t>
            </w:r>
          </w:p>
          <w:p>
            <w:pPr>
              <w:spacing w:line="360" w:lineRule="auto"/>
              <w:ind w:firstLine="480" w:firstLineChars="200"/>
              <w:rPr>
                <w:sz w:val="24"/>
                <w:szCs w:val="21"/>
                <w:highlight w:val="none"/>
              </w:rPr>
            </w:pPr>
            <w:r>
              <w:rPr>
                <w:rFonts w:hint="eastAsia"/>
                <w:sz w:val="24"/>
                <w:szCs w:val="21"/>
                <w:highlight w:val="none"/>
              </w:rPr>
              <w:t>本项目排放的污水水质简单，符合污水厂设计进水的水质要求，不会因为本项目的排放而使污水处理厂超负荷运营，也不会因为本项目的废水排放而导致污水生物处理系统失效。根据污水处理厂的环评报告显示，污水处理厂能实现达标排放，对纳污水体的水环境质量影响可以接受，不会降低纳污水体的环境功能类别。综上所述，本项目的建成投产不会对本区的地表水环境质量产生明显影响，纳污河道的水质可维持现状。</w:t>
            </w:r>
          </w:p>
          <w:p>
            <w:pPr>
              <w:spacing w:line="360" w:lineRule="auto"/>
              <w:ind w:firstLine="482" w:firstLineChars="200"/>
              <w:rPr>
                <w:b/>
                <w:bCs/>
                <w:sz w:val="24"/>
                <w:szCs w:val="21"/>
                <w:highlight w:val="none"/>
              </w:rPr>
            </w:pPr>
            <w:r>
              <w:rPr>
                <w:b/>
                <w:bCs/>
                <w:sz w:val="24"/>
                <w:szCs w:val="21"/>
                <w:highlight w:val="none"/>
              </w:rPr>
              <w:t>（6）监测计划</w:t>
            </w:r>
          </w:p>
          <w:p>
            <w:pPr>
              <w:autoSpaceDE w:val="0"/>
              <w:autoSpaceDN w:val="0"/>
              <w:jc w:val="center"/>
              <w:rPr>
                <w:b/>
                <w:sz w:val="24"/>
                <w:szCs w:val="21"/>
                <w:highlight w:val="yellow"/>
              </w:rPr>
            </w:pPr>
            <w:r>
              <w:rPr>
                <w:b/>
                <w:sz w:val="24"/>
                <w:szCs w:val="21"/>
                <w:highlight w:val="none"/>
              </w:rPr>
              <w:t>表4-4  废水环境监测计划表</w:t>
            </w:r>
          </w:p>
          <w:tbl>
            <w:tblPr>
              <w:tblStyle w:val="22"/>
              <w:tblW w:w="869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3" w:type="dxa"/>
                <w:bottom w:w="0" w:type="dxa"/>
                <w:right w:w="23" w:type="dxa"/>
              </w:tblCellMar>
            </w:tblPr>
            <w:tblGrid>
              <w:gridCol w:w="1488"/>
              <w:gridCol w:w="2100"/>
              <w:gridCol w:w="563"/>
              <w:gridCol w:w="45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146" w:hRule="atLeast"/>
                <w:jc w:val="center"/>
              </w:trPr>
              <w:tc>
                <w:tcPr>
                  <w:tcW w:w="1488" w:type="dxa"/>
                  <w:noWrap w:val="0"/>
                  <w:vAlign w:val="center"/>
                </w:tcPr>
                <w:p>
                  <w:pPr>
                    <w:autoSpaceDE w:val="0"/>
                    <w:autoSpaceDN w:val="0"/>
                    <w:adjustRightInd w:val="0"/>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监测点位</w:t>
                  </w:r>
                </w:p>
              </w:tc>
              <w:tc>
                <w:tcPr>
                  <w:tcW w:w="2100" w:type="dxa"/>
                  <w:noWrap w:val="0"/>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监测因子</w:t>
                  </w:r>
                </w:p>
              </w:tc>
              <w:tc>
                <w:tcPr>
                  <w:tcW w:w="563" w:type="dxa"/>
                  <w:noWrap w:val="0"/>
                  <w:vAlign w:val="center"/>
                </w:tcPr>
                <w:p>
                  <w:pPr>
                    <w:autoSpaceDE w:val="0"/>
                    <w:autoSpaceDN w:val="0"/>
                    <w:adjustRightInd w:val="0"/>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监测频率</w:t>
                  </w:r>
                </w:p>
              </w:tc>
              <w:tc>
                <w:tcPr>
                  <w:tcW w:w="4547" w:type="dxa"/>
                  <w:noWrap w:val="0"/>
                  <w:vAlign w:val="center"/>
                </w:tcPr>
                <w:p>
                  <w:pPr>
                    <w:autoSpaceDE w:val="0"/>
                    <w:autoSpaceDN w:val="0"/>
                    <w:adjustRightInd w:val="0"/>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283" w:hRule="atLeast"/>
                <w:jc w:val="center"/>
              </w:trPr>
              <w:tc>
                <w:tcPr>
                  <w:tcW w:w="1488" w:type="dxa"/>
                  <w:noWrap w:val="0"/>
                  <w:vAlign w:val="center"/>
                </w:tcPr>
                <w:p>
                  <w:pPr>
                    <w:widowControl/>
                    <w:wordWrap w:val="0"/>
                    <w:jc w:val="center"/>
                    <w:rPr>
                      <w:rFonts w:hint="default"/>
                      <w:color w:val="000000"/>
                      <w:kern w:val="0"/>
                      <w:szCs w:val="21"/>
                      <w:highlight w:val="none"/>
                    </w:rPr>
                  </w:pPr>
                  <w:r>
                    <w:rPr>
                      <w:rFonts w:hint="default"/>
                      <w:color w:val="000000"/>
                      <w:kern w:val="0"/>
                      <w:szCs w:val="21"/>
                      <w:highlight w:val="none"/>
                    </w:rPr>
                    <w:t>厂区总排口</w:t>
                  </w:r>
                </w:p>
              </w:tc>
              <w:tc>
                <w:tcPr>
                  <w:tcW w:w="2100" w:type="dxa"/>
                  <w:noWrap w:val="0"/>
                  <w:vAlign w:val="center"/>
                </w:tcPr>
                <w:p>
                  <w:pPr>
                    <w:widowControl/>
                    <w:wordWrap w:val="0"/>
                    <w:jc w:val="center"/>
                    <w:rPr>
                      <w:rFonts w:hint="default"/>
                      <w:color w:val="000000"/>
                      <w:kern w:val="0"/>
                      <w:szCs w:val="21"/>
                      <w:highlight w:val="none"/>
                    </w:rPr>
                  </w:pPr>
                  <w:r>
                    <w:rPr>
                      <w:rFonts w:hint="default"/>
                      <w:color w:val="000000"/>
                      <w:kern w:val="0"/>
                      <w:szCs w:val="21"/>
                      <w:highlight w:val="none"/>
                    </w:rPr>
                    <w:t>pH、COD、SS、氨氮、TP</w:t>
                  </w:r>
                </w:p>
              </w:tc>
              <w:tc>
                <w:tcPr>
                  <w:tcW w:w="563" w:type="dxa"/>
                  <w:noWrap w:val="0"/>
                  <w:vAlign w:val="center"/>
                </w:tcPr>
                <w:p>
                  <w:pPr>
                    <w:widowControl/>
                    <w:wordWrap w:val="0"/>
                    <w:jc w:val="center"/>
                    <w:rPr>
                      <w:rFonts w:hint="default"/>
                      <w:color w:val="000000"/>
                      <w:kern w:val="0"/>
                      <w:szCs w:val="21"/>
                      <w:highlight w:val="none"/>
                    </w:rPr>
                  </w:pPr>
                  <w:r>
                    <w:rPr>
                      <w:rFonts w:hint="default"/>
                      <w:color w:val="000000"/>
                      <w:kern w:val="0"/>
                      <w:szCs w:val="21"/>
                      <w:highlight w:val="none"/>
                    </w:rPr>
                    <w:t>每年</w:t>
                  </w:r>
                </w:p>
              </w:tc>
              <w:tc>
                <w:tcPr>
                  <w:tcW w:w="4547" w:type="dxa"/>
                  <w:noWrap w:val="0"/>
                  <w:vAlign w:val="center"/>
                </w:tcPr>
                <w:p>
                  <w:pPr>
                    <w:widowControl/>
                    <w:wordWrap w:val="0"/>
                    <w:jc w:val="center"/>
                    <w:rPr>
                      <w:rFonts w:hint="default"/>
                      <w:color w:val="000000"/>
                      <w:kern w:val="0"/>
                      <w:szCs w:val="21"/>
                      <w:highlight w:val="none"/>
                    </w:rPr>
                  </w:pPr>
                  <w:r>
                    <w:rPr>
                      <w:rFonts w:hint="default"/>
                      <w:color w:val="000000"/>
                      <w:kern w:val="0"/>
                      <w:szCs w:val="21"/>
                      <w:highlight w:val="none"/>
                    </w:rPr>
                    <w:t>《污水综合排放标准》（GB8978-1996）、《污水排入城镇下水道水质标准</w:t>
                  </w:r>
                  <w:r>
                    <w:rPr>
                      <w:rFonts w:hint="eastAsia"/>
                      <w:color w:val="000000"/>
                      <w:kern w:val="0"/>
                      <w:szCs w:val="21"/>
                      <w:highlight w:val="none"/>
                      <w:lang w:eastAsia="zh-CN"/>
                    </w:rPr>
                    <w:t>》</w:t>
                  </w:r>
                  <w:r>
                    <w:rPr>
                      <w:rFonts w:hint="default"/>
                      <w:color w:val="000000"/>
                      <w:kern w:val="0"/>
                      <w:szCs w:val="21"/>
                      <w:highlight w:val="none"/>
                    </w:rPr>
                    <w:t>（GB/T31962-2015）</w:t>
                  </w:r>
                </w:p>
              </w:tc>
            </w:tr>
          </w:tbl>
          <w:p>
            <w:pPr>
              <w:spacing w:line="360" w:lineRule="auto"/>
              <w:ind w:firstLine="482" w:firstLineChars="200"/>
              <w:rPr>
                <w:b/>
                <w:bCs/>
                <w:sz w:val="24"/>
                <w:highlight w:val="none"/>
              </w:rPr>
            </w:pPr>
            <w:r>
              <w:rPr>
                <w:b/>
                <w:bCs/>
                <w:sz w:val="24"/>
                <w:highlight w:val="none"/>
              </w:rPr>
              <w:t>3、噪声</w:t>
            </w:r>
          </w:p>
          <w:p>
            <w:pPr>
              <w:spacing w:line="360" w:lineRule="auto"/>
              <w:ind w:firstLine="482" w:firstLineChars="200"/>
              <w:rPr>
                <w:b/>
                <w:bCs/>
                <w:sz w:val="24"/>
                <w:highlight w:val="none"/>
              </w:rPr>
            </w:pPr>
            <w:r>
              <w:rPr>
                <w:b/>
                <w:bCs/>
                <w:sz w:val="24"/>
                <w:highlight w:val="none"/>
              </w:rPr>
              <w:t>（1）噪声产排情况</w:t>
            </w:r>
          </w:p>
          <w:p>
            <w:pPr>
              <w:adjustRightInd w:val="0"/>
              <w:snapToGrid w:val="0"/>
              <w:ind w:left="223" w:leftChars="106" w:firstLine="460" w:firstLineChars="192"/>
              <w:jc w:val="both"/>
              <w:rPr>
                <w:rFonts w:hint="eastAsia"/>
                <w:b/>
                <w:kern w:val="21"/>
                <w:sz w:val="24"/>
                <w:highlight w:val="yellow"/>
              </w:rPr>
            </w:pPr>
            <w:r>
              <w:rPr>
                <w:rFonts w:hint="eastAsia"/>
                <w:sz w:val="24"/>
                <w:szCs w:val="21"/>
                <w:highlight w:val="none"/>
              </w:rPr>
              <w:t>本项目运行时主要噪声源是</w:t>
            </w:r>
            <w:r>
              <w:rPr>
                <w:rFonts w:hint="eastAsia"/>
                <w:sz w:val="24"/>
                <w:szCs w:val="21"/>
                <w:highlight w:val="none"/>
                <w:lang w:eastAsia="zh-CN"/>
              </w:rPr>
              <w:t>注塑机</w:t>
            </w:r>
            <w:r>
              <w:rPr>
                <w:rFonts w:hint="eastAsia"/>
                <w:sz w:val="24"/>
                <w:szCs w:val="21"/>
                <w:highlight w:val="none"/>
              </w:rPr>
              <w:t>、生产设备等产生的机械噪声，其噪声源强大约7</w:t>
            </w:r>
            <w:r>
              <w:rPr>
                <w:rFonts w:hint="eastAsia"/>
                <w:sz w:val="24"/>
                <w:szCs w:val="21"/>
                <w:highlight w:val="none"/>
                <w:lang w:val="en-US" w:eastAsia="zh-CN"/>
              </w:rPr>
              <w:t>0</w:t>
            </w:r>
            <w:r>
              <w:rPr>
                <w:rFonts w:hint="eastAsia"/>
                <w:sz w:val="24"/>
                <w:szCs w:val="21"/>
                <w:highlight w:val="none"/>
              </w:rPr>
              <w:t>-85dB（A），生产是在室内进行，同时经过合理布局，室内、隔声减振、距离衰减等之后预计厂界噪声可以满足标准要求。</w:t>
            </w:r>
          </w:p>
          <w:p>
            <w:pPr>
              <w:adjustRightInd w:val="0"/>
              <w:snapToGrid w:val="0"/>
              <w:ind w:left="2" w:leftChars="-8" w:hanging="19" w:hangingChars="8"/>
              <w:jc w:val="center"/>
              <w:rPr>
                <w:b/>
                <w:kern w:val="21"/>
                <w:sz w:val="24"/>
                <w:highlight w:val="none"/>
              </w:rPr>
            </w:pPr>
            <w:r>
              <w:rPr>
                <w:b/>
                <w:kern w:val="21"/>
                <w:sz w:val="24"/>
                <w:highlight w:val="none"/>
              </w:rPr>
              <w:t xml:space="preserve">表4-5  </w:t>
            </w:r>
            <w:r>
              <w:rPr>
                <w:rFonts w:hint="eastAsia"/>
                <w:b/>
                <w:kern w:val="21"/>
                <w:sz w:val="24"/>
                <w:highlight w:val="none"/>
              </w:rPr>
              <w:t>本项目</w:t>
            </w:r>
            <w:r>
              <w:rPr>
                <w:b/>
                <w:kern w:val="21"/>
                <w:sz w:val="24"/>
                <w:highlight w:val="none"/>
              </w:rPr>
              <w:t>噪声产生排放情况</w:t>
            </w:r>
          </w:p>
          <w:tbl>
            <w:tblPr>
              <w:tblStyle w:val="22"/>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832"/>
              <w:gridCol w:w="761"/>
              <w:gridCol w:w="1068"/>
              <w:gridCol w:w="759"/>
              <w:gridCol w:w="1072"/>
              <w:gridCol w:w="1065"/>
              <w:gridCol w:w="764"/>
              <w:gridCol w:w="109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4" w:type="pct"/>
                  <w:shd w:val="clear" w:color="auto" w:fill="auto"/>
                  <w:vAlign w:val="center"/>
                </w:tcPr>
                <w:p>
                  <w:pPr>
                    <w:widowControl/>
                    <w:wordWrap w:val="0"/>
                    <w:jc w:val="center"/>
                    <w:rPr>
                      <w:rFonts w:hint="default"/>
                      <w:b/>
                      <w:bCs/>
                      <w:color w:val="000000"/>
                      <w:kern w:val="0"/>
                      <w:szCs w:val="21"/>
                      <w:highlight w:val="none"/>
                    </w:rPr>
                  </w:pPr>
                  <w:r>
                    <w:rPr>
                      <w:rFonts w:hint="default"/>
                      <w:b/>
                      <w:bCs/>
                      <w:color w:val="000000"/>
                      <w:kern w:val="0"/>
                      <w:szCs w:val="21"/>
                      <w:highlight w:val="none"/>
                    </w:rPr>
                    <w:t>序号</w:t>
                  </w:r>
                </w:p>
              </w:tc>
              <w:tc>
                <w:tcPr>
                  <w:tcW w:w="1035" w:type="pct"/>
                  <w:shd w:val="clear" w:color="auto" w:fill="auto"/>
                  <w:vAlign w:val="center"/>
                </w:tcPr>
                <w:p>
                  <w:pPr>
                    <w:widowControl/>
                    <w:wordWrap w:val="0"/>
                    <w:jc w:val="center"/>
                    <w:rPr>
                      <w:rFonts w:hint="default"/>
                      <w:b/>
                      <w:bCs/>
                      <w:color w:val="000000"/>
                      <w:kern w:val="0"/>
                      <w:szCs w:val="21"/>
                      <w:highlight w:val="none"/>
                    </w:rPr>
                  </w:pPr>
                  <w:r>
                    <w:rPr>
                      <w:rFonts w:hint="default"/>
                      <w:b/>
                      <w:bCs/>
                      <w:color w:val="000000"/>
                      <w:kern w:val="0"/>
                      <w:szCs w:val="21"/>
                      <w:highlight w:val="none"/>
                    </w:rPr>
                    <w:t>噪声源</w:t>
                  </w:r>
                </w:p>
              </w:tc>
              <w:tc>
                <w:tcPr>
                  <w:tcW w:w="430" w:type="pct"/>
                  <w:shd w:val="clear" w:color="auto" w:fill="auto"/>
                  <w:vAlign w:val="center"/>
                </w:tcPr>
                <w:p>
                  <w:pPr>
                    <w:widowControl/>
                    <w:wordWrap w:val="0"/>
                    <w:jc w:val="center"/>
                    <w:rPr>
                      <w:rFonts w:hint="default"/>
                      <w:b/>
                      <w:bCs/>
                      <w:color w:val="000000"/>
                      <w:kern w:val="0"/>
                      <w:szCs w:val="21"/>
                      <w:highlight w:val="none"/>
                    </w:rPr>
                  </w:pPr>
                  <w:r>
                    <w:rPr>
                      <w:rFonts w:hint="default"/>
                      <w:b/>
                      <w:bCs/>
                      <w:color w:val="000000"/>
                      <w:kern w:val="0"/>
                      <w:szCs w:val="21"/>
                      <w:highlight w:val="none"/>
                    </w:rPr>
                    <w:t>数量</w:t>
                  </w:r>
                  <w:r>
                    <w:rPr>
                      <w:rFonts w:hint="default"/>
                      <w:b/>
                      <w:bCs/>
                      <w:color w:val="000000"/>
                      <w:kern w:val="0"/>
                      <w:szCs w:val="21"/>
                      <w:highlight w:val="none"/>
                    </w:rPr>
                    <w:br w:type="textWrapping"/>
                  </w:r>
                  <w:r>
                    <w:rPr>
                      <w:rFonts w:hint="default"/>
                      <w:b/>
                      <w:bCs/>
                      <w:color w:val="000000"/>
                      <w:kern w:val="0"/>
                      <w:szCs w:val="21"/>
                      <w:highlight w:val="none"/>
                    </w:rPr>
                    <w:t>（台/条）</w:t>
                  </w:r>
                </w:p>
              </w:tc>
              <w:tc>
                <w:tcPr>
                  <w:tcW w:w="603" w:type="pct"/>
                  <w:shd w:val="clear" w:color="auto" w:fill="auto"/>
                  <w:vAlign w:val="center"/>
                </w:tcPr>
                <w:p>
                  <w:pPr>
                    <w:widowControl/>
                    <w:wordWrap w:val="0"/>
                    <w:jc w:val="center"/>
                    <w:rPr>
                      <w:rFonts w:hint="default"/>
                      <w:b/>
                      <w:bCs/>
                      <w:color w:val="000000"/>
                      <w:kern w:val="0"/>
                      <w:szCs w:val="21"/>
                      <w:highlight w:val="none"/>
                    </w:rPr>
                  </w:pPr>
                  <w:r>
                    <w:rPr>
                      <w:rFonts w:hint="default"/>
                      <w:b/>
                      <w:bCs/>
                      <w:color w:val="000000"/>
                      <w:kern w:val="0"/>
                      <w:szCs w:val="21"/>
                      <w:highlight w:val="none"/>
                    </w:rPr>
                    <w:t>声级值</w:t>
                  </w:r>
                  <w:r>
                    <w:rPr>
                      <w:rFonts w:hint="default"/>
                      <w:b/>
                      <w:bCs/>
                      <w:color w:val="000000"/>
                      <w:kern w:val="0"/>
                      <w:szCs w:val="21"/>
                      <w:highlight w:val="none"/>
                    </w:rPr>
                    <w:br w:type="textWrapping"/>
                  </w:r>
                  <w:r>
                    <w:rPr>
                      <w:rFonts w:hint="default"/>
                      <w:b/>
                      <w:bCs/>
                      <w:color w:val="000000"/>
                      <w:kern w:val="0"/>
                      <w:szCs w:val="21"/>
                      <w:highlight w:val="none"/>
                    </w:rPr>
                    <w:t>dB（A）</w:t>
                  </w:r>
                </w:p>
              </w:tc>
              <w:tc>
                <w:tcPr>
                  <w:tcW w:w="429" w:type="pct"/>
                  <w:shd w:val="clear" w:color="auto" w:fill="auto"/>
                  <w:vAlign w:val="center"/>
                </w:tcPr>
                <w:p>
                  <w:pPr>
                    <w:widowControl/>
                    <w:wordWrap w:val="0"/>
                    <w:jc w:val="center"/>
                    <w:rPr>
                      <w:rFonts w:hint="default"/>
                      <w:b/>
                      <w:bCs/>
                      <w:color w:val="000000"/>
                      <w:kern w:val="0"/>
                      <w:szCs w:val="21"/>
                      <w:highlight w:val="none"/>
                    </w:rPr>
                  </w:pPr>
                  <w:r>
                    <w:rPr>
                      <w:rFonts w:hint="default"/>
                      <w:b/>
                      <w:bCs/>
                      <w:color w:val="000000"/>
                      <w:kern w:val="0"/>
                      <w:szCs w:val="21"/>
                      <w:highlight w:val="none"/>
                    </w:rPr>
                    <w:t>所在车间</w:t>
                  </w:r>
                </w:p>
              </w:tc>
              <w:tc>
                <w:tcPr>
                  <w:tcW w:w="606" w:type="pct"/>
                  <w:shd w:val="clear" w:color="auto" w:fill="auto"/>
                  <w:vAlign w:val="center"/>
                </w:tcPr>
                <w:p>
                  <w:pPr>
                    <w:widowControl/>
                    <w:wordWrap w:val="0"/>
                    <w:jc w:val="center"/>
                    <w:rPr>
                      <w:rFonts w:hint="default"/>
                      <w:b/>
                      <w:bCs/>
                      <w:color w:val="000000"/>
                      <w:kern w:val="0"/>
                      <w:szCs w:val="21"/>
                      <w:highlight w:val="none"/>
                    </w:rPr>
                  </w:pPr>
                  <w:r>
                    <w:rPr>
                      <w:rFonts w:hint="default"/>
                      <w:b/>
                      <w:bCs/>
                      <w:color w:val="000000"/>
                      <w:kern w:val="0"/>
                      <w:szCs w:val="21"/>
                      <w:highlight w:val="none"/>
                    </w:rPr>
                    <w:t>降噪措施</w:t>
                  </w:r>
                </w:p>
              </w:tc>
              <w:tc>
                <w:tcPr>
                  <w:tcW w:w="602" w:type="pct"/>
                  <w:shd w:val="clear" w:color="auto" w:fill="auto"/>
                  <w:vAlign w:val="center"/>
                </w:tcPr>
                <w:p>
                  <w:pPr>
                    <w:widowControl/>
                    <w:wordWrap w:val="0"/>
                    <w:jc w:val="center"/>
                    <w:rPr>
                      <w:rFonts w:hint="default"/>
                      <w:b/>
                      <w:bCs/>
                      <w:color w:val="000000"/>
                      <w:kern w:val="0"/>
                      <w:szCs w:val="21"/>
                      <w:highlight w:val="none"/>
                    </w:rPr>
                  </w:pPr>
                  <w:r>
                    <w:rPr>
                      <w:rFonts w:hint="default"/>
                      <w:b/>
                      <w:bCs/>
                      <w:color w:val="000000"/>
                      <w:kern w:val="0"/>
                      <w:szCs w:val="21"/>
                      <w:highlight w:val="none"/>
                    </w:rPr>
                    <w:t>排放强度</w:t>
                  </w:r>
                  <w:r>
                    <w:rPr>
                      <w:rFonts w:hint="default"/>
                      <w:b/>
                      <w:bCs/>
                      <w:color w:val="000000"/>
                      <w:kern w:val="0"/>
                      <w:szCs w:val="21"/>
                      <w:highlight w:val="none"/>
                    </w:rPr>
                    <w:br w:type="textWrapping"/>
                  </w:r>
                  <w:r>
                    <w:rPr>
                      <w:rFonts w:hint="default"/>
                      <w:b/>
                      <w:bCs/>
                      <w:color w:val="000000"/>
                      <w:kern w:val="0"/>
                      <w:szCs w:val="21"/>
                      <w:highlight w:val="none"/>
                    </w:rPr>
                    <w:t>dB（A）</w:t>
                  </w:r>
                </w:p>
              </w:tc>
              <w:tc>
                <w:tcPr>
                  <w:tcW w:w="431" w:type="pct"/>
                  <w:shd w:val="clear" w:color="auto" w:fill="auto"/>
                  <w:vAlign w:val="center"/>
                </w:tcPr>
                <w:p>
                  <w:pPr>
                    <w:widowControl/>
                    <w:wordWrap w:val="0"/>
                    <w:jc w:val="center"/>
                    <w:rPr>
                      <w:rFonts w:hint="default"/>
                      <w:b/>
                      <w:bCs/>
                      <w:color w:val="000000"/>
                      <w:kern w:val="0"/>
                      <w:szCs w:val="21"/>
                      <w:highlight w:val="none"/>
                    </w:rPr>
                  </w:pPr>
                  <w:r>
                    <w:rPr>
                      <w:rFonts w:hint="default"/>
                      <w:b/>
                      <w:bCs/>
                      <w:color w:val="000000"/>
                      <w:kern w:val="0"/>
                      <w:szCs w:val="21"/>
                      <w:highlight w:val="none"/>
                    </w:rPr>
                    <w:t>持续时间</w:t>
                  </w:r>
                </w:p>
              </w:tc>
              <w:tc>
                <w:tcPr>
                  <w:tcW w:w="616" w:type="pct"/>
                  <w:shd w:val="clear" w:color="auto" w:fill="auto"/>
                  <w:vAlign w:val="center"/>
                </w:tcPr>
                <w:p>
                  <w:pPr>
                    <w:widowControl/>
                    <w:wordWrap w:val="0"/>
                    <w:jc w:val="center"/>
                    <w:rPr>
                      <w:rFonts w:hint="default"/>
                      <w:b/>
                      <w:bCs/>
                      <w:color w:val="000000"/>
                      <w:kern w:val="0"/>
                      <w:szCs w:val="21"/>
                      <w:highlight w:val="none"/>
                    </w:rPr>
                  </w:pPr>
                  <w:r>
                    <w:rPr>
                      <w:rFonts w:hint="default"/>
                      <w:b/>
                      <w:bCs/>
                      <w:color w:val="000000"/>
                      <w:kern w:val="0"/>
                      <w:szCs w:val="21"/>
                      <w:highlight w:val="none"/>
                    </w:rPr>
                    <w:t>距边界位置m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4" w:type="pct"/>
                  <w:shd w:val="clear" w:color="auto" w:fill="auto"/>
                  <w:vAlign w:val="center"/>
                </w:tcPr>
                <w:p>
                  <w:pPr>
                    <w:widowControl/>
                    <w:wordWrap w:val="0"/>
                    <w:jc w:val="center"/>
                    <w:rPr>
                      <w:rFonts w:hint="default"/>
                      <w:color w:val="000000"/>
                      <w:kern w:val="0"/>
                      <w:szCs w:val="21"/>
                      <w:highlight w:val="none"/>
                    </w:rPr>
                  </w:pPr>
                  <w:r>
                    <w:rPr>
                      <w:rFonts w:hint="default"/>
                      <w:color w:val="000000"/>
                      <w:kern w:val="0"/>
                      <w:szCs w:val="21"/>
                      <w:highlight w:val="none"/>
                    </w:rPr>
                    <w:t>1</w:t>
                  </w:r>
                </w:p>
              </w:tc>
              <w:tc>
                <w:tcPr>
                  <w:tcW w:w="1035" w:type="pct"/>
                  <w:shd w:val="clear" w:color="auto" w:fill="auto"/>
                  <w:vAlign w:val="center"/>
                </w:tcPr>
                <w:p>
                  <w:pPr>
                    <w:widowControl/>
                    <w:wordWrap w:val="0"/>
                    <w:jc w:val="center"/>
                    <w:rPr>
                      <w:rFonts w:hint="default"/>
                      <w:color w:val="000000"/>
                      <w:kern w:val="0"/>
                      <w:szCs w:val="21"/>
                      <w:highlight w:val="none"/>
                    </w:rPr>
                  </w:pPr>
                  <w:r>
                    <w:rPr>
                      <w:rFonts w:hint="default"/>
                      <w:color w:val="000000"/>
                      <w:kern w:val="0"/>
                      <w:szCs w:val="21"/>
                      <w:highlight w:val="none"/>
                    </w:rPr>
                    <w:t>塑料注塑机</w:t>
                  </w:r>
                </w:p>
              </w:tc>
              <w:tc>
                <w:tcPr>
                  <w:tcW w:w="430" w:type="pct"/>
                  <w:shd w:val="clear" w:color="auto" w:fill="auto"/>
                  <w:vAlign w:val="center"/>
                </w:tcPr>
                <w:p>
                  <w:pPr>
                    <w:widowControl/>
                    <w:wordWrap w:val="0"/>
                    <w:jc w:val="center"/>
                    <w:rPr>
                      <w:rFonts w:hint="default"/>
                      <w:color w:val="000000"/>
                      <w:kern w:val="0"/>
                      <w:szCs w:val="21"/>
                      <w:highlight w:val="none"/>
                      <w:lang w:val="en-US" w:eastAsia="zh-CN"/>
                    </w:rPr>
                  </w:pPr>
                  <w:r>
                    <w:rPr>
                      <w:rFonts w:hint="eastAsia"/>
                      <w:color w:val="000000"/>
                      <w:kern w:val="0"/>
                      <w:szCs w:val="21"/>
                      <w:highlight w:val="none"/>
                      <w:lang w:val="en-US" w:eastAsia="zh-CN"/>
                    </w:rPr>
                    <w:t>23</w:t>
                  </w:r>
                </w:p>
              </w:tc>
              <w:tc>
                <w:tcPr>
                  <w:tcW w:w="603" w:type="pct"/>
                  <w:shd w:val="clear" w:color="auto" w:fill="auto"/>
                  <w:vAlign w:val="center"/>
                </w:tcPr>
                <w:p>
                  <w:pPr>
                    <w:widowControl/>
                    <w:wordWrap w:val="0"/>
                    <w:jc w:val="center"/>
                    <w:rPr>
                      <w:rFonts w:hint="default"/>
                      <w:color w:val="000000"/>
                      <w:kern w:val="0"/>
                      <w:szCs w:val="21"/>
                      <w:highlight w:val="none"/>
                      <w:lang w:val="en-US" w:eastAsia="zh-CN"/>
                    </w:rPr>
                  </w:pPr>
                  <w:r>
                    <w:rPr>
                      <w:rFonts w:hint="eastAsia"/>
                      <w:color w:val="000000"/>
                      <w:kern w:val="0"/>
                      <w:szCs w:val="21"/>
                      <w:highlight w:val="none"/>
                      <w:lang w:val="en-US" w:eastAsia="zh-CN"/>
                    </w:rPr>
                    <w:t>75</w:t>
                  </w:r>
                </w:p>
              </w:tc>
              <w:tc>
                <w:tcPr>
                  <w:tcW w:w="429" w:type="pct"/>
                  <w:vMerge w:val="restart"/>
                  <w:shd w:val="clear" w:color="auto" w:fill="auto"/>
                  <w:vAlign w:val="center"/>
                </w:tcPr>
                <w:p>
                  <w:pPr>
                    <w:widowControl/>
                    <w:wordWrap w:val="0"/>
                    <w:jc w:val="center"/>
                    <w:rPr>
                      <w:rFonts w:hint="eastAsia"/>
                      <w:color w:val="000000"/>
                      <w:kern w:val="0"/>
                      <w:szCs w:val="21"/>
                      <w:highlight w:val="none"/>
                      <w:lang w:eastAsia="zh-CN"/>
                    </w:rPr>
                  </w:pPr>
                  <w:r>
                    <w:rPr>
                      <w:rFonts w:hint="eastAsia"/>
                      <w:color w:val="000000"/>
                      <w:kern w:val="0"/>
                      <w:szCs w:val="21"/>
                      <w:highlight w:val="none"/>
                      <w:lang w:eastAsia="zh-CN"/>
                    </w:rPr>
                    <w:t>一楼厂房</w:t>
                  </w:r>
                </w:p>
              </w:tc>
              <w:tc>
                <w:tcPr>
                  <w:tcW w:w="606" w:type="pct"/>
                  <w:vMerge w:val="restart"/>
                  <w:shd w:val="clear" w:color="auto" w:fill="auto"/>
                  <w:noWrap/>
                  <w:vAlign w:val="center"/>
                </w:tcPr>
                <w:p>
                  <w:pPr>
                    <w:widowControl/>
                    <w:wordWrap w:val="0"/>
                    <w:jc w:val="center"/>
                    <w:rPr>
                      <w:rFonts w:hint="default"/>
                      <w:color w:val="000000"/>
                      <w:kern w:val="0"/>
                      <w:szCs w:val="21"/>
                      <w:highlight w:val="none"/>
                    </w:rPr>
                  </w:pPr>
                  <w:r>
                    <w:rPr>
                      <w:rFonts w:hint="default"/>
                      <w:color w:val="000000"/>
                      <w:kern w:val="0"/>
                      <w:szCs w:val="21"/>
                      <w:highlight w:val="none"/>
                    </w:rPr>
                    <w:t>隔声减噪</w:t>
                  </w:r>
                </w:p>
                <w:p>
                  <w:pPr>
                    <w:widowControl/>
                    <w:wordWrap w:val="0"/>
                    <w:jc w:val="center"/>
                    <w:rPr>
                      <w:rFonts w:hint="default"/>
                      <w:color w:val="000000"/>
                      <w:kern w:val="0"/>
                      <w:szCs w:val="21"/>
                      <w:highlight w:val="none"/>
                    </w:rPr>
                  </w:pPr>
                </w:p>
              </w:tc>
              <w:tc>
                <w:tcPr>
                  <w:tcW w:w="602" w:type="pct"/>
                  <w:shd w:val="clear" w:color="auto" w:fill="auto"/>
                  <w:vAlign w:val="center"/>
                </w:tcPr>
                <w:p>
                  <w:pPr>
                    <w:widowControl/>
                    <w:wordWrap w:val="0"/>
                    <w:jc w:val="center"/>
                    <w:rPr>
                      <w:rFonts w:hint="default"/>
                      <w:color w:val="000000"/>
                      <w:kern w:val="0"/>
                      <w:szCs w:val="21"/>
                      <w:highlight w:val="none"/>
                    </w:rPr>
                  </w:pPr>
                  <w:r>
                    <w:rPr>
                      <w:rFonts w:hint="eastAsia"/>
                      <w:color w:val="000000"/>
                      <w:kern w:val="0"/>
                      <w:szCs w:val="21"/>
                      <w:highlight w:val="none"/>
                    </w:rPr>
                    <w:t>50</w:t>
                  </w:r>
                </w:p>
              </w:tc>
              <w:tc>
                <w:tcPr>
                  <w:tcW w:w="431" w:type="pct"/>
                  <w:shd w:val="clear" w:color="auto" w:fill="auto"/>
                  <w:vAlign w:val="center"/>
                </w:tcPr>
                <w:p>
                  <w:pPr>
                    <w:widowControl/>
                    <w:wordWrap w:val="0"/>
                    <w:jc w:val="center"/>
                    <w:rPr>
                      <w:rFonts w:hint="default"/>
                      <w:color w:val="000000"/>
                      <w:kern w:val="0"/>
                      <w:szCs w:val="21"/>
                      <w:highlight w:val="none"/>
                    </w:rPr>
                  </w:pPr>
                  <w:r>
                    <w:rPr>
                      <w:rFonts w:hint="eastAsia"/>
                      <w:color w:val="000000"/>
                      <w:kern w:val="0"/>
                      <w:szCs w:val="21"/>
                      <w:highlight w:val="none"/>
                    </w:rPr>
                    <w:t>0</w:t>
                  </w:r>
                  <w:r>
                    <w:rPr>
                      <w:rFonts w:hint="default"/>
                      <w:color w:val="000000"/>
                      <w:kern w:val="0"/>
                      <w:szCs w:val="21"/>
                      <w:highlight w:val="none"/>
                    </w:rPr>
                    <w:t>-24</w:t>
                  </w:r>
                  <w:r>
                    <w:rPr>
                      <w:rFonts w:hint="eastAsia"/>
                      <w:color w:val="000000"/>
                      <w:kern w:val="0"/>
                      <w:szCs w:val="21"/>
                      <w:highlight w:val="none"/>
                    </w:rPr>
                    <w:t>h</w:t>
                  </w:r>
                </w:p>
              </w:tc>
              <w:tc>
                <w:tcPr>
                  <w:tcW w:w="616" w:type="pct"/>
                  <w:shd w:val="clear" w:color="auto" w:fill="auto"/>
                  <w:vAlign w:val="center"/>
                </w:tcPr>
                <w:p>
                  <w:pPr>
                    <w:widowControl/>
                    <w:wordWrap w:val="0"/>
                    <w:jc w:val="center"/>
                    <w:rPr>
                      <w:rFonts w:hint="default"/>
                      <w:color w:val="000000"/>
                      <w:kern w:val="0"/>
                      <w:szCs w:val="21"/>
                      <w:highlight w:val="none"/>
                    </w:rPr>
                  </w:pPr>
                  <w:r>
                    <w:rPr>
                      <w:rFonts w:hint="default"/>
                      <w:color w:val="000000"/>
                      <w:kern w:val="0"/>
                      <w:szCs w:val="21"/>
                      <w:highlight w:val="none"/>
                    </w:rPr>
                    <w:t>5（N）</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4" w:type="pct"/>
                  <w:shd w:val="clear" w:color="auto" w:fill="auto"/>
                  <w:vAlign w:val="center"/>
                </w:tcPr>
                <w:p>
                  <w:pPr>
                    <w:widowControl/>
                    <w:wordWrap w:val="0"/>
                    <w:jc w:val="center"/>
                    <w:rPr>
                      <w:rFonts w:hint="default"/>
                      <w:color w:val="000000"/>
                      <w:kern w:val="0"/>
                      <w:szCs w:val="21"/>
                      <w:highlight w:val="none"/>
                    </w:rPr>
                  </w:pPr>
                  <w:r>
                    <w:rPr>
                      <w:rFonts w:hint="default"/>
                      <w:color w:val="000000"/>
                      <w:kern w:val="0"/>
                      <w:szCs w:val="21"/>
                      <w:highlight w:val="none"/>
                    </w:rPr>
                    <w:t>2</w:t>
                  </w:r>
                </w:p>
              </w:tc>
              <w:tc>
                <w:tcPr>
                  <w:tcW w:w="1035" w:type="pct"/>
                  <w:shd w:val="clear" w:color="auto" w:fill="auto"/>
                  <w:vAlign w:val="center"/>
                </w:tcPr>
                <w:p>
                  <w:pPr>
                    <w:widowControl/>
                    <w:wordWrap w:val="0"/>
                    <w:jc w:val="center"/>
                    <w:rPr>
                      <w:rFonts w:hint="default"/>
                      <w:color w:val="000000"/>
                      <w:kern w:val="0"/>
                      <w:szCs w:val="21"/>
                      <w:highlight w:val="none"/>
                    </w:rPr>
                  </w:pPr>
                  <w:r>
                    <w:rPr>
                      <w:rFonts w:hint="default"/>
                      <w:color w:val="000000"/>
                      <w:kern w:val="0"/>
                      <w:szCs w:val="21"/>
                      <w:highlight w:val="none"/>
                    </w:rPr>
                    <w:t>硅胶注塑机</w:t>
                  </w:r>
                </w:p>
              </w:tc>
              <w:tc>
                <w:tcPr>
                  <w:tcW w:w="430" w:type="pct"/>
                  <w:shd w:val="clear" w:color="auto" w:fill="auto"/>
                  <w:vAlign w:val="center"/>
                </w:tcPr>
                <w:p>
                  <w:pPr>
                    <w:widowControl/>
                    <w:wordWrap w:val="0"/>
                    <w:jc w:val="center"/>
                    <w:rPr>
                      <w:rFonts w:hint="eastAsia"/>
                      <w:color w:val="000000"/>
                      <w:kern w:val="0"/>
                      <w:szCs w:val="21"/>
                      <w:highlight w:val="none"/>
                      <w:lang w:eastAsia="zh-CN"/>
                    </w:rPr>
                  </w:pPr>
                  <w:r>
                    <w:rPr>
                      <w:rFonts w:hint="eastAsia"/>
                      <w:color w:val="000000"/>
                      <w:kern w:val="0"/>
                      <w:szCs w:val="21"/>
                      <w:highlight w:val="none"/>
                      <w:lang w:val="en-US" w:eastAsia="zh-CN"/>
                    </w:rPr>
                    <w:t>7</w:t>
                  </w:r>
                </w:p>
              </w:tc>
              <w:tc>
                <w:tcPr>
                  <w:tcW w:w="603" w:type="pct"/>
                  <w:shd w:val="clear" w:color="auto" w:fill="auto"/>
                  <w:vAlign w:val="center"/>
                </w:tcPr>
                <w:p>
                  <w:pPr>
                    <w:widowControl/>
                    <w:wordWrap w:val="0"/>
                    <w:jc w:val="center"/>
                    <w:rPr>
                      <w:rFonts w:hint="default"/>
                      <w:color w:val="000000"/>
                      <w:kern w:val="0"/>
                      <w:szCs w:val="21"/>
                      <w:highlight w:val="none"/>
                      <w:lang w:val="en-US" w:eastAsia="zh-CN"/>
                    </w:rPr>
                  </w:pPr>
                  <w:r>
                    <w:rPr>
                      <w:rFonts w:hint="eastAsia"/>
                      <w:color w:val="000000"/>
                      <w:kern w:val="0"/>
                      <w:szCs w:val="21"/>
                      <w:highlight w:val="none"/>
                      <w:lang w:val="en-US" w:eastAsia="zh-CN"/>
                    </w:rPr>
                    <w:t>75</w:t>
                  </w:r>
                </w:p>
              </w:tc>
              <w:tc>
                <w:tcPr>
                  <w:tcW w:w="429" w:type="pct"/>
                  <w:vMerge w:val="continue"/>
                  <w:shd w:val="clear" w:color="auto" w:fill="auto"/>
                  <w:vAlign w:val="center"/>
                </w:tcPr>
                <w:p>
                  <w:pPr>
                    <w:widowControl/>
                    <w:wordWrap w:val="0"/>
                    <w:jc w:val="center"/>
                    <w:rPr>
                      <w:rFonts w:hint="default"/>
                      <w:color w:val="000000"/>
                      <w:kern w:val="0"/>
                      <w:szCs w:val="21"/>
                      <w:highlight w:val="none"/>
                    </w:rPr>
                  </w:pPr>
                </w:p>
              </w:tc>
              <w:tc>
                <w:tcPr>
                  <w:tcW w:w="606" w:type="pct"/>
                  <w:vMerge w:val="continue"/>
                  <w:shd w:val="clear" w:color="auto" w:fill="auto"/>
                  <w:noWrap/>
                  <w:vAlign w:val="center"/>
                </w:tcPr>
                <w:p>
                  <w:pPr>
                    <w:widowControl/>
                    <w:wordWrap w:val="0"/>
                    <w:jc w:val="center"/>
                    <w:rPr>
                      <w:rFonts w:hint="default"/>
                      <w:color w:val="000000"/>
                      <w:kern w:val="0"/>
                      <w:szCs w:val="21"/>
                      <w:highlight w:val="none"/>
                    </w:rPr>
                  </w:pPr>
                </w:p>
              </w:tc>
              <w:tc>
                <w:tcPr>
                  <w:tcW w:w="602" w:type="pct"/>
                  <w:shd w:val="clear" w:color="auto" w:fill="auto"/>
                  <w:vAlign w:val="center"/>
                </w:tcPr>
                <w:p>
                  <w:pPr>
                    <w:widowControl/>
                    <w:wordWrap w:val="0"/>
                    <w:jc w:val="center"/>
                    <w:rPr>
                      <w:rFonts w:hint="default"/>
                      <w:color w:val="000000"/>
                      <w:kern w:val="0"/>
                      <w:szCs w:val="21"/>
                      <w:highlight w:val="none"/>
                    </w:rPr>
                  </w:pPr>
                  <w:r>
                    <w:rPr>
                      <w:rFonts w:hint="eastAsia"/>
                      <w:color w:val="000000"/>
                      <w:kern w:val="0"/>
                      <w:szCs w:val="21"/>
                      <w:highlight w:val="none"/>
                    </w:rPr>
                    <w:t>50</w:t>
                  </w:r>
                </w:p>
              </w:tc>
              <w:tc>
                <w:tcPr>
                  <w:tcW w:w="431" w:type="pct"/>
                  <w:shd w:val="clear" w:color="auto" w:fill="auto"/>
                  <w:vAlign w:val="center"/>
                </w:tcPr>
                <w:p>
                  <w:pPr>
                    <w:widowControl/>
                    <w:wordWrap w:val="0"/>
                    <w:jc w:val="center"/>
                    <w:rPr>
                      <w:rFonts w:hint="default"/>
                      <w:color w:val="000000"/>
                      <w:kern w:val="0"/>
                      <w:szCs w:val="21"/>
                      <w:highlight w:val="none"/>
                    </w:rPr>
                  </w:pPr>
                  <w:r>
                    <w:rPr>
                      <w:rFonts w:hint="eastAsia"/>
                      <w:color w:val="000000"/>
                      <w:kern w:val="0"/>
                      <w:szCs w:val="21"/>
                      <w:highlight w:val="none"/>
                    </w:rPr>
                    <w:t>0</w:t>
                  </w:r>
                  <w:r>
                    <w:rPr>
                      <w:rFonts w:hint="default"/>
                      <w:color w:val="000000"/>
                      <w:kern w:val="0"/>
                      <w:szCs w:val="21"/>
                      <w:highlight w:val="none"/>
                    </w:rPr>
                    <w:t>-24</w:t>
                  </w:r>
                  <w:r>
                    <w:rPr>
                      <w:rFonts w:hint="eastAsia"/>
                      <w:color w:val="000000"/>
                      <w:kern w:val="0"/>
                      <w:szCs w:val="21"/>
                      <w:highlight w:val="none"/>
                    </w:rPr>
                    <w:t>h</w:t>
                  </w:r>
                </w:p>
              </w:tc>
              <w:tc>
                <w:tcPr>
                  <w:tcW w:w="616" w:type="pct"/>
                  <w:shd w:val="clear" w:color="auto" w:fill="auto"/>
                  <w:vAlign w:val="center"/>
                </w:tcPr>
                <w:p>
                  <w:pPr>
                    <w:widowControl/>
                    <w:wordWrap w:val="0"/>
                    <w:jc w:val="center"/>
                    <w:rPr>
                      <w:rFonts w:hint="default"/>
                      <w:color w:val="000000"/>
                      <w:kern w:val="0"/>
                      <w:szCs w:val="21"/>
                      <w:highlight w:val="none"/>
                    </w:rPr>
                  </w:pPr>
                  <w:r>
                    <w:rPr>
                      <w:rFonts w:hint="default"/>
                      <w:color w:val="000000"/>
                      <w:kern w:val="0"/>
                      <w:szCs w:val="21"/>
                      <w:highlight w:val="none"/>
                    </w:rPr>
                    <w:t>5（N）</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4" w:type="pct"/>
                  <w:shd w:val="clear" w:color="auto" w:fill="auto"/>
                  <w:vAlign w:val="center"/>
                </w:tcPr>
                <w:p>
                  <w:pPr>
                    <w:widowControl/>
                    <w:wordWrap w:val="0"/>
                    <w:jc w:val="center"/>
                    <w:rPr>
                      <w:rFonts w:hint="eastAsia"/>
                      <w:color w:val="000000"/>
                      <w:kern w:val="0"/>
                      <w:szCs w:val="21"/>
                      <w:highlight w:val="none"/>
                      <w:lang w:val="en-US" w:eastAsia="zh-CN"/>
                    </w:rPr>
                  </w:pPr>
                  <w:r>
                    <w:rPr>
                      <w:rFonts w:hint="eastAsia"/>
                      <w:color w:val="000000"/>
                      <w:kern w:val="0"/>
                      <w:szCs w:val="21"/>
                      <w:highlight w:val="none"/>
                      <w:lang w:val="en-US" w:eastAsia="zh-CN"/>
                    </w:rPr>
                    <w:t>3</w:t>
                  </w:r>
                </w:p>
              </w:tc>
              <w:tc>
                <w:tcPr>
                  <w:tcW w:w="1035" w:type="pct"/>
                  <w:shd w:val="clear" w:color="auto" w:fill="auto"/>
                  <w:vAlign w:val="center"/>
                </w:tcPr>
                <w:p>
                  <w:pPr>
                    <w:widowControl/>
                    <w:wordWrap w:val="0"/>
                    <w:jc w:val="center"/>
                    <w:rPr>
                      <w:rFonts w:hint="eastAsia"/>
                      <w:color w:val="000000"/>
                      <w:kern w:val="0"/>
                      <w:szCs w:val="21"/>
                      <w:highlight w:val="none"/>
                      <w:lang w:val="en-US" w:eastAsia="zh-CN"/>
                    </w:rPr>
                  </w:pPr>
                  <w:r>
                    <w:rPr>
                      <w:rFonts w:hint="default"/>
                      <w:color w:val="000000"/>
                      <w:kern w:val="0"/>
                      <w:szCs w:val="21"/>
                      <w:highlight w:val="none"/>
                    </w:rPr>
                    <w:t>烤箱</w:t>
                  </w:r>
                </w:p>
              </w:tc>
              <w:tc>
                <w:tcPr>
                  <w:tcW w:w="430" w:type="pct"/>
                  <w:shd w:val="clear" w:color="auto" w:fill="auto"/>
                  <w:vAlign w:val="center"/>
                </w:tcPr>
                <w:p>
                  <w:pPr>
                    <w:widowControl/>
                    <w:wordWrap w:val="0"/>
                    <w:jc w:val="center"/>
                    <w:rPr>
                      <w:rFonts w:hint="eastAsia"/>
                      <w:color w:val="000000"/>
                      <w:kern w:val="0"/>
                      <w:szCs w:val="21"/>
                      <w:highlight w:val="none"/>
                      <w:lang w:val="en-US" w:eastAsia="zh-CN"/>
                    </w:rPr>
                  </w:pPr>
                  <w:r>
                    <w:rPr>
                      <w:rFonts w:hint="eastAsia"/>
                      <w:color w:val="000000"/>
                      <w:kern w:val="0"/>
                      <w:szCs w:val="21"/>
                      <w:highlight w:val="none"/>
                      <w:lang w:val="en-US" w:eastAsia="zh-CN"/>
                    </w:rPr>
                    <w:t>2</w:t>
                  </w:r>
                </w:p>
              </w:tc>
              <w:tc>
                <w:tcPr>
                  <w:tcW w:w="603" w:type="pct"/>
                  <w:shd w:val="clear" w:color="auto" w:fill="auto"/>
                  <w:vAlign w:val="center"/>
                </w:tcPr>
                <w:p>
                  <w:pPr>
                    <w:widowControl/>
                    <w:wordWrap w:val="0"/>
                    <w:jc w:val="center"/>
                    <w:rPr>
                      <w:rFonts w:hint="default"/>
                      <w:color w:val="000000"/>
                      <w:kern w:val="0"/>
                      <w:szCs w:val="21"/>
                      <w:highlight w:val="none"/>
                      <w:lang w:val="en-US" w:eastAsia="zh-CN"/>
                    </w:rPr>
                  </w:pPr>
                  <w:r>
                    <w:rPr>
                      <w:rFonts w:hint="eastAsia"/>
                      <w:color w:val="000000"/>
                      <w:kern w:val="0"/>
                      <w:szCs w:val="21"/>
                      <w:highlight w:val="none"/>
                      <w:lang w:val="en-US" w:eastAsia="zh-CN"/>
                    </w:rPr>
                    <w:t>70</w:t>
                  </w:r>
                </w:p>
              </w:tc>
              <w:tc>
                <w:tcPr>
                  <w:tcW w:w="429" w:type="pct"/>
                  <w:vMerge w:val="continue"/>
                  <w:shd w:val="clear" w:color="auto" w:fill="auto"/>
                  <w:vAlign w:val="center"/>
                </w:tcPr>
                <w:p>
                  <w:pPr>
                    <w:widowControl/>
                    <w:wordWrap w:val="0"/>
                    <w:jc w:val="center"/>
                    <w:rPr>
                      <w:rFonts w:hint="default"/>
                      <w:color w:val="000000"/>
                      <w:kern w:val="0"/>
                      <w:szCs w:val="21"/>
                      <w:highlight w:val="none"/>
                    </w:rPr>
                  </w:pPr>
                </w:p>
              </w:tc>
              <w:tc>
                <w:tcPr>
                  <w:tcW w:w="606" w:type="pct"/>
                  <w:vMerge w:val="continue"/>
                  <w:shd w:val="clear" w:color="auto" w:fill="auto"/>
                  <w:noWrap/>
                  <w:vAlign w:val="center"/>
                </w:tcPr>
                <w:p>
                  <w:pPr>
                    <w:widowControl/>
                    <w:wordWrap w:val="0"/>
                    <w:jc w:val="center"/>
                    <w:rPr>
                      <w:rFonts w:hint="default"/>
                      <w:color w:val="000000"/>
                      <w:kern w:val="0"/>
                      <w:szCs w:val="21"/>
                      <w:highlight w:val="none"/>
                    </w:rPr>
                  </w:pPr>
                </w:p>
              </w:tc>
              <w:tc>
                <w:tcPr>
                  <w:tcW w:w="602" w:type="pct"/>
                  <w:shd w:val="clear" w:color="auto" w:fill="auto"/>
                  <w:vAlign w:val="center"/>
                </w:tcPr>
                <w:p>
                  <w:pPr>
                    <w:widowControl/>
                    <w:wordWrap w:val="0"/>
                    <w:jc w:val="center"/>
                    <w:rPr>
                      <w:rFonts w:hint="default"/>
                      <w:color w:val="000000"/>
                      <w:kern w:val="0"/>
                      <w:szCs w:val="21"/>
                      <w:highlight w:val="none"/>
                      <w:lang w:val="en-US" w:eastAsia="zh-CN"/>
                    </w:rPr>
                  </w:pPr>
                  <w:r>
                    <w:rPr>
                      <w:rFonts w:hint="eastAsia"/>
                      <w:color w:val="000000"/>
                      <w:kern w:val="0"/>
                      <w:szCs w:val="21"/>
                      <w:highlight w:val="none"/>
                      <w:lang w:val="en-US" w:eastAsia="zh-CN"/>
                    </w:rPr>
                    <w:t>45</w:t>
                  </w:r>
                </w:p>
              </w:tc>
              <w:tc>
                <w:tcPr>
                  <w:tcW w:w="431" w:type="pct"/>
                  <w:shd w:val="clear" w:color="auto" w:fill="auto"/>
                  <w:vAlign w:val="center"/>
                </w:tcPr>
                <w:p>
                  <w:pPr>
                    <w:widowControl/>
                    <w:wordWrap w:val="0"/>
                    <w:jc w:val="center"/>
                    <w:rPr>
                      <w:rFonts w:hint="eastAsia"/>
                      <w:color w:val="000000"/>
                      <w:kern w:val="0"/>
                      <w:szCs w:val="21"/>
                      <w:highlight w:val="none"/>
                    </w:rPr>
                  </w:pPr>
                  <w:r>
                    <w:rPr>
                      <w:rFonts w:hint="eastAsia"/>
                      <w:color w:val="000000"/>
                      <w:kern w:val="0"/>
                      <w:szCs w:val="21"/>
                      <w:highlight w:val="none"/>
                    </w:rPr>
                    <w:t>0</w:t>
                  </w:r>
                  <w:r>
                    <w:rPr>
                      <w:rFonts w:hint="default"/>
                      <w:color w:val="000000"/>
                      <w:kern w:val="0"/>
                      <w:szCs w:val="21"/>
                      <w:highlight w:val="none"/>
                    </w:rPr>
                    <w:t>-24</w:t>
                  </w:r>
                  <w:r>
                    <w:rPr>
                      <w:rFonts w:hint="eastAsia"/>
                      <w:color w:val="000000"/>
                      <w:kern w:val="0"/>
                      <w:szCs w:val="21"/>
                      <w:highlight w:val="none"/>
                    </w:rPr>
                    <w:t>h</w:t>
                  </w:r>
                </w:p>
              </w:tc>
              <w:tc>
                <w:tcPr>
                  <w:tcW w:w="616" w:type="pct"/>
                  <w:shd w:val="clear" w:color="auto" w:fill="auto"/>
                  <w:vAlign w:val="center"/>
                </w:tcPr>
                <w:p>
                  <w:pPr>
                    <w:widowControl/>
                    <w:wordWrap w:val="0"/>
                    <w:jc w:val="center"/>
                    <w:rPr>
                      <w:rFonts w:hint="default"/>
                      <w:color w:val="000000"/>
                      <w:kern w:val="0"/>
                      <w:szCs w:val="21"/>
                      <w:highlight w:val="none"/>
                    </w:rPr>
                  </w:pPr>
                  <w:r>
                    <w:rPr>
                      <w:rFonts w:hint="eastAsia"/>
                      <w:color w:val="000000"/>
                      <w:kern w:val="0"/>
                      <w:szCs w:val="21"/>
                      <w:highlight w:val="none"/>
                      <w:lang w:val="en-US" w:eastAsia="zh-CN"/>
                    </w:rPr>
                    <w:t>10</w:t>
                  </w:r>
                  <w:r>
                    <w:rPr>
                      <w:rFonts w:hint="default"/>
                      <w:color w:val="000000"/>
                      <w:kern w:val="0"/>
                      <w:szCs w:val="21"/>
                      <w:highlight w:val="none"/>
                    </w:rPr>
                    <w:t>（N）</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4" w:type="pct"/>
                  <w:shd w:val="clear" w:color="auto" w:fill="auto"/>
                  <w:vAlign w:val="center"/>
                </w:tcPr>
                <w:p>
                  <w:pPr>
                    <w:widowControl/>
                    <w:wordWrap w:val="0"/>
                    <w:jc w:val="center"/>
                    <w:rPr>
                      <w:rFonts w:hint="eastAsia"/>
                      <w:color w:val="000000"/>
                      <w:kern w:val="0"/>
                      <w:szCs w:val="21"/>
                      <w:highlight w:val="none"/>
                      <w:lang w:val="en-US" w:eastAsia="zh-CN"/>
                    </w:rPr>
                  </w:pPr>
                  <w:r>
                    <w:rPr>
                      <w:rFonts w:hint="eastAsia"/>
                      <w:color w:val="000000"/>
                      <w:kern w:val="0"/>
                      <w:szCs w:val="21"/>
                      <w:highlight w:val="none"/>
                      <w:lang w:val="en-US" w:eastAsia="zh-CN"/>
                    </w:rPr>
                    <w:t>4</w:t>
                  </w:r>
                </w:p>
              </w:tc>
              <w:tc>
                <w:tcPr>
                  <w:tcW w:w="1035" w:type="pct"/>
                  <w:shd w:val="clear" w:color="auto" w:fill="auto"/>
                  <w:vAlign w:val="center"/>
                </w:tcPr>
                <w:p>
                  <w:pPr>
                    <w:widowControl/>
                    <w:wordWrap w:val="0"/>
                    <w:jc w:val="center"/>
                    <w:rPr>
                      <w:rFonts w:hint="eastAsia"/>
                      <w:color w:val="000000"/>
                      <w:kern w:val="0"/>
                      <w:szCs w:val="21"/>
                      <w:highlight w:val="none"/>
                      <w:lang w:val="en-US" w:eastAsia="zh-CN"/>
                    </w:rPr>
                  </w:pPr>
                  <w:r>
                    <w:rPr>
                      <w:rFonts w:hint="default"/>
                      <w:color w:val="000000"/>
                      <w:kern w:val="0"/>
                      <w:szCs w:val="21"/>
                      <w:highlight w:val="none"/>
                    </w:rPr>
                    <w:t>冷却塔</w:t>
                  </w:r>
                </w:p>
              </w:tc>
              <w:tc>
                <w:tcPr>
                  <w:tcW w:w="430" w:type="pct"/>
                  <w:shd w:val="clear" w:color="auto" w:fill="auto"/>
                  <w:vAlign w:val="center"/>
                </w:tcPr>
                <w:p>
                  <w:pPr>
                    <w:widowControl/>
                    <w:wordWrap w:val="0"/>
                    <w:jc w:val="center"/>
                    <w:rPr>
                      <w:rFonts w:hint="eastAsia"/>
                      <w:color w:val="000000"/>
                      <w:kern w:val="0"/>
                      <w:szCs w:val="21"/>
                      <w:highlight w:val="none"/>
                      <w:lang w:val="en-US" w:eastAsia="zh-CN"/>
                    </w:rPr>
                  </w:pPr>
                  <w:r>
                    <w:rPr>
                      <w:rFonts w:hint="eastAsia"/>
                      <w:color w:val="000000"/>
                      <w:kern w:val="0"/>
                      <w:szCs w:val="21"/>
                      <w:highlight w:val="none"/>
                      <w:lang w:val="en-US" w:eastAsia="zh-CN"/>
                    </w:rPr>
                    <w:t>1</w:t>
                  </w:r>
                </w:p>
              </w:tc>
              <w:tc>
                <w:tcPr>
                  <w:tcW w:w="603" w:type="pct"/>
                  <w:shd w:val="clear" w:color="auto" w:fill="auto"/>
                  <w:vAlign w:val="center"/>
                </w:tcPr>
                <w:p>
                  <w:pPr>
                    <w:widowControl/>
                    <w:wordWrap w:val="0"/>
                    <w:jc w:val="center"/>
                    <w:rPr>
                      <w:rFonts w:hint="default"/>
                      <w:color w:val="000000"/>
                      <w:kern w:val="0"/>
                      <w:szCs w:val="21"/>
                      <w:highlight w:val="none"/>
                      <w:lang w:val="en-US" w:eastAsia="zh-CN"/>
                    </w:rPr>
                  </w:pPr>
                  <w:r>
                    <w:rPr>
                      <w:rFonts w:hint="eastAsia"/>
                      <w:color w:val="000000"/>
                      <w:kern w:val="0"/>
                      <w:szCs w:val="21"/>
                      <w:highlight w:val="none"/>
                      <w:lang w:val="en-US" w:eastAsia="zh-CN"/>
                    </w:rPr>
                    <w:t>80</w:t>
                  </w:r>
                </w:p>
              </w:tc>
              <w:tc>
                <w:tcPr>
                  <w:tcW w:w="429" w:type="pct"/>
                  <w:vMerge w:val="continue"/>
                  <w:shd w:val="clear" w:color="auto" w:fill="auto"/>
                  <w:vAlign w:val="center"/>
                </w:tcPr>
                <w:p>
                  <w:pPr>
                    <w:widowControl/>
                    <w:wordWrap w:val="0"/>
                    <w:jc w:val="center"/>
                    <w:rPr>
                      <w:rFonts w:hint="default"/>
                      <w:color w:val="000000"/>
                      <w:kern w:val="0"/>
                      <w:szCs w:val="21"/>
                      <w:highlight w:val="none"/>
                    </w:rPr>
                  </w:pPr>
                </w:p>
              </w:tc>
              <w:tc>
                <w:tcPr>
                  <w:tcW w:w="606" w:type="pct"/>
                  <w:vMerge w:val="continue"/>
                  <w:shd w:val="clear" w:color="auto" w:fill="auto"/>
                  <w:noWrap/>
                  <w:vAlign w:val="center"/>
                </w:tcPr>
                <w:p>
                  <w:pPr>
                    <w:widowControl/>
                    <w:wordWrap w:val="0"/>
                    <w:jc w:val="center"/>
                    <w:rPr>
                      <w:rFonts w:hint="default"/>
                      <w:color w:val="000000"/>
                      <w:kern w:val="0"/>
                      <w:szCs w:val="21"/>
                      <w:highlight w:val="none"/>
                    </w:rPr>
                  </w:pPr>
                </w:p>
              </w:tc>
              <w:tc>
                <w:tcPr>
                  <w:tcW w:w="602" w:type="pct"/>
                  <w:shd w:val="clear" w:color="auto" w:fill="auto"/>
                  <w:vAlign w:val="center"/>
                </w:tcPr>
                <w:p>
                  <w:pPr>
                    <w:widowControl/>
                    <w:wordWrap w:val="0"/>
                    <w:jc w:val="center"/>
                    <w:rPr>
                      <w:rFonts w:hint="default"/>
                      <w:color w:val="000000"/>
                      <w:kern w:val="0"/>
                      <w:szCs w:val="21"/>
                      <w:highlight w:val="none"/>
                      <w:lang w:val="en-US" w:eastAsia="zh-CN"/>
                    </w:rPr>
                  </w:pPr>
                  <w:r>
                    <w:rPr>
                      <w:rFonts w:hint="eastAsia"/>
                      <w:color w:val="000000"/>
                      <w:kern w:val="0"/>
                      <w:szCs w:val="21"/>
                      <w:highlight w:val="none"/>
                      <w:lang w:val="en-US" w:eastAsia="zh-CN"/>
                    </w:rPr>
                    <w:t>55</w:t>
                  </w:r>
                </w:p>
              </w:tc>
              <w:tc>
                <w:tcPr>
                  <w:tcW w:w="431" w:type="pct"/>
                  <w:shd w:val="clear" w:color="auto" w:fill="auto"/>
                  <w:vAlign w:val="center"/>
                </w:tcPr>
                <w:p>
                  <w:pPr>
                    <w:widowControl/>
                    <w:wordWrap w:val="0"/>
                    <w:jc w:val="center"/>
                    <w:rPr>
                      <w:rFonts w:hint="eastAsia"/>
                      <w:color w:val="000000"/>
                      <w:kern w:val="0"/>
                      <w:szCs w:val="21"/>
                      <w:highlight w:val="none"/>
                    </w:rPr>
                  </w:pPr>
                  <w:r>
                    <w:rPr>
                      <w:rFonts w:hint="eastAsia"/>
                      <w:color w:val="000000"/>
                      <w:kern w:val="0"/>
                      <w:szCs w:val="21"/>
                      <w:highlight w:val="none"/>
                    </w:rPr>
                    <w:t>0</w:t>
                  </w:r>
                  <w:r>
                    <w:rPr>
                      <w:rFonts w:hint="default"/>
                      <w:color w:val="000000"/>
                      <w:kern w:val="0"/>
                      <w:szCs w:val="21"/>
                      <w:highlight w:val="none"/>
                    </w:rPr>
                    <w:t>-24</w:t>
                  </w:r>
                  <w:r>
                    <w:rPr>
                      <w:rFonts w:hint="eastAsia"/>
                      <w:color w:val="000000"/>
                      <w:kern w:val="0"/>
                      <w:szCs w:val="21"/>
                      <w:highlight w:val="none"/>
                    </w:rPr>
                    <w:t>h</w:t>
                  </w:r>
                </w:p>
              </w:tc>
              <w:tc>
                <w:tcPr>
                  <w:tcW w:w="616" w:type="pct"/>
                  <w:shd w:val="clear" w:color="auto" w:fill="auto"/>
                  <w:vAlign w:val="center"/>
                </w:tcPr>
                <w:p>
                  <w:pPr>
                    <w:widowControl/>
                    <w:wordWrap w:val="0"/>
                    <w:jc w:val="center"/>
                    <w:rPr>
                      <w:rFonts w:hint="eastAsia"/>
                      <w:color w:val="000000"/>
                      <w:kern w:val="0"/>
                      <w:szCs w:val="21"/>
                      <w:highlight w:val="none"/>
                      <w:lang w:val="en-US" w:eastAsia="zh-CN"/>
                    </w:rPr>
                  </w:pPr>
                  <w:r>
                    <w:rPr>
                      <w:rFonts w:hint="eastAsia"/>
                      <w:color w:val="000000"/>
                      <w:kern w:val="0"/>
                      <w:szCs w:val="21"/>
                      <w:highlight w:val="none"/>
                      <w:lang w:val="en-US" w:eastAsia="zh-CN"/>
                    </w:rPr>
                    <w:t>5</w:t>
                  </w:r>
                  <w:r>
                    <w:rPr>
                      <w:rFonts w:hint="default"/>
                      <w:color w:val="000000"/>
                      <w:kern w:val="0"/>
                      <w:szCs w:val="21"/>
                      <w:highlight w:val="none"/>
                    </w:rPr>
                    <w:t>（</w:t>
                  </w:r>
                  <w:r>
                    <w:rPr>
                      <w:rFonts w:hint="eastAsia"/>
                      <w:color w:val="000000"/>
                      <w:kern w:val="0"/>
                      <w:szCs w:val="21"/>
                      <w:highlight w:val="none"/>
                      <w:lang w:val="en-US" w:eastAsia="zh-CN"/>
                    </w:rPr>
                    <w:t>S</w:t>
                  </w:r>
                  <w:r>
                    <w:rPr>
                      <w:rFonts w:hint="default"/>
                      <w:color w:val="000000"/>
                      <w:kern w:val="0"/>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4" w:type="pct"/>
                  <w:shd w:val="clear" w:color="auto" w:fill="auto"/>
                  <w:vAlign w:val="center"/>
                </w:tcPr>
                <w:p>
                  <w:pPr>
                    <w:widowControl/>
                    <w:wordWrap w:val="0"/>
                    <w:jc w:val="center"/>
                    <w:rPr>
                      <w:rFonts w:hint="eastAsia"/>
                      <w:color w:val="000000"/>
                      <w:kern w:val="0"/>
                      <w:szCs w:val="21"/>
                      <w:highlight w:val="none"/>
                      <w:lang w:val="en-US" w:eastAsia="zh-CN"/>
                    </w:rPr>
                  </w:pPr>
                  <w:r>
                    <w:rPr>
                      <w:rFonts w:hint="eastAsia"/>
                      <w:color w:val="000000"/>
                      <w:kern w:val="0"/>
                      <w:szCs w:val="21"/>
                      <w:highlight w:val="none"/>
                      <w:lang w:val="en-US" w:eastAsia="zh-CN"/>
                    </w:rPr>
                    <w:t>5</w:t>
                  </w:r>
                </w:p>
              </w:tc>
              <w:tc>
                <w:tcPr>
                  <w:tcW w:w="1035" w:type="pct"/>
                  <w:shd w:val="clear" w:color="auto" w:fill="auto"/>
                  <w:vAlign w:val="center"/>
                </w:tcPr>
                <w:p>
                  <w:pPr>
                    <w:widowControl/>
                    <w:wordWrap w:val="0"/>
                    <w:jc w:val="center"/>
                    <w:rPr>
                      <w:rFonts w:hint="eastAsia"/>
                      <w:color w:val="000000"/>
                      <w:kern w:val="0"/>
                      <w:szCs w:val="21"/>
                      <w:highlight w:val="none"/>
                      <w:lang w:val="en-US" w:eastAsia="zh-CN"/>
                    </w:rPr>
                  </w:pPr>
                  <w:r>
                    <w:rPr>
                      <w:rFonts w:hint="default"/>
                      <w:color w:val="000000"/>
                      <w:kern w:val="0"/>
                      <w:szCs w:val="21"/>
                      <w:highlight w:val="none"/>
                    </w:rPr>
                    <w:t>空压机</w:t>
                  </w:r>
                </w:p>
              </w:tc>
              <w:tc>
                <w:tcPr>
                  <w:tcW w:w="430" w:type="pct"/>
                  <w:shd w:val="clear" w:color="auto" w:fill="auto"/>
                  <w:vAlign w:val="center"/>
                </w:tcPr>
                <w:p>
                  <w:pPr>
                    <w:widowControl/>
                    <w:wordWrap w:val="0"/>
                    <w:jc w:val="center"/>
                    <w:rPr>
                      <w:rFonts w:hint="eastAsia"/>
                      <w:color w:val="000000"/>
                      <w:kern w:val="0"/>
                      <w:szCs w:val="21"/>
                      <w:highlight w:val="none"/>
                      <w:lang w:val="en-US" w:eastAsia="zh-CN"/>
                    </w:rPr>
                  </w:pPr>
                  <w:r>
                    <w:rPr>
                      <w:rFonts w:hint="eastAsia"/>
                      <w:color w:val="000000"/>
                      <w:kern w:val="0"/>
                      <w:szCs w:val="21"/>
                      <w:highlight w:val="none"/>
                      <w:lang w:val="en-US" w:eastAsia="zh-CN"/>
                    </w:rPr>
                    <w:t>1</w:t>
                  </w:r>
                </w:p>
              </w:tc>
              <w:tc>
                <w:tcPr>
                  <w:tcW w:w="603" w:type="pct"/>
                  <w:shd w:val="clear" w:color="auto" w:fill="auto"/>
                  <w:vAlign w:val="center"/>
                </w:tcPr>
                <w:p>
                  <w:pPr>
                    <w:widowControl/>
                    <w:wordWrap w:val="0"/>
                    <w:jc w:val="center"/>
                    <w:rPr>
                      <w:rFonts w:hint="default"/>
                      <w:color w:val="000000"/>
                      <w:kern w:val="0"/>
                      <w:szCs w:val="21"/>
                      <w:highlight w:val="none"/>
                      <w:lang w:val="en-US" w:eastAsia="zh-CN"/>
                    </w:rPr>
                  </w:pPr>
                  <w:r>
                    <w:rPr>
                      <w:rFonts w:hint="eastAsia"/>
                      <w:color w:val="000000"/>
                      <w:kern w:val="0"/>
                      <w:szCs w:val="21"/>
                      <w:highlight w:val="none"/>
                      <w:lang w:val="en-US" w:eastAsia="zh-CN"/>
                    </w:rPr>
                    <w:t>80</w:t>
                  </w:r>
                </w:p>
              </w:tc>
              <w:tc>
                <w:tcPr>
                  <w:tcW w:w="429" w:type="pct"/>
                  <w:vMerge w:val="continue"/>
                  <w:shd w:val="clear" w:color="auto" w:fill="auto"/>
                  <w:vAlign w:val="center"/>
                </w:tcPr>
                <w:p>
                  <w:pPr>
                    <w:widowControl/>
                    <w:wordWrap w:val="0"/>
                    <w:jc w:val="center"/>
                    <w:rPr>
                      <w:rFonts w:hint="default"/>
                      <w:color w:val="000000"/>
                      <w:kern w:val="0"/>
                      <w:szCs w:val="21"/>
                      <w:highlight w:val="none"/>
                    </w:rPr>
                  </w:pPr>
                </w:p>
              </w:tc>
              <w:tc>
                <w:tcPr>
                  <w:tcW w:w="606" w:type="pct"/>
                  <w:vMerge w:val="continue"/>
                  <w:shd w:val="clear" w:color="auto" w:fill="auto"/>
                  <w:noWrap/>
                  <w:vAlign w:val="center"/>
                </w:tcPr>
                <w:p>
                  <w:pPr>
                    <w:widowControl/>
                    <w:wordWrap w:val="0"/>
                    <w:jc w:val="center"/>
                    <w:rPr>
                      <w:rFonts w:hint="default"/>
                      <w:color w:val="000000"/>
                      <w:kern w:val="0"/>
                      <w:szCs w:val="21"/>
                      <w:highlight w:val="none"/>
                    </w:rPr>
                  </w:pPr>
                </w:p>
              </w:tc>
              <w:tc>
                <w:tcPr>
                  <w:tcW w:w="602" w:type="pct"/>
                  <w:shd w:val="clear" w:color="auto" w:fill="auto"/>
                  <w:vAlign w:val="center"/>
                </w:tcPr>
                <w:p>
                  <w:pPr>
                    <w:widowControl/>
                    <w:wordWrap w:val="0"/>
                    <w:jc w:val="center"/>
                    <w:rPr>
                      <w:rFonts w:hint="eastAsia"/>
                      <w:color w:val="000000"/>
                      <w:kern w:val="0"/>
                      <w:szCs w:val="21"/>
                      <w:highlight w:val="none"/>
                    </w:rPr>
                  </w:pPr>
                  <w:r>
                    <w:rPr>
                      <w:rFonts w:hint="eastAsia"/>
                      <w:color w:val="000000"/>
                      <w:kern w:val="0"/>
                      <w:szCs w:val="21"/>
                      <w:highlight w:val="none"/>
                      <w:lang w:val="en-US" w:eastAsia="zh-CN"/>
                    </w:rPr>
                    <w:t>55</w:t>
                  </w:r>
                </w:p>
              </w:tc>
              <w:tc>
                <w:tcPr>
                  <w:tcW w:w="431" w:type="pct"/>
                  <w:shd w:val="clear" w:color="auto" w:fill="auto"/>
                  <w:vAlign w:val="center"/>
                </w:tcPr>
                <w:p>
                  <w:pPr>
                    <w:widowControl/>
                    <w:wordWrap w:val="0"/>
                    <w:jc w:val="center"/>
                    <w:rPr>
                      <w:rFonts w:hint="eastAsia"/>
                      <w:color w:val="000000"/>
                      <w:kern w:val="0"/>
                      <w:szCs w:val="21"/>
                      <w:highlight w:val="none"/>
                    </w:rPr>
                  </w:pPr>
                  <w:r>
                    <w:rPr>
                      <w:rFonts w:hint="eastAsia"/>
                      <w:color w:val="000000"/>
                      <w:kern w:val="0"/>
                      <w:szCs w:val="21"/>
                      <w:highlight w:val="none"/>
                    </w:rPr>
                    <w:t>0</w:t>
                  </w:r>
                  <w:r>
                    <w:rPr>
                      <w:rFonts w:hint="default"/>
                      <w:color w:val="000000"/>
                      <w:kern w:val="0"/>
                      <w:szCs w:val="21"/>
                      <w:highlight w:val="none"/>
                    </w:rPr>
                    <w:t>-24</w:t>
                  </w:r>
                  <w:r>
                    <w:rPr>
                      <w:rFonts w:hint="eastAsia"/>
                      <w:color w:val="000000"/>
                      <w:kern w:val="0"/>
                      <w:szCs w:val="21"/>
                      <w:highlight w:val="none"/>
                    </w:rPr>
                    <w:t>h</w:t>
                  </w:r>
                </w:p>
              </w:tc>
              <w:tc>
                <w:tcPr>
                  <w:tcW w:w="616" w:type="pct"/>
                  <w:shd w:val="clear" w:color="auto" w:fill="auto"/>
                  <w:vAlign w:val="center"/>
                </w:tcPr>
                <w:p>
                  <w:pPr>
                    <w:widowControl/>
                    <w:wordWrap w:val="0"/>
                    <w:jc w:val="center"/>
                    <w:rPr>
                      <w:rFonts w:hint="default"/>
                      <w:color w:val="000000"/>
                      <w:kern w:val="0"/>
                      <w:szCs w:val="21"/>
                      <w:highlight w:val="none"/>
                    </w:rPr>
                  </w:pPr>
                  <w:r>
                    <w:rPr>
                      <w:rFonts w:hint="eastAsia"/>
                      <w:color w:val="000000"/>
                      <w:kern w:val="0"/>
                      <w:szCs w:val="21"/>
                      <w:highlight w:val="none"/>
                      <w:lang w:val="en-US" w:eastAsia="zh-CN"/>
                    </w:rPr>
                    <w:t>5</w:t>
                  </w:r>
                  <w:r>
                    <w:rPr>
                      <w:rFonts w:hint="default"/>
                      <w:color w:val="000000"/>
                      <w:kern w:val="0"/>
                      <w:szCs w:val="21"/>
                      <w:highlight w:val="none"/>
                    </w:rPr>
                    <w:t>（</w:t>
                  </w:r>
                  <w:r>
                    <w:rPr>
                      <w:rFonts w:hint="eastAsia"/>
                      <w:color w:val="000000"/>
                      <w:kern w:val="0"/>
                      <w:szCs w:val="21"/>
                      <w:highlight w:val="none"/>
                      <w:lang w:val="en-US" w:eastAsia="zh-CN"/>
                    </w:rPr>
                    <w:t>S</w:t>
                  </w:r>
                  <w:r>
                    <w:rPr>
                      <w:rFonts w:hint="default"/>
                      <w:color w:val="000000"/>
                      <w:kern w:val="0"/>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4" w:type="pct"/>
                  <w:shd w:val="clear" w:color="auto" w:fill="auto"/>
                  <w:vAlign w:val="center"/>
                </w:tcPr>
                <w:p>
                  <w:pPr>
                    <w:widowControl/>
                    <w:wordWrap w:val="0"/>
                    <w:jc w:val="center"/>
                    <w:rPr>
                      <w:rFonts w:hint="eastAsia"/>
                      <w:color w:val="000000"/>
                      <w:kern w:val="0"/>
                      <w:szCs w:val="21"/>
                      <w:highlight w:val="none"/>
                      <w:lang w:val="en-US" w:eastAsia="zh-CN"/>
                    </w:rPr>
                  </w:pPr>
                  <w:r>
                    <w:rPr>
                      <w:rFonts w:hint="eastAsia"/>
                      <w:color w:val="000000"/>
                      <w:kern w:val="0"/>
                      <w:szCs w:val="21"/>
                      <w:highlight w:val="none"/>
                      <w:lang w:val="en-US" w:eastAsia="zh-CN"/>
                    </w:rPr>
                    <w:t>6</w:t>
                  </w:r>
                </w:p>
              </w:tc>
              <w:tc>
                <w:tcPr>
                  <w:tcW w:w="1035" w:type="pct"/>
                  <w:shd w:val="clear" w:color="auto" w:fill="auto"/>
                  <w:vAlign w:val="center"/>
                </w:tcPr>
                <w:p>
                  <w:pPr>
                    <w:widowControl/>
                    <w:wordWrap w:val="0"/>
                    <w:jc w:val="center"/>
                    <w:rPr>
                      <w:rFonts w:hint="eastAsia"/>
                      <w:color w:val="000000"/>
                      <w:kern w:val="0"/>
                      <w:szCs w:val="21"/>
                      <w:highlight w:val="none"/>
                      <w:lang w:val="en-US" w:eastAsia="zh-CN"/>
                    </w:rPr>
                  </w:pPr>
                  <w:r>
                    <w:rPr>
                      <w:rFonts w:hint="default"/>
                      <w:color w:val="000000"/>
                      <w:kern w:val="0"/>
                      <w:szCs w:val="21"/>
                      <w:highlight w:val="none"/>
                    </w:rPr>
                    <w:t>粉碎机</w:t>
                  </w:r>
                </w:p>
              </w:tc>
              <w:tc>
                <w:tcPr>
                  <w:tcW w:w="430" w:type="pct"/>
                  <w:shd w:val="clear" w:color="auto" w:fill="auto"/>
                  <w:vAlign w:val="center"/>
                </w:tcPr>
                <w:p>
                  <w:pPr>
                    <w:widowControl/>
                    <w:wordWrap w:val="0"/>
                    <w:jc w:val="center"/>
                    <w:rPr>
                      <w:rFonts w:hint="eastAsia"/>
                      <w:color w:val="000000"/>
                      <w:kern w:val="0"/>
                      <w:szCs w:val="21"/>
                      <w:highlight w:val="none"/>
                      <w:lang w:val="en-US" w:eastAsia="zh-CN"/>
                    </w:rPr>
                  </w:pPr>
                  <w:r>
                    <w:rPr>
                      <w:rFonts w:hint="eastAsia"/>
                      <w:color w:val="000000"/>
                      <w:kern w:val="0"/>
                      <w:szCs w:val="21"/>
                      <w:highlight w:val="none"/>
                      <w:lang w:val="en-US" w:eastAsia="zh-CN"/>
                    </w:rPr>
                    <w:t>2</w:t>
                  </w:r>
                </w:p>
              </w:tc>
              <w:tc>
                <w:tcPr>
                  <w:tcW w:w="603" w:type="pct"/>
                  <w:shd w:val="clear" w:color="auto" w:fill="auto"/>
                  <w:vAlign w:val="center"/>
                </w:tcPr>
                <w:p>
                  <w:pPr>
                    <w:widowControl/>
                    <w:wordWrap w:val="0"/>
                    <w:jc w:val="center"/>
                    <w:rPr>
                      <w:rFonts w:hint="default"/>
                      <w:color w:val="000000"/>
                      <w:kern w:val="0"/>
                      <w:szCs w:val="21"/>
                      <w:highlight w:val="none"/>
                      <w:lang w:val="en-US" w:eastAsia="zh-CN"/>
                    </w:rPr>
                  </w:pPr>
                  <w:r>
                    <w:rPr>
                      <w:rFonts w:hint="eastAsia"/>
                      <w:color w:val="000000"/>
                      <w:kern w:val="0"/>
                      <w:szCs w:val="21"/>
                      <w:highlight w:val="none"/>
                      <w:lang w:val="en-US" w:eastAsia="zh-CN"/>
                    </w:rPr>
                    <w:t>85</w:t>
                  </w:r>
                </w:p>
              </w:tc>
              <w:tc>
                <w:tcPr>
                  <w:tcW w:w="429" w:type="pct"/>
                  <w:vMerge w:val="continue"/>
                  <w:shd w:val="clear" w:color="auto" w:fill="auto"/>
                  <w:vAlign w:val="center"/>
                </w:tcPr>
                <w:p>
                  <w:pPr>
                    <w:widowControl/>
                    <w:wordWrap w:val="0"/>
                    <w:jc w:val="center"/>
                    <w:rPr>
                      <w:rFonts w:hint="default"/>
                      <w:color w:val="000000"/>
                      <w:kern w:val="0"/>
                      <w:szCs w:val="21"/>
                      <w:highlight w:val="none"/>
                    </w:rPr>
                  </w:pPr>
                </w:p>
              </w:tc>
              <w:tc>
                <w:tcPr>
                  <w:tcW w:w="606" w:type="pct"/>
                  <w:vMerge w:val="continue"/>
                  <w:shd w:val="clear" w:color="auto" w:fill="auto"/>
                  <w:noWrap/>
                  <w:vAlign w:val="center"/>
                </w:tcPr>
                <w:p>
                  <w:pPr>
                    <w:widowControl/>
                    <w:wordWrap w:val="0"/>
                    <w:jc w:val="center"/>
                    <w:rPr>
                      <w:rFonts w:hint="default"/>
                      <w:color w:val="000000"/>
                      <w:kern w:val="0"/>
                      <w:szCs w:val="21"/>
                      <w:highlight w:val="none"/>
                    </w:rPr>
                  </w:pPr>
                </w:p>
              </w:tc>
              <w:tc>
                <w:tcPr>
                  <w:tcW w:w="602" w:type="pct"/>
                  <w:shd w:val="clear" w:color="auto" w:fill="auto"/>
                  <w:vAlign w:val="center"/>
                </w:tcPr>
                <w:p>
                  <w:pPr>
                    <w:widowControl/>
                    <w:wordWrap w:val="0"/>
                    <w:jc w:val="center"/>
                    <w:rPr>
                      <w:rFonts w:hint="default"/>
                      <w:color w:val="000000"/>
                      <w:kern w:val="0"/>
                      <w:szCs w:val="21"/>
                      <w:highlight w:val="none"/>
                      <w:lang w:val="en-US" w:eastAsia="zh-CN"/>
                    </w:rPr>
                  </w:pPr>
                  <w:r>
                    <w:rPr>
                      <w:rFonts w:hint="eastAsia"/>
                      <w:color w:val="000000"/>
                      <w:kern w:val="0"/>
                      <w:szCs w:val="21"/>
                      <w:highlight w:val="none"/>
                      <w:lang w:val="en-US" w:eastAsia="zh-CN"/>
                    </w:rPr>
                    <w:t>60</w:t>
                  </w:r>
                </w:p>
              </w:tc>
              <w:tc>
                <w:tcPr>
                  <w:tcW w:w="431" w:type="pct"/>
                  <w:shd w:val="clear" w:color="auto" w:fill="auto"/>
                  <w:vAlign w:val="center"/>
                </w:tcPr>
                <w:p>
                  <w:pPr>
                    <w:widowControl/>
                    <w:wordWrap w:val="0"/>
                    <w:jc w:val="center"/>
                    <w:rPr>
                      <w:rFonts w:hint="eastAsia"/>
                      <w:color w:val="000000"/>
                      <w:kern w:val="0"/>
                      <w:szCs w:val="21"/>
                      <w:highlight w:val="none"/>
                    </w:rPr>
                  </w:pPr>
                  <w:r>
                    <w:rPr>
                      <w:rFonts w:hint="eastAsia"/>
                      <w:color w:val="000000"/>
                      <w:kern w:val="0"/>
                      <w:szCs w:val="21"/>
                      <w:highlight w:val="none"/>
                    </w:rPr>
                    <w:t>0</w:t>
                  </w:r>
                  <w:r>
                    <w:rPr>
                      <w:rFonts w:hint="default"/>
                      <w:color w:val="000000"/>
                      <w:kern w:val="0"/>
                      <w:szCs w:val="21"/>
                      <w:highlight w:val="none"/>
                    </w:rPr>
                    <w:t>-24</w:t>
                  </w:r>
                  <w:r>
                    <w:rPr>
                      <w:rFonts w:hint="eastAsia"/>
                      <w:color w:val="000000"/>
                      <w:kern w:val="0"/>
                      <w:szCs w:val="21"/>
                      <w:highlight w:val="none"/>
                    </w:rPr>
                    <w:t>h</w:t>
                  </w:r>
                </w:p>
              </w:tc>
              <w:tc>
                <w:tcPr>
                  <w:tcW w:w="616" w:type="pct"/>
                  <w:shd w:val="clear" w:color="auto" w:fill="auto"/>
                  <w:vAlign w:val="center"/>
                </w:tcPr>
                <w:p>
                  <w:pPr>
                    <w:widowControl/>
                    <w:wordWrap w:val="0"/>
                    <w:jc w:val="center"/>
                    <w:rPr>
                      <w:rFonts w:hint="default"/>
                      <w:color w:val="000000"/>
                      <w:kern w:val="0"/>
                      <w:szCs w:val="21"/>
                      <w:highlight w:val="none"/>
                    </w:rPr>
                  </w:pPr>
                  <w:r>
                    <w:rPr>
                      <w:rFonts w:hint="default"/>
                      <w:color w:val="000000"/>
                      <w:kern w:val="0"/>
                      <w:szCs w:val="21"/>
                      <w:highlight w:val="none"/>
                    </w:rPr>
                    <w:t>5（N）</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4" w:type="pct"/>
                  <w:shd w:val="clear" w:color="auto" w:fill="auto"/>
                  <w:vAlign w:val="center"/>
                </w:tcPr>
                <w:p>
                  <w:pPr>
                    <w:widowControl/>
                    <w:wordWrap w:val="0"/>
                    <w:jc w:val="center"/>
                    <w:rPr>
                      <w:rFonts w:hint="eastAsia"/>
                      <w:color w:val="000000"/>
                      <w:kern w:val="0"/>
                      <w:szCs w:val="21"/>
                      <w:highlight w:val="none"/>
                      <w:lang w:val="en-US" w:eastAsia="zh-CN"/>
                    </w:rPr>
                  </w:pPr>
                  <w:r>
                    <w:rPr>
                      <w:rFonts w:hint="eastAsia"/>
                      <w:color w:val="000000"/>
                      <w:kern w:val="0"/>
                      <w:szCs w:val="21"/>
                      <w:highlight w:val="none"/>
                      <w:lang w:val="en-US" w:eastAsia="zh-CN"/>
                    </w:rPr>
                    <w:t>7</w:t>
                  </w:r>
                </w:p>
              </w:tc>
              <w:tc>
                <w:tcPr>
                  <w:tcW w:w="1035" w:type="pct"/>
                  <w:shd w:val="clear" w:color="auto" w:fill="auto"/>
                  <w:vAlign w:val="center"/>
                </w:tcPr>
                <w:p>
                  <w:pPr>
                    <w:widowControl/>
                    <w:wordWrap w:val="0"/>
                    <w:jc w:val="center"/>
                    <w:rPr>
                      <w:rFonts w:hint="eastAsia"/>
                      <w:color w:val="000000"/>
                      <w:kern w:val="0"/>
                      <w:szCs w:val="21"/>
                      <w:highlight w:val="none"/>
                      <w:lang w:val="en-US" w:eastAsia="zh-CN"/>
                    </w:rPr>
                  </w:pPr>
                  <w:r>
                    <w:rPr>
                      <w:rFonts w:hint="default"/>
                      <w:color w:val="000000"/>
                      <w:kern w:val="0"/>
                      <w:szCs w:val="21"/>
                      <w:highlight w:val="none"/>
                    </w:rPr>
                    <w:t>拌料机</w:t>
                  </w:r>
                </w:p>
              </w:tc>
              <w:tc>
                <w:tcPr>
                  <w:tcW w:w="430" w:type="pct"/>
                  <w:shd w:val="clear" w:color="auto" w:fill="auto"/>
                  <w:vAlign w:val="center"/>
                </w:tcPr>
                <w:p>
                  <w:pPr>
                    <w:widowControl/>
                    <w:wordWrap w:val="0"/>
                    <w:jc w:val="center"/>
                    <w:rPr>
                      <w:rFonts w:hint="eastAsia"/>
                      <w:color w:val="000000"/>
                      <w:kern w:val="0"/>
                      <w:szCs w:val="21"/>
                      <w:highlight w:val="none"/>
                      <w:lang w:val="en-US" w:eastAsia="zh-CN"/>
                    </w:rPr>
                  </w:pPr>
                  <w:r>
                    <w:rPr>
                      <w:rFonts w:hint="eastAsia"/>
                      <w:color w:val="000000"/>
                      <w:kern w:val="0"/>
                      <w:szCs w:val="21"/>
                      <w:highlight w:val="none"/>
                      <w:lang w:val="en-US" w:eastAsia="zh-CN"/>
                    </w:rPr>
                    <w:t>2</w:t>
                  </w:r>
                </w:p>
              </w:tc>
              <w:tc>
                <w:tcPr>
                  <w:tcW w:w="603" w:type="pct"/>
                  <w:shd w:val="clear" w:color="auto" w:fill="auto"/>
                  <w:vAlign w:val="center"/>
                </w:tcPr>
                <w:p>
                  <w:pPr>
                    <w:widowControl/>
                    <w:wordWrap w:val="0"/>
                    <w:jc w:val="center"/>
                    <w:rPr>
                      <w:rFonts w:hint="default"/>
                      <w:color w:val="000000"/>
                      <w:kern w:val="0"/>
                      <w:szCs w:val="21"/>
                      <w:highlight w:val="none"/>
                      <w:lang w:val="en-US" w:eastAsia="zh-CN"/>
                    </w:rPr>
                  </w:pPr>
                  <w:r>
                    <w:rPr>
                      <w:rFonts w:hint="eastAsia"/>
                      <w:color w:val="000000"/>
                      <w:kern w:val="0"/>
                      <w:szCs w:val="21"/>
                      <w:highlight w:val="none"/>
                      <w:lang w:val="en-US" w:eastAsia="zh-CN"/>
                    </w:rPr>
                    <w:t>75</w:t>
                  </w:r>
                </w:p>
              </w:tc>
              <w:tc>
                <w:tcPr>
                  <w:tcW w:w="429" w:type="pct"/>
                  <w:vMerge w:val="continue"/>
                  <w:shd w:val="clear" w:color="auto" w:fill="auto"/>
                  <w:vAlign w:val="center"/>
                </w:tcPr>
                <w:p>
                  <w:pPr>
                    <w:widowControl/>
                    <w:wordWrap w:val="0"/>
                    <w:jc w:val="center"/>
                    <w:rPr>
                      <w:rFonts w:hint="default"/>
                      <w:color w:val="000000"/>
                      <w:kern w:val="0"/>
                      <w:szCs w:val="21"/>
                      <w:highlight w:val="none"/>
                    </w:rPr>
                  </w:pPr>
                </w:p>
              </w:tc>
              <w:tc>
                <w:tcPr>
                  <w:tcW w:w="606" w:type="pct"/>
                  <w:vMerge w:val="continue"/>
                  <w:shd w:val="clear" w:color="auto" w:fill="auto"/>
                  <w:noWrap/>
                  <w:vAlign w:val="center"/>
                </w:tcPr>
                <w:p>
                  <w:pPr>
                    <w:widowControl/>
                    <w:wordWrap w:val="0"/>
                    <w:jc w:val="center"/>
                    <w:rPr>
                      <w:rFonts w:hint="default"/>
                      <w:color w:val="000000"/>
                      <w:kern w:val="0"/>
                      <w:szCs w:val="21"/>
                      <w:highlight w:val="none"/>
                    </w:rPr>
                  </w:pPr>
                </w:p>
              </w:tc>
              <w:tc>
                <w:tcPr>
                  <w:tcW w:w="602" w:type="pct"/>
                  <w:shd w:val="clear" w:color="auto" w:fill="auto"/>
                  <w:vAlign w:val="center"/>
                </w:tcPr>
                <w:p>
                  <w:pPr>
                    <w:widowControl/>
                    <w:wordWrap w:val="0"/>
                    <w:jc w:val="center"/>
                    <w:rPr>
                      <w:rFonts w:hint="default"/>
                      <w:color w:val="000000"/>
                      <w:kern w:val="0"/>
                      <w:szCs w:val="21"/>
                      <w:highlight w:val="none"/>
                      <w:lang w:val="en-US" w:eastAsia="zh-CN"/>
                    </w:rPr>
                  </w:pPr>
                  <w:r>
                    <w:rPr>
                      <w:rFonts w:hint="eastAsia"/>
                      <w:color w:val="000000"/>
                      <w:kern w:val="0"/>
                      <w:szCs w:val="21"/>
                      <w:highlight w:val="none"/>
                      <w:lang w:val="en-US" w:eastAsia="zh-CN"/>
                    </w:rPr>
                    <w:t>50</w:t>
                  </w:r>
                </w:p>
              </w:tc>
              <w:tc>
                <w:tcPr>
                  <w:tcW w:w="431" w:type="pct"/>
                  <w:shd w:val="clear" w:color="auto" w:fill="auto"/>
                  <w:vAlign w:val="center"/>
                </w:tcPr>
                <w:p>
                  <w:pPr>
                    <w:widowControl/>
                    <w:wordWrap w:val="0"/>
                    <w:jc w:val="center"/>
                    <w:rPr>
                      <w:rFonts w:hint="eastAsia"/>
                      <w:color w:val="000000"/>
                      <w:kern w:val="0"/>
                      <w:szCs w:val="21"/>
                      <w:highlight w:val="none"/>
                    </w:rPr>
                  </w:pPr>
                  <w:r>
                    <w:rPr>
                      <w:rFonts w:hint="eastAsia"/>
                      <w:color w:val="000000"/>
                      <w:kern w:val="0"/>
                      <w:szCs w:val="21"/>
                      <w:highlight w:val="none"/>
                    </w:rPr>
                    <w:t>0</w:t>
                  </w:r>
                  <w:r>
                    <w:rPr>
                      <w:rFonts w:hint="default"/>
                      <w:color w:val="000000"/>
                      <w:kern w:val="0"/>
                      <w:szCs w:val="21"/>
                      <w:highlight w:val="none"/>
                    </w:rPr>
                    <w:t>-24</w:t>
                  </w:r>
                  <w:r>
                    <w:rPr>
                      <w:rFonts w:hint="eastAsia"/>
                      <w:color w:val="000000"/>
                      <w:kern w:val="0"/>
                      <w:szCs w:val="21"/>
                      <w:highlight w:val="none"/>
                    </w:rPr>
                    <w:t>h</w:t>
                  </w:r>
                </w:p>
              </w:tc>
              <w:tc>
                <w:tcPr>
                  <w:tcW w:w="616" w:type="pct"/>
                  <w:shd w:val="clear" w:color="auto" w:fill="auto"/>
                  <w:vAlign w:val="center"/>
                </w:tcPr>
                <w:p>
                  <w:pPr>
                    <w:widowControl/>
                    <w:wordWrap w:val="0"/>
                    <w:jc w:val="center"/>
                    <w:rPr>
                      <w:rFonts w:hint="default"/>
                      <w:color w:val="000000"/>
                      <w:kern w:val="0"/>
                      <w:szCs w:val="21"/>
                      <w:highlight w:val="none"/>
                    </w:rPr>
                  </w:pPr>
                  <w:r>
                    <w:rPr>
                      <w:rFonts w:hint="default"/>
                      <w:color w:val="000000"/>
                      <w:kern w:val="0"/>
                      <w:szCs w:val="21"/>
                      <w:highlight w:val="none"/>
                    </w:rPr>
                    <w:t>5（N）</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4" w:type="pct"/>
                  <w:shd w:val="clear" w:color="auto" w:fill="auto"/>
                  <w:vAlign w:val="center"/>
                </w:tcPr>
                <w:p>
                  <w:pPr>
                    <w:widowControl/>
                    <w:wordWrap w:val="0"/>
                    <w:jc w:val="center"/>
                    <w:rPr>
                      <w:rFonts w:hint="eastAsia"/>
                      <w:color w:val="000000"/>
                      <w:kern w:val="0"/>
                      <w:szCs w:val="21"/>
                      <w:highlight w:val="none"/>
                      <w:lang w:val="en-US" w:eastAsia="zh-CN"/>
                    </w:rPr>
                  </w:pPr>
                  <w:r>
                    <w:rPr>
                      <w:rFonts w:hint="eastAsia"/>
                      <w:color w:val="000000"/>
                      <w:kern w:val="0"/>
                      <w:szCs w:val="21"/>
                      <w:highlight w:val="none"/>
                      <w:lang w:val="en-US" w:eastAsia="zh-CN"/>
                    </w:rPr>
                    <w:t>8</w:t>
                  </w:r>
                </w:p>
              </w:tc>
              <w:tc>
                <w:tcPr>
                  <w:tcW w:w="1035" w:type="pct"/>
                  <w:shd w:val="clear" w:color="auto" w:fill="auto"/>
                  <w:vAlign w:val="center"/>
                </w:tcPr>
                <w:p>
                  <w:pPr>
                    <w:widowControl/>
                    <w:wordWrap w:val="0"/>
                    <w:jc w:val="center"/>
                    <w:rPr>
                      <w:rFonts w:hint="eastAsia"/>
                      <w:color w:val="000000"/>
                      <w:kern w:val="0"/>
                      <w:szCs w:val="21"/>
                      <w:highlight w:val="none"/>
                      <w:lang w:val="en-US" w:eastAsia="zh-CN"/>
                    </w:rPr>
                  </w:pPr>
                  <w:r>
                    <w:rPr>
                      <w:rFonts w:hint="default"/>
                      <w:color w:val="000000"/>
                      <w:kern w:val="0"/>
                      <w:szCs w:val="21"/>
                      <w:highlight w:val="none"/>
                    </w:rPr>
                    <w:t>放电穿孔机</w:t>
                  </w:r>
                </w:p>
              </w:tc>
              <w:tc>
                <w:tcPr>
                  <w:tcW w:w="430" w:type="pct"/>
                  <w:shd w:val="clear" w:color="auto" w:fill="auto"/>
                  <w:vAlign w:val="center"/>
                </w:tcPr>
                <w:p>
                  <w:pPr>
                    <w:widowControl/>
                    <w:wordWrap w:val="0"/>
                    <w:jc w:val="center"/>
                    <w:rPr>
                      <w:rFonts w:hint="eastAsia"/>
                      <w:color w:val="000000"/>
                      <w:kern w:val="0"/>
                      <w:szCs w:val="21"/>
                      <w:highlight w:val="none"/>
                      <w:lang w:val="en-US" w:eastAsia="zh-CN"/>
                    </w:rPr>
                  </w:pPr>
                  <w:r>
                    <w:rPr>
                      <w:rFonts w:hint="eastAsia"/>
                      <w:color w:val="000000"/>
                      <w:kern w:val="0"/>
                      <w:szCs w:val="21"/>
                      <w:highlight w:val="none"/>
                      <w:lang w:val="en-US" w:eastAsia="zh-CN"/>
                    </w:rPr>
                    <w:t>1</w:t>
                  </w:r>
                </w:p>
              </w:tc>
              <w:tc>
                <w:tcPr>
                  <w:tcW w:w="603" w:type="pct"/>
                  <w:shd w:val="clear" w:color="auto" w:fill="auto"/>
                  <w:vAlign w:val="center"/>
                </w:tcPr>
                <w:p>
                  <w:pPr>
                    <w:widowControl/>
                    <w:wordWrap w:val="0"/>
                    <w:jc w:val="center"/>
                    <w:rPr>
                      <w:rFonts w:hint="default"/>
                      <w:color w:val="000000"/>
                      <w:kern w:val="0"/>
                      <w:szCs w:val="21"/>
                      <w:highlight w:val="none"/>
                      <w:lang w:val="en-US" w:eastAsia="zh-CN"/>
                    </w:rPr>
                  </w:pPr>
                  <w:r>
                    <w:rPr>
                      <w:rFonts w:hint="eastAsia"/>
                      <w:color w:val="000000"/>
                      <w:kern w:val="0"/>
                      <w:szCs w:val="21"/>
                      <w:highlight w:val="none"/>
                      <w:lang w:val="en-US" w:eastAsia="zh-CN"/>
                    </w:rPr>
                    <w:t>70</w:t>
                  </w:r>
                </w:p>
              </w:tc>
              <w:tc>
                <w:tcPr>
                  <w:tcW w:w="429" w:type="pct"/>
                  <w:vMerge w:val="continue"/>
                  <w:shd w:val="clear" w:color="auto" w:fill="auto"/>
                  <w:vAlign w:val="center"/>
                </w:tcPr>
                <w:p>
                  <w:pPr>
                    <w:widowControl/>
                    <w:wordWrap w:val="0"/>
                    <w:jc w:val="center"/>
                    <w:rPr>
                      <w:rFonts w:hint="default"/>
                      <w:color w:val="000000"/>
                      <w:kern w:val="0"/>
                      <w:szCs w:val="21"/>
                      <w:highlight w:val="none"/>
                    </w:rPr>
                  </w:pPr>
                </w:p>
              </w:tc>
              <w:tc>
                <w:tcPr>
                  <w:tcW w:w="606" w:type="pct"/>
                  <w:vMerge w:val="continue"/>
                  <w:shd w:val="clear" w:color="auto" w:fill="auto"/>
                  <w:noWrap/>
                  <w:vAlign w:val="center"/>
                </w:tcPr>
                <w:p>
                  <w:pPr>
                    <w:widowControl/>
                    <w:wordWrap w:val="0"/>
                    <w:jc w:val="center"/>
                    <w:rPr>
                      <w:rFonts w:hint="default"/>
                      <w:color w:val="000000"/>
                      <w:kern w:val="0"/>
                      <w:szCs w:val="21"/>
                      <w:highlight w:val="none"/>
                    </w:rPr>
                  </w:pPr>
                </w:p>
              </w:tc>
              <w:tc>
                <w:tcPr>
                  <w:tcW w:w="602" w:type="pct"/>
                  <w:shd w:val="clear" w:color="auto" w:fill="auto"/>
                  <w:vAlign w:val="center"/>
                </w:tcPr>
                <w:p>
                  <w:pPr>
                    <w:widowControl/>
                    <w:wordWrap w:val="0"/>
                    <w:jc w:val="center"/>
                    <w:rPr>
                      <w:rFonts w:hint="default"/>
                      <w:color w:val="000000"/>
                      <w:kern w:val="0"/>
                      <w:szCs w:val="21"/>
                      <w:highlight w:val="none"/>
                      <w:lang w:val="en-US" w:eastAsia="zh-CN"/>
                    </w:rPr>
                  </w:pPr>
                  <w:r>
                    <w:rPr>
                      <w:rFonts w:hint="eastAsia"/>
                      <w:color w:val="000000"/>
                      <w:kern w:val="0"/>
                      <w:szCs w:val="21"/>
                      <w:highlight w:val="none"/>
                      <w:lang w:val="en-US" w:eastAsia="zh-CN"/>
                    </w:rPr>
                    <w:t>45</w:t>
                  </w:r>
                </w:p>
              </w:tc>
              <w:tc>
                <w:tcPr>
                  <w:tcW w:w="431" w:type="pct"/>
                  <w:shd w:val="clear" w:color="auto" w:fill="auto"/>
                  <w:vAlign w:val="center"/>
                </w:tcPr>
                <w:p>
                  <w:pPr>
                    <w:widowControl/>
                    <w:wordWrap w:val="0"/>
                    <w:jc w:val="center"/>
                    <w:rPr>
                      <w:rFonts w:hint="eastAsia"/>
                      <w:color w:val="000000"/>
                      <w:kern w:val="0"/>
                      <w:szCs w:val="21"/>
                      <w:highlight w:val="none"/>
                    </w:rPr>
                  </w:pPr>
                  <w:r>
                    <w:rPr>
                      <w:rFonts w:hint="eastAsia"/>
                      <w:color w:val="000000"/>
                      <w:kern w:val="0"/>
                      <w:szCs w:val="21"/>
                      <w:highlight w:val="none"/>
                    </w:rPr>
                    <w:t>0</w:t>
                  </w:r>
                  <w:r>
                    <w:rPr>
                      <w:rFonts w:hint="default"/>
                      <w:color w:val="000000"/>
                      <w:kern w:val="0"/>
                      <w:szCs w:val="21"/>
                      <w:highlight w:val="none"/>
                    </w:rPr>
                    <w:t>-24</w:t>
                  </w:r>
                  <w:r>
                    <w:rPr>
                      <w:rFonts w:hint="eastAsia"/>
                      <w:color w:val="000000"/>
                      <w:kern w:val="0"/>
                      <w:szCs w:val="21"/>
                      <w:highlight w:val="none"/>
                    </w:rPr>
                    <w:t>h</w:t>
                  </w:r>
                </w:p>
              </w:tc>
              <w:tc>
                <w:tcPr>
                  <w:tcW w:w="616" w:type="pct"/>
                  <w:shd w:val="clear" w:color="auto" w:fill="auto"/>
                  <w:vAlign w:val="center"/>
                </w:tcPr>
                <w:p>
                  <w:pPr>
                    <w:widowControl/>
                    <w:wordWrap w:val="0"/>
                    <w:jc w:val="center"/>
                    <w:rPr>
                      <w:rFonts w:hint="default"/>
                      <w:color w:val="000000"/>
                      <w:kern w:val="0"/>
                      <w:szCs w:val="21"/>
                      <w:highlight w:val="none"/>
                    </w:rPr>
                  </w:pPr>
                  <w:r>
                    <w:rPr>
                      <w:rFonts w:hint="eastAsia"/>
                      <w:color w:val="000000"/>
                      <w:kern w:val="0"/>
                      <w:szCs w:val="21"/>
                      <w:highlight w:val="none"/>
                      <w:lang w:val="en-US" w:eastAsia="zh-CN"/>
                    </w:rPr>
                    <w:t>5</w:t>
                  </w:r>
                  <w:r>
                    <w:rPr>
                      <w:rFonts w:hint="default"/>
                      <w:color w:val="000000"/>
                      <w:kern w:val="0"/>
                      <w:szCs w:val="21"/>
                      <w:highlight w:val="none"/>
                    </w:rPr>
                    <w:t>（</w:t>
                  </w:r>
                  <w:r>
                    <w:rPr>
                      <w:rFonts w:hint="eastAsia"/>
                      <w:color w:val="000000"/>
                      <w:kern w:val="0"/>
                      <w:szCs w:val="21"/>
                      <w:highlight w:val="none"/>
                      <w:lang w:val="en-US" w:eastAsia="zh-CN"/>
                    </w:rPr>
                    <w:t>S</w:t>
                  </w:r>
                  <w:r>
                    <w:rPr>
                      <w:rFonts w:hint="default"/>
                      <w:color w:val="000000"/>
                      <w:kern w:val="0"/>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4" w:type="pct"/>
                  <w:shd w:val="clear" w:color="auto" w:fill="auto"/>
                  <w:vAlign w:val="center"/>
                </w:tcPr>
                <w:p>
                  <w:pPr>
                    <w:widowControl/>
                    <w:wordWrap w:val="0"/>
                    <w:jc w:val="center"/>
                    <w:rPr>
                      <w:rFonts w:hint="eastAsia"/>
                      <w:color w:val="000000"/>
                      <w:kern w:val="0"/>
                      <w:szCs w:val="21"/>
                      <w:highlight w:val="none"/>
                      <w:lang w:val="en-US" w:eastAsia="zh-CN"/>
                    </w:rPr>
                  </w:pPr>
                  <w:r>
                    <w:rPr>
                      <w:rFonts w:hint="eastAsia"/>
                      <w:color w:val="000000"/>
                      <w:kern w:val="0"/>
                      <w:szCs w:val="21"/>
                      <w:highlight w:val="none"/>
                      <w:lang w:val="en-US" w:eastAsia="zh-CN"/>
                    </w:rPr>
                    <w:t>9</w:t>
                  </w:r>
                </w:p>
              </w:tc>
              <w:tc>
                <w:tcPr>
                  <w:tcW w:w="1035" w:type="pct"/>
                  <w:shd w:val="clear" w:color="auto" w:fill="auto"/>
                  <w:vAlign w:val="center"/>
                </w:tcPr>
                <w:p>
                  <w:pPr>
                    <w:widowControl/>
                    <w:wordWrap w:val="0"/>
                    <w:jc w:val="center"/>
                    <w:rPr>
                      <w:rFonts w:hint="eastAsia"/>
                      <w:color w:val="000000"/>
                      <w:kern w:val="0"/>
                      <w:szCs w:val="21"/>
                      <w:highlight w:val="none"/>
                      <w:lang w:val="en-US" w:eastAsia="zh-CN"/>
                    </w:rPr>
                  </w:pPr>
                  <w:r>
                    <w:rPr>
                      <w:rFonts w:hint="default"/>
                      <w:color w:val="000000"/>
                      <w:kern w:val="0"/>
                      <w:szCs w:val="21"/>
                      <w:highlight w:val="none"/>
                    </w:rPr>
                    <w:t>慢走丝线切割</w:t>
                  </w:r>
                </w:p>
              </w:tc>
              <w:tc>
                <w:tcPr>
                  <w:tcW w:w="430" w:type="pct"/>
                  <w:shd w:val="clear" w:color="auto" w:fill="auto"/>
                  <w:vAlign w:val="center"/>
                </w:tcPr>
                <w:p>
                  <w:pPr>
                    <w:widowControl/>
                    <w:wordWrap w:val="0"/>
                    <w:jc w:val="center"/>
                    <w:rPr>
                      <w:rFonts w:hint="eastAsia"/>
                      <w:color w:val="000000"/>
                      <w:kern w:val="0"/>
                      <w:szCs w:val="21"/>
                      <w:highlight w:val="none"/>
                      <w:lang w:val="en-US" w:eastAsia="zh-CN"/>
                    </w:rPr>
                  </w:pPr>
                  <w:r>
                    <w:rPr>
                      <w:rFonts w:hint="eastAsia"/>
                      <w:color w:val="000000"/>
                      <w:kern w:val="0"/>
                      <w:szCs w:val="21"/>
                      <w:highlight w:val="none"/>
                      <w:lang w:val="en-US" w:eastAsia="zh-CN"/>
                    </w:rPr>
                    <w:t>5</w:t>
                  </w:r>
                </w:p>
              </w:tc>
              <w:tc>
                <w:tcPr>
                  <w:tcW w:w="603" w:type="pct"/>
                  <w:shd w:val="clear" w:color="auto" w:fill="auto"/>
                  <w:vAlign w:val="center"/>
                </w:tcPr>
                <w:p>
                  <w:pPr>
                    <w:widowControl/>
                    <w:wordWrap w:val="0"/>
                    <w:jc w:val="center"/>
                    <w:rPr>
                      <w:rFonts w:hint="default"/>
                      <w:color w:val="000000"/>
                      <w:kern w:val="0"/>
                      <w:szCs w:val="21"/>
                      <w:highlight w:val="none"/>
                      <w:lang w:val="en-US" w:eastAsia="zh-CN"/>
                    </w:rPr>
                  </w:pPr>
                  <w:r>
                    <w:rPr>
                      <w:rFonts w:hint="eastAsia"/>
                      <w:color w:val="000000"/>
                      <w:kern w:val="0"/>
                      <w:szCs w:val="21"/>
                      <w:highlight w:val="none"/>
                      <w:lang w:val="en-US" w:eastAsia="zh-CN"/>
                    </w:rPr>
                    <w:t>80</w:t>
                  </w:r>
                </w:p>
              </w:tc>
              <w:tc>
                <w:tcPr>
                  <w:tcW w:w="429" w:type="pct"/>
                  <w:vMerge w:val="continue"/>
                  <w:shd w:val="clear" w:color="auto" w:fill="auto"/>
                  <w:vAlign w:val="center"/>
                </w:tcPr>
                <w:p>
                  <w:pPr>
                    <w:widowControl/>
                    <w:wordWrap w:val="0"/>
                    <w:jc w:val="center"/>
                    <w:rPr>
                      <w:rFonts w:hint="default"/>
                      <w:color w:val="000000"/>
                      <w:kern w:val="0"/>
                      <w:szCs w:val="21"/>
                      <w:highlight w:val="none"/>
                    </w:rPr>
                  </w:pPr>
                </w:p>
              </w:tc>
              <w:tc>
                <w:tcPr>
                  <w:tcW w:w="606" w:type="pct"/>
                  <w:vMerge w:val="continue"/>
                  <w:shd w:val="clear" w:color="auto" w:fill="auto"/>
                  <w:noWrap/>
                  <w:vAlign w:val="center"/>
                </w:tcPr>
                <w:p>
                  <w:pPr>
                    <w:widowControl/>
                    <w:wordWrap w:val="0"/>
                    <w:jc w:val="center"/>
                    <w:rPr>
                      <w:rFonts w:hint="default"/>
                      <w:color w:val="000000"/>
                      <w:kern w:val="0"/>
                      <w:szCs w:val="21"/>
                      <w:highlight w:val="none"/>
                    </w:rPr>
                  </w:pPr>
                </w:p>
              </w:tc>
              <w:tc>
                <w:tcPr>
                  <w:tcW w:w="602" w:type="pct"/>
                  <w:shd w:val="clear" w:color="auto" w:fill="auto"/>
                  <w:vAlign w:val="center"/>
                </w:tcPr>
                <w:p>
                  <w:pPr>
                    <w:widowControl/>
                    <w:wordWrap w:val="0"/>
                    <w:jc w:val="center"/>
                    <w:rPr>
                      <w:rFonts w:hint="eastAsia"/>
                      <w:color w:val="000000"/>
                      <w:kern w:val="0"/>
                      <w:szCs w:val="21"/>
                      <w:highlight w:val="none"/>
                    </w:rPr>
                  </w:pPr>
                  <w:r>
                    <w:rPr>
                      <w:rFonts w:hint="eastAsia"/>
                      <w:color w:val="000000"/>
                      <w:kern w:val="0"/>
                      <w:szCs w:val="21"/>
                      <w:highlight w:val="none"/>
                      <w:lang w:val="en-US" w:eastAsia="zh-CN"/>
                    </w:rPr>
                    <w:t>55</w:t>
                  </w:r>
                </w:p>
              </w:tc>
              <w:tc>
                <w:tcPr>
                  <w:tcW w:w="431" w:type="pct"/>
                  <w:shd w:val="clear" w:color="auto" w:fill="auto"/>
                  <w:vAlign w:val="center"/>
                </w:tcPr>
                <w:p>
                  <w:pPr>
                    <w:widowControl/>
                    <w:wordWrap w:val="0"/>
                    <w:jc w:val="center"/>
                    <w:rPr>
                      <w:rFonts w:hint="eastAsia"/>
                      <w:color w:val="000000"/>
                      <w:kern w:val="0"/>
                      <w:szCs w:val="21"/>
                      <w:highlight w:val="none"/>
                    </w:rPr>
                  </w:pPr>
                  <w:r>
                    <w:rPr>
                      <w:rFonts w:hint="eastAsia"/>
                      <w:color w:val="000000"/>
                      <w:kern w:val="0"/>
                      <w:szCs w:val="21"/>
                      <w:highlight w:val="none"/>
                    </w:rPr>
                    <w:t>0</w:t>
                  </w:r>
                  <w:r>
                    <w:rPr>
                      <w:rFonts w:hint="default"/>
                      <w:color w:val="000000"/>
                      <w:kern w:val="0"/>
                      <w:szCs w:val="21"/>
                      <w:highlight w:val="none"/>
                    </w:rPr>
                    <w:t>-24</w:t>
                  </w:r>
                  <w:r>
                    <w:rPr>
                      <w:rFonts w:hint="eastAsia"/>
                      <w:color w:val="000000"/>
                      <w:kern w:val="0"/>
                      <w:szCs w:val="21"/>
                      <w:highlight w:val="none"/>
                    </w:rPr>
                    <w:t>h</w:t>
                  </w:r>
                </w:p>
              </w:tc>
              <w:tc>
                <w:tcPr>
                  <w:tcW w:w="616" w:type="pct"/>
                  <w:shd w:val="clear" w:color="auto" w:fill="auto"/>
                  <w:vAlign w:val="center"/>
                </w:tcPr>
                <w:p>
                  <w:pPr>
                    <w:widowControl/>
                    <w:wordWrap w:val="0"/>
                    <w:jc w:val="center"/>
                    <w:rPr>
                      <w:rFonts w:hint="default"/>
                      <w:color w:val="000000"/>
                      <w:kern w:val="0"/>
                      <w:szCs w:val="21"/>
                      <w:highlight w:val="none"/>
                    </w:rPr>
                  </w:pPr>
                  <w:r>
                    <w:rPr>
                      <w:rFonts w:hint="eastAsia"/>
                      <w:color w:val="000000"/>
                      <w:kern w:val="0"/>
                      <w:szCs w:val="21"/>
                      <w:highlight w:val="none"/>
                      <w:lang w:val="en-US" w:eastAsia="zh-CN"/>
                    </w:rPr>
                    <w:t>5</w:t>
                  </w:r>
                  <w:r>
                    <w:rPr>
                      <w:rFonts w:hint="default"/>
                      <w:color w:val="000000"/>
                      <w:kern w:val="0"/>
                      <w:szCs w:val="21"/>
                      <w:highlight w:val="none"/>
                    </w:rPr>
                    <w:t>（</w:t>
                  </w:r>
                  <w:r>
                    <w:rPr>
                      <w:rFonts w:hint="eastAsia"/>
                      <w:color w:val="000000"/>
                      <w:kern w:val="0"/>
                      <w:szCs w:val="21"/>
                      <w:highlight w:val="none"/>
                      <w:lang w:val="en-US" w:eastAsia="zh-CN"/>
                    </w:rPr>
                    <w:t>S</w:t>
                  </w:r>
                  <w:r>
                    <w:rPr>
                      <w:rFonts w:hint="default"/>
                      <w:color w:val="000000"/>
                      <w:kern w:val="0"/>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4" w:type="pct"/>
                  <w:shd w:val="clear" w:color="auto" w:fill="auto"/>
                  <w:vAlign w:val="center"/>
                </w:tcPr>
                <w:p>
                  <w:pPr>
                    <w:widowControl/>
                    <w:wordWrap w:val="0"/>
                    <w:jc w:val="center"/>
                    <w:rPr>
                      <w:rFonts w:hint="default"/>
                      <w:color w:val="000000"/>
                      <w:kern w:val="0"/>
                      <w:szCs w:val="21"/>
                      <w:highlight w:val="none"/>
                      <w:lang w:val="en-US" w:eastAsia="zh-CN"/>
                    </w:rPr>
                  </w:pPr>
                  <w:r>
                    <w:rPr>
                      <w:rFonts w:hint="eastAsia"/>
                      <w:color w:val="000000"/>
                      <w:kern w:val="0"/>
                      <w:szCs w:val="21"/>
                      <w:highlight w:val="none"/>
                      <w:lang w:val="en-US" w:eastAsia="zh-CN"/>
                    </w:rPr>
                    <w:t>10</w:t>
                  </w:r>
                </w:p>
              </w:tc>
              <w:tc>
                <w:tcPr>
                  <w:tcW w:w="1035" w:type="pct"/>
                  <w:shd w:val="clear" w:color="auto" w:fill="auto"/>
                  <w:vAlign w:val="center"/>
                </w:tcPr>
                <w:p>
                  <w:pPr>
                    <w:widowControl/>
                    <w:wordWrap w:val="0"/>
                    <w:jc w:val="center"/>
                    <w:rPr>
                      <w:rFonts w:hint="eastAsia"/>
                      <w:color w:val="000000"/>
                      <w:kern w:val="0"/>
                      <w:szCs w:val="21"/>
                      <w:highlight w:val="none"/>
                      <w:lang w:val="en-US" w:eastAsia="zh-CN"/>
                    </w:rPr>
                  </w:pPr>
                  <w:r>
                    <w:rPr>
                      <w:rFonts w:hint="default"/>
                      <w:color w:val="000000"/>
                      <w:kern w:val="0"/>
                      <w:szCs w:val="21"/>
                      <w:highlight w:val="none"/>
                    </w:rPr>
                    <w:t>CNC数控机</w:t>
                  </w:r>
                </w:p>
              </w:tc>
              <w:tc>
                <w:tcPr>
                  <w:tcW w:w="430" w:type="pct"/>
                  <w:shd w:val="clear" w:color="auto" w:fill="auto"/>
                  <w:vAlign w:val="center"/>
                </w:tcPr>
                <w:p>
                  <w:pPr>
                    <w:widowControl/>
                    <w:wordWrap w:val="0"/>
                    <w:jc w:val="center"/>
                    <w:rPr>
                      <w:rFonts w:hint="eastAsia"/>
                      <w:color w:val="000000"/>
                      <w:kern w:val="0"/>
                      <w:szCs w:val="21"/>
                      <w:highlight w:val="none"/>
                      <w:lang w:val="en-US" w:eastAsia="zh-CN"/>
                    </w:rPr>
                  </w:pPr>
                  <w:r>
                    <w:rPr>
                      <w:rFonts w:hint="eastAsia"/>
                      <w:color w:val="000000"/>
                      <w:kern w:val="0"/>
                      <w:szCs w:val="21"/>
                      <w:highlight w:val="none"/>
                      <w:lang w:val="en-US" w:eastAsia="zh-CN"/>
                    </w:rPr>
                    <w:t>3</w:t>
                  </w:r>
                </w:p>
              </w:tc>
              <w:tc>
                <w:tcPr>
                  <w:tcW w:w="603" w:type="pct"/>
                  <w:shd w:val="clear" w:color="auto" w:fill="auto"/>
                  <w:vAlign w:val="center"/>
                </w:tcPr>
                <w:p>
                  <w:pPr>
                    <w:widowControl/>
                    <w:wordWrap w:val="0"/>
                    <w:jc w:val="center"/>
                    <w:rPr>
                      <w:rFonts w:hint="default"/>
                      <w:color w:val="000000"/>
                      <w:kern w:val="0"/>
                      <w:szCs w:val="21"/>
                      <w:highlight w:val="none"/>
                      <w:lang w:val="en-US" w:eastAsia="zh-CN"/>
                    </w:rPr>
                  </w:pPr>
                  <w:r>
                    <w:rPr>
                      <w:rFonts w:hint="eastAsia"/>
                      <w:color w:val="000000"/>
                      <w:kern w:val="0"/>
                      <w:szCs w:val="21"/>
                      <w:highlight w:val="none"/>
                      <w:lang w:val="en-US" w:eastAsia="zh-CN"/>
                    </w:rPr>
                    <w:t>80</w:t>
                  </w:r>
                </w:p>
              </w:tc>
              <w:tc>
                <w:tcPr>
                  <w:tcW w:w="429" w:type="pct"/>
                  <w:vMerge w:val="continue"/>
                  <w:shd w:val="clear" w:color="auto" w:fill="auto"/>
                  <w:vAlign w:val="center"/>
                </w:tcPr>
                <w:p>
                  <w:pPr>
                    <w:widowControl/>
                    <w:wordWrap w:val="0"/>
                    <w:jc w:val="center"/>
                    <w:rPr>
                      <w:rFonts w:hint="default"/>
                      <w:color w:val="000000"/>
                      <w:kern w:val="0"/>
                      <w:szCs w:val="21"/>
                      <w:highlight w:val="none"/>
                    </w:rPr>
                  </w:pPr>
                </w:p>
              </w:tc>
              <w:tc>
                <w:tcPr>
                  <w:tcW w:w="606" w:type="pct"/>
                  <w:vMerge w:val="continue"/>
                  <w:shd w:val="clear" w:color="auto" w:fill="auto"/>
                  <w:noWrap/>
                  <w:vAlign w:val="center"/>
                </w:tcPr>
                <w:p>
                  <w:pPr>
                    <w:widowControl/>
                    <w:wordWrap w:val="0"/>
                    <w:jc w:val="center"/>
                    <w:rPr>
                      <w:rFonts w:hint="default"/>
                      <w:color w:val="000000"/>
                      <w:kern w:val="0"/>
                      <w:szCs w:val="21"/>
                      <w:highlight w:val="none"/>
                    </w:rPr>
                  </w:pPr>
                </w:p>
              </w:tc>
              <w:tc>
                <w:tcPr>
                  <w:tcW w:w="602" w:type="pct"/>
                  <w:shd w:val="clear" w:color="auto" w:fill="auto"/>
                  <w:vAlign w:val="center"/>
                </w:tcPr>
                <w:p>
                  <w:pPr>
                    <w:widowControl/>
                    <w:wordWrap w:val="0"/>
                    <w:jc w:val="center"/>
                    <w:rPr>
                      <w:rFonts w:hint="eastAsia"/>
                      <w:color w:val="000000"/>
                      <w:kern w:val="0"/>
                      <w:szCs w:val="21"/>
                      <w:highlight w:val="none"/>
                    </w:rPr>
                  </w:pPr>
                  <w:r>
                    <w:rPr>
                      <w:rFonts w:hint="eastAsia"/>
                      <w:color w:val="000000"/>
                      <w:kern w:val="0"/>
                      <w:szCs w:val="21"/>
                      <w:highlight w:val="none"/>
                      <w:lang w:val="en-US" w:eastAsia="zh-CN"/>
                    </w:rPr>
                    <w:t>55</w:t>
                  </w:r>
                </w:p>
              </w:tc>
              <w:tc>
                <w:tcPr>
                  <w:tcW w:w="431" w:type="pct"/>
                  <w:shd w:val="clear" w:color="auto" w:fill="auto"/>
                  <w:vAlign w:val="center"/>
                </w:tcPr>
                <w:p>
                  <w:pPr>
                    <w:widowControl/>
                    <w:wordWrap w:val="0"/>
                    <w:jc w:val="center"/>
                    <w:rPr>
                      <w:rFonts w:hint="eastAsia"/>
                      <w:color w:val="000000"/>
                      <w:kern w:val="0"/>
                      <w:szCs w:val="21"/>
                      <w:highlight w:val="none"/>
                    </w:rPr>
                  </w:pPr>
                  <w:r>
                    <w:rPr>
                      <w:rFonts w:hint="eastAsia"/>
                      <w:color w:val="000000"/>
                      <w:kern w:val="0"/>
                      <w:szCs w:val="21"/>
                      <w:highlight w:val="none"/>
                    </w:rPr>
                    <w:t>0</w:t>
                  </w:r>
                  <w:r>
                    <w:rPr>
                      <w:rFonts w:hint="default"/>
                      <w:color w:val="000000"/>
                      <w:kern w:val="0"/>
                      <w:szCs w:val="21"/>
                      <w:highlight w:val="none"/>
                    </w:rPr>
                    <w:t>-24</w:t>
                  </w:r>
                  <w:r>
                    <w:rPr>
                      <w:rFonts w:hint="eastAsia"/>
                      <w:color w:val="000000"/>
                      <w:kern w:val="0"/>
                      <w:szCs w:val="21"/>
                      <w:highlight w:val="none"/>
                    </w:rPr>
                    <w:t>h</w:t>
                  </w:r>
                </w:p>
              </w:tc>
              <w:tc>
                <w:tcPr>
                  <w:tcW w:w="616" w:type="pct"/>
                  <w:shd w:val="clear" w:color="auto" w:fill="auto"/>
                  <w:vAlign w:val="center"/>
                </w:tcPr>
                <w:p>
                  <w:pPr>
                    <w:widowControl/>
                    <w:wordWrap w:val="0"/>
                    <w:jc w:val="center"/>
                    <w:rPr>
                      <w:rFonts w:hint="default"/>
                      <w:color w:val="000000"/>
                      <w:kern w:val="0"/>
                      <w:szCs w:val="21"/>
                      <w:highlight w:val="none"/>
                    </w:rPr>
                  </w:pPr>
                  <w:r>
                    <w:rPr>
                      <w:rFonts w:hint="eastAsia"/>
                      <w:color w:val="000000"/>
                      <w:kern w:val="0"/>
                      <w:szCs w:val="21"/>
                      <w:highlight w:val="none"/>
                      <w:lang w:val="en-US" w:eastAsia="zh-CN"/>
                    </w:rPr>
                    <w:t>5</w:t>
                  </w:r>
                  <w:r>
                    <w:rPr>
                      <w:rFonts w:hint="default"/>
                      <w:color w:val="000000"/>
                      <w:kern w:val="0"/>
                      <w:szCs w:val="21"/>
                      <w:highlight w:val="none"/>
                    </w:rPr>
                    <w:t>（</w:t>
                  </w:r>
                  <w:r>
                    <w:rPr>
                      <w:rFonts w:hint="eastAsia"/>
                      <w:color w:val="000000"/>
                      <w:kern w:val="0"/>
                      <w:szCs w:val="21"/>
                      <w:highlight w:val="none"/>
                      <w:lang w:val="en-US" w:eastAsia="zh-CN"/>
                    </w:rPr>
                    <w:t>S</w:t>
                  </w:r>
                  <w:r>
                    <w:rPr>
                      <w:rFonts w:hint="default"/>
                      <w:color w:val="000000"/>
                      <w:kern w:val="0"/>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4" w:type="pct"/>
                  <w:shd w:val="clear" w:color="auto" w:fill="auto"/>
                  <w:vAlign w:val="center"/>
                </w:tcPr>
                <w:p>
                  <w:pPr>
                    <w:widowControl/>
                    <w:wordWrap w:val="0"/>
                    <w:jc w:val="center"/>
                    <w:rPr>
                      <w:rFonts w:hint="default"/>
                      <w:color w:val="000000"/>
                      <w:kern w:val="0"/>
                      <w:szCs w:val="21"/>
                      <w:highlight w:val="none"/>
                      <w:lang w:val="en-US" w:eastAsia="zh-CN"/>
                    </w:rPr>
                  </w:pPr>
                  <w:r>
                    <w:rPr>
                      <w:rFonts w:hint="eastAsia"/>
                      <w:color w:val="000000"/>
                      <w:kern w:val="0"/>
                      <w:szCs w:val="21"/>
                      <w:highlight w:val="none"/>
                      <w:lang w:val="en-US" w:eastAsia="zh-CN"/>
                    </w:rPr>
                    <w:t>11</w:t>
                  </w:r>
                </w:p>
              </w:tc>
              <w:tc>
                <w:tcPr>
                  <w:tcW w:w="1035" w:type="pct"/>
                  <w:shd w:val="clear" w:color="auto" w:fill="auto"/>
                  <w:vAlign w:val="center"/>
                </w:tcPr>
                <w:p>
                  <w:pPr>
                    <w:widowControl/>
                    <w:wordWrap w:val="0"/>
                    <w:jc w:val="center"/>
                    <w:rPr>
                      <w:rFonts w:hint="eastAsia"/>
                      <w:color w:val="000000"/>
                      <w:kern w:val="0"/>
                      <w:szCs w:val="21"/>
                      <w:highlight w:val="none"/>
                      <w:lang w:val="en-US" w:eastAsia="zh-CN"/>
                    </w:rPr>
                  </w:pPr>
                  <w:r>
                    <w:rPr>
                      <w:rFonts w:hint="default"/>
                      <w:color w:val="000000"/>
                      <w:kern w:val="0"/>
                      <w:szCs w:val="21"/>
                      <w:highlight w:val="none"/>
                    </w:rPr>
                    <w:t>铣床</w:t>
                  </w:r>
                </w:p>
              </w:tc>
              <w:tc>
                <w:tcPr>
                  <w:tcW w:w="430" w:type="pct"/>
                  <w:shd w:val="clear" w:color="auto" w:fill="auto"/>
                  <w:vAlign w:val="center"/>
                </w:tcPr>
                <w:p>
                  <w:pPr>
                    <w:widowControl/>
                    <w:wordWrap w:val="0"/>
                    <w:jc w:val="center"/>
                    <w:rPr>
                      <w:rFonts w:hint="eastAsia"/>
                      <w:color w:val="000000"/>
                      <w:kern w:val="0"/>
                      <w:szCs w:val="21"/>
                      <w:highlight w:val="none"/>
                      <w:lang w:val="en-US" w:eastAsia="zh-CN"/>
                    </w:rPr>
                  </w:pPr>
                  <w:r>
                    <w:rPr>
                      <w:rFonts w:hint="eastAsia"/>
                      <w:color w:val="000000"/>
                      <w:kern w:val="0"/>
                      <w:szCs w:val="21"/>
                      <w:highlight w:val="none"/>
                      <w:lang w:val="en-US" w:eastAsia="zh-CN"/>
                    </w:rPr>
                    <w:t>2</w:t>
                  </w:r>
                </w:p>
              </w:tc>
              <w:tc>
                <w:tcPr>
                  <w:tcW w:w="603" w:type="pct"/>
                  <w:shd w:val="clear" w:color="auto" w:fill="auto"/>
                  <w:vAlign w:val="center"/>
                </w:tcPr>
                <w:p>
                  <w:pPr>
                    <w:widowControl/>
                    <w:wordWrap w:val="0"/>
                    <w:jc w:val="center"/>
                    <w:rPr>
                      <w:rFonts w:hint="default"/>
                      <w:color w:val="000000"/>
                      <w:kern w:val="0"/>
                      <w:szCs w:val="21"/>
                      <w:highlight w:val="none"/>
                      <w:lang w:val="en-US" w:eastAsia="zh-CN"/>
                    </w:rPr>
                  </w:pPr>
                  <w:r>
                    <w:rPr>
                      <w:rFonts w:hint="eastAsia"/>
                      <w:color w:val="000000"/>
                      <w:kern w:val="0"/>
                      <w:szCs w:val="21"/>
                      <w:highlight w:val="none"/>
                      <w:lang w:val="en-US" w:eastAsia="zh-CN"/>
                    </w:rPr>
                    <w:t>80</w:t>
                  </w:r>
                </w:p>
              </w:tc>
              <w:tc>
                <w:tcPr>
                  <w:tcW w:w="429" w:type="pct"/>
                  <w:vMerge w:val="continue"/>
                  <w:shd w:val="clear" w:color="auto" w:fill="auto"/>
                  <w:vAlign w:val="center"/>
                </w:tcPr>
                <w:p>
                  <w:pPr>
                    <w:widowControl/>
                    <w:wordWrap w:val="0"/>
                    <w:jc w:val="center"/>
                    <w:rPr>
                      <w:rFonts w:hint="default"/>
                      <w:color w:val="000000"/>
                      <w:kern w:val="0"/>
                      <w:szCs w:val="21"/>
                      <w:highlight w:val="none"/>
                    </w:rPr>
                  </w:pPr>
                </w:p>
              </w:tc>
              <w:tc>
                <w:tcPr>
                  <w:tcW w:w="606" w:type="pct"/>
                  <w:vMerge w:val="continue"/>
                  <w:shd w:val="clear" w:color="auto" w:fill="auto"/>
                  <w:noWrap/>
                  <w:vAlign w:val="center"/>
                </w:tcPr>
                <w:p>
                  <w:pPr>
                    <w:widowControl/>
                    <w:wordWrap w:val="0"/>
                    <w:jc w:val="center"/>
                    <w:rPr>
                      <w:rFonts w:hint="default"/>
                      <w:color w:val="000000"/>
                      <w:kern w:val="0"/>
                      <w:szCs w:val="21"/>
                      <w:highlight w:val="none"/>
                    </w:rPr>
                  </w:pPr>
                </w:p>
              </w:tc>
              <w:tc>
                <w:tcPr>
                  <w:tcW w:w="602" w:type="pct"/>
                  <w:shd w:val="clear" w:color="auto" w:fill="auto"/>
                  <w:vAlign w:val="center"/>
                </w:tcPr>
                <w:p>
                  <w:pPr>
                    <w:widowControl/>
                    <w:wordWrap w:val="0"/>
                    <w:jc w:val="center"/>
                    <w:rPr>
                      <w:rFonts w:hint="eastAsia"/>
                      <w:color w:val="000000"/>
                      <w:kern w:val="0"/>
                      <w:szCs w:val="21"/>
                      <w:highlight w:val="none"/>
                    </w:rPr>
                  </w:pPr>
                  <w:r>
                    <w:rPr>
                      <w:rFonts w:hint="eastAsia"/>
                      <w:color w:val="000000"/>
                      <w:kern w:val="0"/>
                      <w:szCs w:val="21"/>
                      <w:highlight w:val="none"/>
                      <w:lang w:val="en-US" w:eastAsia="zh-CN"/>
                    </w:rPr>
                    <w:t>55</w:t>
                  </w:r>
                </w:p>
              </w:tc>
              <w:tc>
                <w:tcPr>
                  <w:tcW w:w="431" w:type="pct"/>
                  <w:shd w:val="clear" w:color="auto" w:fill="auto"/>
                  <w:vAlign w:val="center"/>
                </w:tcPr>
                <w:p>
                  <w:pPr>
                    <w:widowControl/>
                    <w:wordWrap w:val="0"/>
                    <w:jc w:val="center"/>
                    <w:rPr>
                      <w:rFonts w:hint="eastAsia"/>
                      <w:color w:val="000000"/>
                      <w:kern w:val="0"/>
                      <w:szCs w:val="21"/>
                      <w:highlight w:val="none"/>
                    </w:rPr>
                  </w:pPr>
                  <w:r>
                    <w:rPr>
                      <w:rFonts w:hint="eastAsia"/>
                      <w:color w:val="000000"/>
                      <w:kern w:val="0"/>
                      <w:szCs w:val="21"/>
                      <w:highlight w:val="none"/>
                    </w:rPr>
                    <w:t>0</w:t>
                  </w:r>
                  <w:r>
                    <w:rPr>
                      <w:rFonts w:hint="default"/>
                      <w:color w:val="000000"/>
                      <w:kern w:val="0"/>
                      <w:szCs w:val="21"/>
                      <w:highlight w:val="none"/>
                    </w:rPr>
                    <w:t>-24</w:t>
                  </w:r>
                  <w:r>
                    <w:rPr>
                      <w:rFonts w:hint="eastAsia"/>
                      <w:color w:val="000000"/>
                      <w:kern w:val="0"/>
                      <w:szCs w:val="21"/>
                      <w:highlight w:val="none"/>
                    </w:rPr>
                    <w:t>h</w:t>
                  </w:r>
                </w:p>
              </w:tc>
              <w:tc>
                <w:tcPr>
                  <w:tcW w:w="616" w:type="pct"/>
                  <w:shd w:val="clear" w:color="auto" w:fill="auto"/>
                  <w:vAlign w:val="center"/>
                </w:tcPr>
                <w:p>
                  <w:pPr>
                    <w:widowControl/>
                    <w:wordWrap w:val="0"/>
                    <w:jc w:val="center"/>
                    <w:rPr>
                      <w:rFonts w:hint="default"/>
                      <w:color w:val="000000"/>
                      <w:kern w:val="0"/>
                      <w:szCs w:val="21"/>
                      <w:highlight w:val="none"/>
                    </w:rPr>
                  </w:pPr>
                  <w:r>
                    <w:rPr>
                      <w:rFonts w:hint="eastAsia"/>
                      <w:color w:val="000000"/>
                      <w:kern w:val="0"/>
                      <w:szCs w:val="21"/>
                      <w:highlight w:val="none"/>
                      <w:lang w:val="en-US" w:eastAsia="zh-CN"/>
                    </w:rPr>
                    <w:t>5</w:t>
                  </w:r>
                  <w:r>
                    <w:rPr>
                      <w:rFonts w:hint="default"/>
                      <w:color w:val="000000"/>
                      <w:kern w:val="0"/>
                      <w:szCs w:val="21"/>
                      <w:highlight w:val="none"/>
                    </w:rPr>
                    <w:t>（</w:t>
                  </w:r>
                  <w:r>
                    <w:rPr>
                      <w:rFonts w:hint="eastAsia"/>
                      <w:color w:val="000000"/>
                      <w:kern w:val="0"/>
                      <w:szCs w:val="21"/>
                      <w:highlight w:val="none"/>
                      <w:lang w:val="en-US" w:eastAsia="zh-CN"/>
                    </w:rPr>
                    <w:t>S</w:t>
                  </w:r>
                  <w:r>
                    <w:rPr>
                      <w:rFonts w:hint="default"/>
                      <w:color w:val="000000"/>
                      <w:kern w:val="0"/>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4" w:type="pct"/>
                  <w:shd w:val="clear" w:color="auto" w:fill="auto"/>
                  <w:vAlign w:val="center"/>
                </w:tcPr>
                <w:p>
                  <w:pPr>
                    <w:widowControl/>
                    <w:wordWrap w:val="0"/>
                    <w:jc w:val="center"/>
                    <w:rPr>
                      <w:rFonts w:hint="default"/>
                      <w:color w:val="000000"/>
                      <w:kern w:val="0"/>
                      <w:szCs w:val="21"/>
                      <w:highlight w:val="none"/>
                      <w:lang w:val="en-US" w:eastAsia="zh-CN"/>
                    </w:rPr>
                  </w:pPr>
                  <w:r>
                    <w:rPr>
                      <w:rFonts w:hint="eastAsia"/>
                      <w:color w:val="000000"/>
                      <w:kern w:val="0"/>
                      <w:szCs w:val="21"/>
                      <w:highlight w:val="none"/>
                      <w:lang w:val="en-US" w:eastAsia="zh-CN"/>
                    </w:rPr>
                    <w:t>12</w:t>
                  </w:r>
                </w:p>
              </w:tc>
              <w:tc>
                <w:tcPr>
                  <w:tcW w:w="1035" w:type="pct"/>
                  <w:shd w:val="clear" w:color="auto" w:fill="auto"/>
                  <w:vAlign w:val="center"/>
                </w:tcPr>
                <w:p>
                  <w:pPr>
                    <w:widowControl/>
                    <w:wordWrap w:val="0"/>
                    <w:jc w:val="center"/>
                    <w:rPr>
                      <w:rFonts w:hint="eastAsia"/>
                      <w:color w:val="000000"/>
                      <w:kern w:val="0"/>
                      <w:szCs w:val="21"/>
                      <w:highlight w:val="none"/>
                      <w:lang w:val="en-US" w:eastAsia="zh-CN"/>
                    </w:rPr>
                  </w:pPr>
                  <w:r>
                    <w:rPr>
                      <w:rFonts w:hint="eastAsia"/>
                      <w:color w:val="000000"/>
                      <w:kern w:val="0"/>
                      <w:szCs w:val="21"/>
                      <w:highlight w:val="none"/>
                    </w:rPr>
                    <w:t>磨床</w:t>
                  </w:r>
                </w:p>
              </w:tc>
              <w:tc>
                <w:tcPr>
                  <w:tcW w:w="430" w:type="pct"/>
                  <w:shd w:val="clear" w:color="auto" w:fill="auto"/>
                  <w:vAlign w:val="center"/>
                </w:tcPr>
                <w:p>
                  <w:pPr>
                    <w:widowControl/>
                    <w:wordWrap w:val="0"/>
                    <w:jc w:val="center"/>
                    <w:rPr>
                      <w:rFonts w:hint="eastAsia"/>
                      <w:color w:val="000000"/>
                      <w:kern w:val="0"/>
                      <w:szCs w:val="21"/>
                      <w:highlight w:val="none"/>
                      <w:lang w:val="en-US" w:eastAsia="zh-CN"/>
                    </w:rPr>
                  </w:pPr>
                  <w:r>
                    <w:rPr>
                      <w:rFonts w:hint="eastAsia"/>
                      <w:color w:val="000000"/>
                      <w:kern w:val="0"/>
                      <w:szCs w:val="21"/>
                      <w:highlight w:val="none"/>
                      <w:lang w:val="en-US" w:eastAsia="zh-CN"/>
                    </w:rPr>
                    <w:t>2</w:t>
                  </w:r>
                </w:p>
              </w:tc>
              <w:tc>
                <w:tcPr>
                  <w:tcW w:w="603" w:type="pct"/>
                  <w:shd w:val="clear" w:color="auto" w:fill="auto"/>
                  <w:vAlign w:val="center"/>
                </w:tcPr>
                <w:p>
                  <w:pPr>
                    <w:widowControl/>
                    <w:wordWrap w:val="0"/>
                    <w:jc w:val="center"/>
                    <w:rPr>
                      <w:rFonts w:hint="default"/>
                      <w:color w:val="000000"/>
                      <w:kern w:val="0"/>
                      <w:szCs w:val="21"/>
                      <w:highlight w:val="none"/>
                      <w:lang w:val="en-US" w:eastAsia="zh-CN"/>
                    </w:rPr>
                  </w:pPr>
                  <w:r>
                    <w:rPr>
                      <w:rFonts w:hint="eastAsia"/>
                      <w:color w:val="000000"/>
                      <w:kern w:val="0"/>
                      <w:szCs w:val="21"/>
                      <w:highlight w:val="none"/>
                      <w:lang w:val="en-US" w:eastAsia="zh-CN"/>
                    </w:rPr>
                    <w:t>80</w:t>
                  </w:r>
                </w:p>
              </w:tc>
              <w:tc>
                <w:tcPr>
                  <w:tcW w:w="429" w:type="pct"/>
                  <w:vMerge w:val="continue"/>
                  <w:shd w:val="clear" w:color="auto" w:fill="auto"/>
                  <w:vAlign w:val="center"/>
                </w:tcPr>
                <w:p>
                  <w:pPr>
                    <w:widowControl/>
                    <w:wordWrap w:val="0"/>
                    <w:jc w:val="center"/>
                    <w:rPr>
                      <w:rFonts w:hint="default"/>
                      <w:color w:val="000000"/>
                      <w:kern w:val="0"/>
                      <w:szCs w:val="21"/>
                      <w:highlight w:val="none"/>
                    </w:rPr>
                  </w:pPr>
                </w:p>
              </w:tc>
              <w:tc>
                <w:tcPr>
                  <w:tcW w:w="606" w:type="pct"/>
                  <w:vMerge w:val="continue"/>
                  <w:shd w:val="clear" w:color="auto" w:fill="auto"/>
                  <w:noWrap/>
                  <w:vAlign w:val="center"/>
                </w:tcPr>
                <w:p>
                  <w:pPr>
                    <w:widowControl/>
                    <w:wordWrap w:val="0"/>
                    <w:jc w:val="center"/>
                    <w:rPr>
                      <w:rFonts w:hint="default"/>
                      <w:color w:val="000000"/>
                      <w:kern w:val="0"/>
                      <w:szCs w:val="21"/>
                      <w:highlight w:val="none"/>
                    </w:rPr>
                  </w:pPr>
                </w:p>
              </w:tc>
              <w:tc>
                <w:tcPr>
                  <w:tcW w:w="602" w:type="pct"/>
                  <w:shd w:val="clear" w:color="auto" w:fill="auto"/>
                  <w:vAlign w:val="center"/>
                </w:tcPr>
                <w:p>
                  <w:pPr>
                    <w:widowControl/>
                    <w:wordWrap w:val="0"/>
                    <w:jc w:val="center"/>
                    <w:rPr>
                      <w:rFonts w:hint="eastAsia"/>
                      <w:color w:val="000000"/>
                      <w:kern w:val="0"/>
                      <w:szCs w:val="21"/>
                      <w:highlight w:val="none"/>
                    </w:rPr>
                  </w:pPr>
                  <w:r>
                    <w:rPr>
                      <w:rFonts w:hint="eastAsia"/>
                      <w:color w:val="000000"/>
                      <w:kern w:val="0"/>
                      <w:szCs w:val="21"/>
                      <w:highlight w:val="none"/>
                      <w:lang w:val="en-US" w:eastAsia="zh-CN"/>
                    </w:rPr>
                    <w:t>55</w:t>
                  </w:r>
                </w:p>
              </w:tc>
              <w:tc>
                <w:tcPr>
                  <w:tcW w:w="431" w:type="pct"/>
                  <w:shd w:val="clear" w:color="auto" w:fill="auto"/>
                  <w:vAlign w:val="center"/>
                </w:tcPr>
                <w:p>
                  <w:pPr>
                    <w:widowControl/>
                    <w:wordWrap w:val="0"/>
                    <w:jc w:val="center"/>
                    <w:rPr>
                      <w:rFonts w:hint="eastAsia"/>
                      <w:color w:val="000000"/>
                      <w:kern w:val="0"/>
                      <w:szCs w:val="21"/>
                      <w:highlight w:val="none"/>
                    </w:rPr>
                  </w:pPr>
                  <w:r>
                    <w:rPr>
                      <w:rFonts w:hint="eastAsia"/>
                      <w:color w:val="000000"/>
                      <w:kern w:val="0"/>
                      <w:szCs w:val="21"/>
                      <w:highlight w:val="none"/>
                    </w:rPr>
                    <w:t>0</w:t>
                  </w:r>
                  <w:r>
                    <w:rPr>
                      <w:rFonts w:hint="default"/>
                      <w:color w:val="000000"/>
                      <w:kern w:val="0"/>
                      <w:szCs w:val="21"/>
                      <w:highlight w:val="none"/>
                    </w:rPr>
                    <w:t>-24</w:t>
                  </w:r>
                  <w:r>
                    <w:rPr>
                      <w:rFonts w:hint="eastAsia"/>
                      <w:color w:val="000000"/>
                      <w:kern w:val="0"/>
                      <w:szCs w:val="21"/>
                      <w:highlight w:val="none"/>
                    </w:rPr>
                    <w:t>h</w:t>
                  </w:r>
                </w:p>
              </w:tc>
              <w:tc>
                <w:tcPr>
                  <w:tcW w:w="616" w:type="pct"/>
                  <w:shd w:val="clear" w:color="auto" w:fill="auto"/>
                  <w:vAlign w:val="center"/>
                </w:tcPr>
                <w:p>
                  <w:pPr>
                    <w:widowControl/>
                    <w:wordWrap w:val="0"/>
                    <w:jc w:val="center"/>
                    <w:rPr>
                      <w:rFonts w:hint="default"/>
                      <w:color w:val="000000"/>
                      <w:kern w:val="0"/>
                      <w:szCs w:val="21"/>
                      <w:highlight w:val="none"/>
                    </w:rPr>
                  </w:pPr>
                  <w:r>
                    <w:rPr>
                      <w:rFonts w:hint="default"/>
                      <w:color w:val="000000"/>
                      <w:kern w:val="0"/>
                      <w:szCs w:val="21"/>
                      <w:highlight w:val="none"/>
                    </w:rPr>
                    <w:t>5（N）</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4" w:type="pct"/>
                  <w:shd w:val="clear" w:color="auto" w:fill="auto"/>
                  <w:vAlign w:val="center"/>
                </w:tcPr>
                <w:p>
                  <w:pPr>
                    <w:widowControl/>
                    <w:wordWrap w:val="0"/>
                    <w:jc w:val="center"/>
                    <w:rPr>
                      <w:rFonts w:hint="default"/>
                      <w:color w:val="000000"/>
                      <w:kern w:val="0"/>
                      <w:szCs w:val="21"/>
                      <w:highlight w:val="none"/>
                      <w:lang w:val="en-US" w:eastAsia="zh-CN"/>
                    </w:rPr>
                  </w:pPr>
                  <w:r>
                    <w:rPr>
                      <w:rFonts w:hint="eastAsia"/>
                      <w:color w:val="000000"/>
                      <w:kern w:val="0"/>
                      <w:szCs w:val="21"/>
                      <w:highlight w:val="none"/>
                      <w:lang w:val="en-US" w:eastAsia="zh-CN"/>
                    </w:rPr>
                    <w:t>13</w:t>
                  </w:r>
                </w:p>
              </w:tc>
              <w:tc>
                <w:tcPr>
                  <w:tcW w:w="1035" w:type="pct"/>
                  <w:shd w:val="clear" w:color="auto" w:fill="auto"/>
                  <w:vAlign w:val="center"/>
                </w:tcPr>
                <w:p>
                  <w:pPr>
                    <w:widowControl/>
                    <w:wordWrap w:val="0"/>
                    <w:jc w:val="center"/>
                    <w:rPr>
                      <w:rFonts w:hint="eastAsia"/>
                      <w:color w:val="000000"/>
                      <w:kern w:val="0"/>
                      <w:szCs w:val="21"/>
                      <w:highlight w:val="none"/>
                      <w:lang w:val="en-US" w:eastAsia="zh-CN"/>
                    </w:rPr>
                  </w:pPr>
                  <w:r>
                    <w:rPr>
                      <w:rFonts w:hint="eastAsia"/>
                      <w:color w:val="000000"/>
                      <w:kern w:val="0"/>
                      <w:szCs w:val="21"/>
                      <w:highlight w:val="none"/>
                    </w:rPr>
                    <w:t>印刷机</w:t>
                  </w:r>
                </w:p>
              </w:tc>
              <w:tc>
                <w:tcPr>
                  <w:tcW w:w="430" w:type="pct"/>
                  <w:shd w:val="clear" w:color="auto" w:fill="auto"/>
                  <w:vAlign w:val="center"/>
                </w:tcPr>
                <w:p>
                  <w:pPr>
                    <w:widowControl/>
                    <w:wordWrap w:val="0"/>
                    <w:jc w:val="center"/>
                    <w:rPr>
                      <w:rFonts w:hint="eastAsia"/>
                      <w:color w:val="000000"/>
                      <w:kern w:val="0"/>
                      <w:szCs w:val="21"/>
                      <w:highlight w:val="none"/>
                      <w:lang w:val="en-US" w:eastAsia="zh-CN"/>
                    </w:rPr>
                  </w:pPr>
                  <w:r>
                    <w:rPr>
                      <w:rFonts w:hint="eastAsia"/>
                      <w:color w:val="000000"/>
                      <w:kern w:val="0"/>
                      <w:szCs w:val="21"/>
                      <w:highlight w:val="none"/>
                      <w:lang w:val="en-US" w:eastAsia="zh-CN"/>
                    </w:rPr>
                    <w:t>2</w:t>
                  </w:r>
                </w:p>
              </w:tc>
              <w:tc>
                <w:tcPr>
                  <w:tcW w:w="603" w:type="pct"/>
                  <w:shd w:val="clear" w:color="auto" w:fill="auto"/>
                  <w:vAlign w:val="center"/>
                </w:tcPr>
                <w:p>
                  <w:pPr>
                    <w:widowControl/>
                    <w:wordWrap w:val="0"/>
                    <w:jc w:val="center"/>
                    <w:rPr>
                      <w:rFonts w:hint="default"/>
                      <w:color w:val="000000"/>
                      <w:kern w:val="0"/>
                      <w:szCs w:val="21"/>
                      <w:highlight w:val="none"/>
                      <w:lang w:val="en-US" w:eastAsia="zh-CN"/>
                    </w:rPr>
                  </w:pPr>
                  <w:r>
                    <w:rPr>
                      <w:rFonts w:hint="eastAsia"/>
                      <w:color w:val="000000"/>
                      <w:kern w:val="0"/>
                      <w:szCs w:val="21"/>
                      <w:highlight w:val="none"/>
                      <w:lang w:val="en-US" w:eastAsia="zh-CN"/>
                    </w:rPr>
                    <w:t>70</w:t>
                  </w:r>
                </w:p>
              </w:tc>
              <w:tc>
                <w:tcPr>
                  <w:tcW w:w="429" w:type="pct"/>
                  <w:vMerge w:val="continue"/>
                  <w:shd w:val="clear" w:color="auto" w:fill="auto"/>
                  <w:vAlign w:val="center"/>
                </w:tcPr>
                <w:p>
                  <w:pPr>
                    <w:widowControl/>
                    <w:wordWrap w:val="0"/>
                    <w:jc w:val="center"/>
                    <w:rPr>
                      <w:rFonts w:hint="default"/>
                      <w:color w:val="000000"/>
                      <w:kern w:val="0"/>
                      <w:szCs w:val="21"/>
                      <w:highlight w:val="none"/>
                    </w:rPr>
                  </w:pPr>
                </w:p>
              </w:tc>
              <w:tc>
                <w:tcPr>
                  <w:tcW w:w="606" w:type="pct"/>
                  <w:vMerge w:val="continue"/>
                  <w:shd w:val="clear" w:color="auto" w:fill="auto"/>
                  <w:noWrap/>
                  <w:vAlign w:val="center"/>
                </w:tcPr>
                <w:p>
                  <w:pPr>
                    <w:widowControl/>
                    <w:wordWrap w:val="0"/>
                    <w:jc w:val="center"/>
                    <w:rPr>
                      <w:rFonts w:hint="default"/>
                      <w:color w:val="000000"/>
                      <w:kern w:val="0"/>
                      <w:szCs w:val="21"/>
                      <w:highlight w:val="none"/>
                    </w:rPr>
                  </w:pPr>
                </w:p>
              </w:tc>
              <w:tc>
                <w:tcPr>
                  <w:tcW w:w="602" w:type="pct"/>
                  <w:shd w:val="clear" w:color="auto" w:fill="auto"/>
                  <w:vAlign w:val="center"/>
                </w:tcPr>
                <w:p>
                  <w:pPr>
                    <w:widowControl/>
                    <w:wordWrap w:val="0"/>
                    <w:jc w:val="center"/>
                    <w:rPr>
                      <w:rFonts w:hint="default"/>
                      <w:color w:val="000000"/>
                      <w:kern w:val="0"/>
                      <w:szCs w:val="21"/>
                      <w:highlight w:val="none"/>
                      <w:lang w:val="en-US" w:eastAsia="zh-CN"/>
                    </w:rPr>
                  </w:pPr>
                  <w:r>
                    <w:rPr>
                      <w:rFonts w:hint="eastAsia"/>
                      <w:color w:val="000000"/>
                      <w:kern w:val="0"/>
                      <w:szCs w:val="21"/>
                      <w:highlight w:val="none"/>
                      <w:lang w:val="en-US" w:eastAsia="zh-CN"/>
                    </w:rPr>
                    <w:t>45</w:t>
                  </w:r>
                </w:p>
              </w:tc>
              <w:tc>
                <w:tcPr>
                  <w:tcW w:w="431" w:type="pct"/>
                  <w:shd w:val="clear" w:color="auto" w:fill="auto"/>
                  <w:vAlign w:val="center"/>
                </w:tcPr>
                <w:p>
                  <w:pPr>
                    <w:widowControl/>
                    <w:wordWrap w:val="0"/>
                    <w:jc w:val="center"/>
                    <w:rPr>
                      <w:rFonts w:hint="eastAsia"/>
                      <w:color w:val="000000"/>
                      <w:kern w:val="0"/>
                      <w:szCs w:val="21"/>
                      <w:highlight w:val="none"/>
                    </w:rPr>
                  </w:pPr>
                  <w:r>
                    <w:rPr>
                      <w:rFonts w:hint="eastAsia"/>
                      <w:color w:val="000000"/>
                      <w:kern w:val="0"/>
                      <w:szCs w:val="21"/>
                      <w:highlight w:val="none"/>
                    </w:rPr>
                    <w:t>0</w:t>
                  </w:r>
                  <w:r>
                    <w:rPr>
                      <w:rFonts w:hint="default"/>
                      <w:color w:val="000000"/>
                      <w:kern w:val="0"/>
                      <w:szCs w:val="21"/>
                      <w:highlight w:val="none"/>
                    </w:rPr>
                    <w:t>-24</w:t>
                  </w:r>
                  <w:r>
                    <w:rPr>
                      <w:rFonts w:hint="eastAsia"/>
                      <w:color w:val="000000"/>
                      <w:kern w:val="0"/>
                      <w:szCs w:val="21"/>
                      <w:highlight w:val="none"/>
                    </w:rPr>
                    <w:t>h</w:t>
                  </w:r>
                </w:p>
              </w:tc>
              <w:tc>
                <w:tcPr>
                  <w:tcW w:w="616" w:type="pct"/>
                  <w:shd w:val="clear" w:color="auto" w:fill="auto"/>
                  <w:vAlign w:val="center"/>
                </w:tcPr>
                <w:p>
                  <w:pPr>
                    <w:widowControl/>
                    <w:wordWrap w:val="0"/>
                    <w:jc w:val="center"/>
                    <w:rPr>
                      <w:rFonts w:hint="default"/>
                      <w:color w:val="000000"/>
                      <w:kern w:val="0"/>
                      <w:szCs w:val="21"/>
                      <w:highlight w:val="none"/>
                    </w:rPr>
                  </w:pPr>
                  <w:r>
                    <w:rPr>
                      <w:rFonts w:hint="default"/>
                      <w:color w:val="000000"/>
                      <w:kern w:val="0"/>
                      <w:szCs w:val="21"/>
                      <w:highlight w:val="none"/>
                    </w:rPr>
                    <w:t>5（N）</w:t>
                  </w:r>
                </w:p>
              </w:tc>
            </w:tr>
          </w:tbl>
          <w:p>
            <w:pPr>
              <w:spacing w:line="360" w:lineRule="auto"/>
              <w:ind w:firstLine="482" w:firstLineChars="200"/>
              <w:rPr>
                <w:b/>
                <w:bCs/>
                <w:sz w:val="24"/>
                <w:highlight w:val="none"/>
              </w:rPr>
            </w:pPr>
            <w:r>
              <w:rPr>
                <w:b/>
                <w:bCs/>
                <w:sz w:val="24"/>
                <w:highlight w:val="none"/>
              </w:rPr>
              <w:t>（2）噪声治理措施以及可行性分析</w:t>
            </w:r>
          </w:p>
          <w:p>
            <w:pPr>
              <w:spacing w:line="360" w:lineRule="auto"/>
              <w:ind w:firstLine="480" w:firstLineChars="200"/>
              <w:rPr>
                <w:sz w:val="24"/>
                <w:highlight w:val="none"/>
              </w:rPr>
            </w:pPr>
            <w:r>
              <w:rPr>
                <w:sz w:val="24"/>
                <w:highlight w:val="none"/>
              </w:rPr>
              <w:t>采取的具体措施如下：</w:t>
            </w:r>
          </w:p>
          <w:p>
            <w:pPr>
              <w:spacing w:line="360" w:lineRule="auto"/>
              <w:ind w:firstLine="480" w:firstLineChars="200"/>
              <w:rPr>
                <w:rFonts w:hint="eastAsia"/>
                <w:sz w:val="24"/>
                <w:szCs w:val="21"/>
                <w:highlight w:val="none"/>
              </w:rPr>
            </w:pPr>
            <w:r>
              <w:rPr>
                <w:rFonts w:hint="eastAsia"/>
                <w:sz w:val="24"/>
                <w:szCs w:val="21"/>
                <w:highlight w:val="none"/>
              </w:rPr>
              <w:t>选用低噪声设备，同时在安装过程中采取了隔声、减振措施；</w:t>
            </w:r>
          </w:p>
          <w:p>
            <w:pPr>
              <w:spacing w:line="360" w:lineRule="auto"/>
              <w:ind w:firstLine="480" w:firstLineChars="200"/>
              <w:rPr>
                <w:rFonts w:hint="eastAsia"/>
                <w:sz w:val="24"/>
                <w:szCs w:val="21"/>
                <w:highlight w:val="none"/>
              </w:rPr>
            </w:pPr>
            <w:r>
              <w:rPr>
                <w:rFonts w:hint="eastAsia"/>
                <w:sz w:val="24"/>
                <w:szCs w:val="21"/>
                <w:highlight w:val="none"/>
              </w:rPr>
              <w:t>合理布局，通过距离衰减降低对厂界的影响。</w:t>
            </w:r>
          </w:p>
          <w:p>
            <w:pPr>
              <w:spacing w:line="360" w:lineRule="auto"/>
              <w:ind w:firstLine="480" w:firstLineChars="200"/>
              <w:rPr>
                <w:rFonts w:hint="eastAsia"/>
                <w:sz w:val="24"/>
                <w:szCs w:val="21"/>
                <w:highlight w:val="none"/>
              </w:rPr>
            </w:pPr>
            <w:r>
              <w:rPr>
                <w:rFonts w:hint="eastAsia"/>
                <w:sz w:val="24"/>
                <w:szCs w:val="21"/>
                <w:highlight w:val="none"/>
              </w:rPr>
              <w:t>此外，本项目为不属于以噪声污染为主的工业企业，且采用的治理措施可行，并广泛应用于各行业的减噪领域，通过采用以上降低噪声源强及控制噪声声波传播途径、合理安排作业时间等噪声防治措施，能确保厂界噪声达到《声环境质量标准》（GB3096-2008）3类标准。治理措施可行，对周边环境影响较小。</w:t>
            </w:r>
          </w:p>
          <w:p>
            <w:pPr>
              <w:spacing w:line="360" w:lineRule="auto"/>
              <w:ind w:firstLine="482" w:firstLineChars="200"/>
              <w:rPr>
                <w:b/>
                <w:bCs/>
                <w:sz w:val="24"/>
                <w:highlight w:val="none"/>
              </w:rPr>
            </w:pPr>
            <w:r>
              <w:rPr>
                <w:b/>
                <w:bCs/>
                <w:sz w:val="24"/>
                <w:highlight w:val="none"/>
              </w:rPr>
              <w:t>（3）监测要求</w:t>
            </w:r>
          </w:p>
          <w:p>
            <w:pPr>
              <w:autoSpaceDE w:val="0"/>
              <w:autoSpaceDN w:val="0"/>
              <w:jc w:val="center"/>
              <w:rPr>
                <w:b/>
                <w:sz w:val="24"/>
                <w:szCs w:val="21"/>
                <w:highlight w:val="none"/>
              </w:rPr>
            </w:pPr>
            <w:r>
              <w:rPr>
                <w:b/>
                <w:sz w:val="24"/>
                <w:szCs w:val="21"/>
                <w:highlight w:val="none"/>
              </w:rPr>
              <w:t>表4-6  噪声自行监测计划一览表</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293"/>
              <w:gridCol w:w="1056"/>
              <w:gridCol w:w="53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6" w:type="pct"/>
                  <w:tcBorders>
                    <w:tl2br w:val="nil"/>
                    <w:tr2bl w:val="nil"/>
                  </w:tcBorders>
                  <w:noWrap/>
                  <w:vAlign w:val="bottom"/>
                </w:tcPr>
                <w:p>
                  <w:pPr>
                    <w:widowControl/>
                    <w:jc w:val="center"/>
                    <w:rPr>
                      <w:b/>
                      <w:bCs/>
                      <w:kern w:val="0"/>
                      <w:szCs w:val="21"/>
                      <w:highlight w:val="none"/>
                    </w:rPr>
                  </w:pPr>
                  <w:r>
                    <w:rPr>
                      <w:b/>
                      <w:bCs/>
                      <w:kern w:val="0"/>
                      <w:szCs w:val="21"/>
                      <w:highlight w:val="none"/>
                    </w:rPr>
                    <w:t>监测点位</w:t>
                  </w:r>
                </w:p>
              </w:tc>
              <w:tc>
                <w:tcPr>
                  <w:tcW w:w="731" w:type="pct"/>
                  <w:tcBorders>
                    <w:tl2br w:val="nil"/>
                    <w:tr2bl w:val="nil"/>
                  </w:tcBorders>
                  <w:noWrap/>
                  <w:vAlign w:val="bottom"/>
                </w:tcPr>
                <w:p>
                  <w:pPr>
                    <w:widowControl/>
                    <w:jc w:val="center"/>
                    <w:rPr>
                      <w:b/>
                      <w:bCs/>
                      <w:kern w:val="0"/>
                      <w:szCs w:val="21"/>
                      <w:highlight w:val="none"/>
                    </w:rPr>
                  </w:pPr>
                  <w:r>
                    <w:rPr>
                      <w:b/>
                      <w:bCs/>
                      <w:kern w:val="0"/>
                      <w:szCs w:val="21"/>
                      <w:highlight w:val="none"/>
                    </w:rPr>
                    <w:t>监测因子</w:t>
                  </w:r>
                </w:p>
              </w:tc>
              <w:tc>
                <w:tcPr>
                  <w:tcW w:w="597" w:type="pct"/>
                  <w:tcBorders>
                    <w:tl2br w:val="nil"/>
                    <w:tr2bl w:val="nil"/>
                  </w:tcBorders>
                  <w:noWrap/>
                  <w:vAlign w:val="bottom"/>
                </w:tcPr>
                <w:p>
                  <w:pPr>
                    <w:widowControl/>
                    <w:jc w:val="center"/>
                    <w:rPr>
                      <w:b/>
                      <w:bCs/>
                      <w:kern w:val="0"/>
                      <w:szCs w:val="21"/>
                      <w:highlight w:val="none"/>
                    </w:rPr>
                  </w:pPr>
                  <w:r>
                    <w:rPr>
                      <w:b/>
                      <w:bCs/>
                      <w:kern w:val="0"/>
                      <w:szCs w:val="21"/>
                      <w:highlight w:val="none"/>
                    </w:rPr>
                    <w:t>监测频次</w:t>
                  </w:r>
                </w:p>
              </w:tc>
              <w:tc>
                <w:tcPr>
                  <w:tcW w:w="3017" w:type="pct"/>
                  <w:tcBorders>
                    <w:tl2br w:val="nil"/>
                    <w:tr2bl w:val="nil"/>
                  </w:tcBorders>
                  <w:noWrap/>
                  <w:vAlign w:val="bottom"/>
                </w:tcPr>
                <w:p>
                  <w:pPr>
                    <w:widowControl/>
                    <w:jc w:val="center"/>
                    <w:rPr>
                      <w:b/>
                      <w:bCs/>
                      <w:kern w:val="0"/>
                      <w:szCs w:val="21"/>
                      <w:highlight w:val="none"/>
                    </w:rPr>
                  </w:pPr>
                  <w:r>
                    <w:rPr>
                      <w:b/>
                      <w:bCs/>
                      <w:kern w:val="0"/>
                      <w:szCs w:val="21"/>
                      <w:highlight w:val="none"/>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6" w:type="pct"/>
                  <w:tcBorders>
                    <w:tl2br w:val="nil"/>
                    <w:tr2bl w:val="nil"/>
                  </w:tcBorders>
                  <w:noWrap/>
                  <w:vAlign w:val="center"/>
                </w:tcPr>
                <w:p>
                  <w:pPr>
                    <w:widowControl/>
                    <w:jc w:val="center"/>
                    <w:rPr>
                      <w:kern w:val="0"/>
                      <w:szCs w:val="21"/>
                      <w:highlight w:val="none"/>
                    </w:rPr>
                  </w:pPr>
                  <w:r>
                    <w:rPr>
                      <w:kern w:val="0"/>
                      <w:szCs w:val="21"/>
                      <w:highlight w:val="none"/>
                    </w:rPr>
                    <w:t>边界</w:t>
                  </w:r>
                </w:p>
              </w:tc>
              <w:tc>
                <w:tcPr>
                  <w:tcW w:w="731" w:type="pct"/>
                  <w:tcBorders>
                    <w:tl2br w:val="nil"/>
                    <w:tr2bl w:val="nil"/>
                  </w:tcBorders>
                  <w:noWrap/>
                  <w:vAlign w:val="center"/>
                </w:tcPr>
                <w:p>
                  <w:pPr>
                    <w:widowControl/>
                    <w:jc w:val="center"/>
                    <w:rPr>
                      <w:kern w:val="0"/>
                      <w:szCs w:val="21"/>
                      <w:highlight w:val="none"/>
                    </w:rPr>
                  </w:pPr>
                  <w:r>
                    <w:rPr>
                      <w:kern w:val="0"/>
                      <w:szCs w:val="21"/>
                      <w:highlight w:val="none"/>
                    </w:rPr>
                    <w:t>等效A声级</w:t>
                  </w:r>
                </w:p>
              </w:tc>
              <w:tc>
                <w:tcPr>
                  <w:tcW w:w="597" w:type="pct"/>
                  <w:tcBorders>
                    <w:tl2br w:val="nil"/>
                    <w:tr2bl w:val="nil"/>
                  </w:tcBorders>
                  <w:noWrap/>
                  <w:vAlign w:val="center"/>
                </w:tcPr>
                <w:p>
                  <w:pPr>
                    <w:widowControl/>
                    <w:jc w:val="center"/>
                    <w:rPr>
                      <w:kern w:val="0"/>
                      <w:szCs w:val="21"/>
                      <w:highlight w:val="none"/>
                    </w:rPr>
                  </w:pPr>
                  <w:r>
                    <w:rPr>
                      <w:kern w:val="0"/>
                      <w:szCs w:val="21"/>
                      <w:highlight w:val="none"/>
                    </w:rPr>
                    <w:t>每季度</w:t>
                  </w:r>
                </w:p>
              </w:tc>
              <w:tc>
                <w:tcPr>
                  <w:tcW w:w="3017" w:type="pct"/>
                  <w:tcBorders>
                    <w:tl2br w:val="nil"/>
                    <w:tr2bl w:val="nil"/>
                  </w:tcBorders>
                  <w:noWrap/>
                  <w:vAlign w:val="center"/>
                </w:tcPr>
                <w:p>
                  <w:pPr>
                    <w:widowControl/>
                    <w:jc w:val="center"/>
                    <w:rPr>
                      <w:kern w:val="0"/>
                      <w:szCs w:val="21"/>
                      <w:highlight w:val="none"/>
                    </w:rPr>
                  </w:pPr>
                  <w:r>
                    <w:rPr>
                      <w:rFonts w:hint="eastAsia"/>
                      <w:kern w:val="0"/>
                      <w:szCs w:val="21"/>
                      <w:highlight w:val="none"/>
                    </w:rPr>
                    <w:t>《工业企业厂界环境噪声排放标准》（GB12348-2008）3类</w:t>
                  </w:r>
                </w:p>
              </w:tc>
            </w:tr>
          </w:tbl>
          <w:p>
            <w:pPr>
              <w:spacing w:line="360" w:lineRule="auto"/>
              <w:ind w:firstLine="482" w:firstLineChars="200"/>
              <w:rPr>
                <w:b/>
                <w:bCs/>
                <w:sz w:val="24"/>
                <w:highlight w:val="none"/>
              </w:rPr>
            </w:pPr>
            <w:r>
              <w:rPr>
                <w:b/>
                <w:bCs/>
                <w:sz w:val="24"/>
                <w:highlight w:val="none"/>
              </w:rPr>
              <w:t>4、固体废物</w:t>
            </w:r>
          </w:p>
          <w:p>
            <w:pPr>
              <w:spacing w:line="360" w:lineRule="auto"/>
              <w:ind w:firstLine="482" w:firstLineChars="200"/>
              <w:rPr>
                <w:b/>
                <w:bCs/>
                <w:sz w:val="24"/>
                <w:highlight w:val="none"/>
              </w:rPr>
            </w:pPr>
            <w:r>
              <w:rPr>
                <w:b/>
                <w:bCs/>
                <w:sz w:val="24"/>
                <w:highlight w:val="none"/>
              </w:rPr>
              <w:t>（1）副产物产生情况</w:t>
            </w:r>
          </w:p>
          <w:p>
            <w:pPr>
              <w:spacing w:line="360" w:lineRule="auto"/>
              <w:ind w:firstLine="480" w:firstLineChars="200"/>
              <w:rPr>
                <w:sz w:val="24"/>
                <w:highlight w:val="none"/>
              </w:rPr>
            </w:pPr>
            <w:r>
              <w:rPr>
                <w:rFonts w:hint="eastAsia"/>
                <w:sz w:val="24"/>
                <w:highlight w:val="none"/>
              </w:rPr>
              <w:t>本项目产生的固废有：</w:t>
            </w:r>
            <w:r>
              <w:rPr>
                <w:rFonts w:hint="eastAsia"/>
                <w:sz w:val="24"/>
                <w:highlight w:val="none"/>
                <w:lang w:val="en-US" w:eastAsia="zh-CN"/>
              </w:rPr>
              <w:t>废包装、废边角料、废活性炭、废切削液、废油墨、废油墨桶和生活垃圾</w:t>
            </w:r>
            <w:r>
              <w:rPr>
                <w:rFonts w:hint="eastAsia"/>
                <w:sz w:val="24"/>
                <w:highlight w:val="none"/>
              </w:rPr>
              <w:t>。</w:t>
            </w:r>
          </w:p>
          <w:p>
            <w:pPr>
              <w:adjustRightInd w:val="0"/>
              <w:spacing w:line="360" w:lineRule="auto"/>
              <w:ind w:firstLine="600" w:firstLineChars="250"/>
              <w:textAlignment w:val="baseline"/>
              <w:rPr>
                <w:rFonts w:hint="eastAsia"/>
                <w:sz w:val="24"/>
                <w:highlight w:val="none"/>
                <w:lang w:val="en-US" w:eastAsia="zh-CN"/>
              </w:rPr>
            </w:pPr>
            <w:r>
              <w:rPr>
                <w:rFonts w:hint="eastAsia"/>
                <w:sz w:val="24"/>
                <w:highlight w:val="none"/>
                <w:lang w:val="en-US" w:eastAsia="zh-CN"/>
              </w:rPr>
              <w:t>①废包装：据企业提供，约2t/a，存放在临时指定区域，由指定厂家回收。</w:t>
            </w:r>
          </w:p>
          <w:p>
            <w:pPr>
              <w:adjustRightInd w:val="0"/>
              <w:spacing w:line="360" w:lineRule="auto"/>
              <w:ind w:firstLine="600" w:firstLineChars="250"/>
              <w:textAlignment w:val="baseline"/>
              <w:rPr>
                <w:rFonts w:hint="eastAsia"/>
                <w:sz w:val="24"/>
                <w:highlight w:val="none"/>
                <w:lang w:val="en-US" w:eastAsia="zh-CN"/>
              </w:rPr>
            </w:pPr>
            <w:r>
              <w:rPr>
                <w:rFonts w:hint="eastAsia"/>
                <w:sz w:val="24"/>
                <w:highlight w:val="none"/>
                <w:lang w:val="en-US" w:eastAsia="zh-CN"/>
              </w:rPr>
              <w:t>②废边角料：据企业提供，约3t/a，存放在临时指定区域，由指定厂家回收。</w:t>
            </w:r>
          </w:p>
          <w:p>
            <w:pPr>
              <w:adjustRightInd w:val="0"/>
              <w:spacing w:line="360" w:lineRule="auto"/>
              <w:ind w:firstLine="600" w:firstLineChars="250"/>
              <w:textAlignment w:val="baseline"/>
              <w:rPr>
                <w:rFonts w:hint="eastAsia"/>
                <w:sz w:val="24"/>
                <w:highlight w:val="none"/>
                <w:lang w:val="en-US" w:eastAsia="zh-CN"/>
              </w:rPr>
            </w:pPr>
            <w:r>
              <w:rPr>
                <w:rFonts w:hint="eastAsia"/>
                <w:sz w:val="24"/>
                <w:highlight w:val="none"/>
                <w:lang w:val="en-US" w:eastAsia="zh-CN"/>
              </w:rPr>
              <w:t>③废活性炭：产生的废活性炭为10.5t/a，</w:t>
            </w:r>
            <w:r>
              <w:rPr>
                <w:rFonts w:hint="default"/>
                <w:sz w:val="24"/>
                <w:highlight w:val="none"/>
                <w:lang w:val="en-US" w:eastAsia="zh-CN"/>
              </w:rPr>
              <w:t>委托有资质单位处理</w:t>
            </w:r>
            <w:r>
              <w:rPr>
                <w:rFonts w:hint="eastAsia"/>
                <w:sz w:val="24"/>
                <w:highlight w:val="none"/>
                <w:lang w:val="en-US" w:eastAsia="zh-CN"/>
              </w:rPr>
              <w:t>。</w:t>
            </w:r>
          </w:p>
          <w:p>
            <w:pPr>
              <w:adjustRightInd w:val="0"/>
              <w:spacing w:line="360" w:lineRule="auto"/>
              <w:ind w:firstLine="600" w:firstLineChars="250"/>
              <w:textAlignment w:val="baseline"/>
              <w:rPr>
                <w:rFonts w:hint="eastAsia"/>
                <w:sz w:val="24"/>
                <w:highlight w:val="none"/>
                <w:lang w:val="en-US" w:eastAsia="zh-CN"/>
              </w:rPr>
            </w:pPr>
            <w:r>
              <w:rPr>
                <w:rFonts w:hint="eastAsia"/>
                <w:sz w:val="24"/>
                <w:highlight w:val="none"/>
                <w:lang w:val="en-US" w:eastAsia="zh-CN"/>
              </w:rPr>
              <w:t>④废切削液：据企业提供，约0.005t/a，</w:t>
            </w:r>
            <w:r>
              <w:rPr>
                <w:rFonts w:hint="default"/>
                <w:sz w:val="24"/>
                <w:highlight w:val="none"/>
                <w:lang w:val="en-US" w:eastAsia="zh-CN"/>
              </w:rPr>
              <w:t>委托有资质单位处理</w:t>
            </w:r>
            <w:r>
              <w:rPr>
                <w:rFonts w:hint="eastAsia"/>
                <w:sz w:val="24"/>
                <w:highlight w:val="none"/>
                <w:lang w:val="en-US" w:eastAsia="zh-CN"/>
              </w:rPr>
              <w:t>。</w:t>
            </w:r>
          </w:p>
          <w:p>
            <w:pPr>
              <w:adjustRightInd w:val="0"/>
              <w:spacing w:line="360" w:lineRule="auto"/>
              <w:ind w:firstLine="600" w:firstLineChars="250"/>
              <w:textAlignment w:val="baseline"/>
              <w:rPr>
                <w:rFonts w:hint="eastAsia"/>
                <w:sz w:val="24"/>
                <w:highlight w:val="none"/>
                <w:lang w:val="en-US" w:eastAsia="zh-CN"/>
              </w:rPr>
            </w:pPr>
            <w:r>
              <w:rPr>
                <w:rFonts w:hint="eastAsia"/>
                <w:sz w:val="24"/>
                <w:highlight w:val="none"/>
                <w:lang w:val="en-US" w:eastAsia="zh-CN"/>
              </w:rPr>
              <w:t>⑤废油墨：据企业提供，约0.0025t/a，</w:t>
            </w:r>
            <w:r>
              <w:rPr>
                <w:rFonts w:hint="default"/>
                <w:sz w:val="24"/>
                <w:highlight w:val="none"/>
                <w:lang w:val="en-US" w:eastAsia="zh-CN"/>
              </w:rPr>
              <w:t>委托有资质单位处理</w:t>
            </w:r>
            <w:r>
              <w:rPr>
                <w:rFonts w:hint="eastAsia"/>
                <w:sz w:val="24"/>
                <w:highlight w:val="none"/>
                <w:lang w:val="en-US" w:eastAsia="zh-CN"/>
              </w:rPr>
              <w:t>。</w:t>
            </w:r>
          </w:p>
          <w:p>
            <w:pPr>
              <w:adjustRightInd w:val="0"/>
              <w:spacing w:line="360" w:lineRule="auto"/>
              <w:ind w:firstLine="600" w:firstLineChars="250"/>
              <w:textAlignment w:val="baseline"/>
              <w:rPr>
                <w:rFonts w:hint="eastAsia"/>
                <w:sz w:val="24"/>
                <w:highlight w:val="none"/>
                <w:lang w:val="en-US" w:eastAsia="zh-CN"/>
              </w:rPr>
            </w:pPr>
            <w:r>
              <w:rPr>
                <w:rFonts w:hint="eastAsia"/>
                <w:sz w:val="24"/>
                <w:highlight w:val="none"/>
                <w:lang w:val="en-US" w:eastAsia="zh-CN"/>
              </w:rPr>
              <w:t>⑥废油墨桶：废油桶由厂商回收。</w:t>
            </w:r>
          </w:p>
          <w:p>
            <w:pPr>
              <w:adjustRightInd w:val="0"/>
              <w:spacing w:line="360" w:lineRule="auto"/>
              <w:ind w:firstLine="600" w:firstLineChars="250"/>
              <w:textAlignment w:val="baseline"/>
              <w:rPr>
                <w:rFonts w:hint="eastAsia"/>
                <w:sz w:val="24"/>
                <w:highlight w:val="none"/>
                <w:lang w:val="en-US" w:eastAsia="zh-CN"/>
              </w:rPr>
            </w:pPr>
            <w:r>
              <w:rPr>
                <w:rFonts w:hint="eastAsia"/>
                <w:sz w:val="24"/>
                <w:highlight w:val="none"/>
                <w:lang w:val="en-US" w:eastAsia="zh-CN"/>
              </w:rPr>
              <w:t>⑦生活垃圾：生活垃圾产生量以1kg/人*d计，约15t/a，由环卫部门进行清运。</w:t>
            </w:r>
          </w:p>
          <w:p>
            <w:pPr>
              <w:spacing w:line="360" w:lineRule="auto"/>
              <w:ind w:firstLine="482" w:firstLineChars="200"/>
              <w:rPr>
                <w:b/>
                <w:sz w:val="24"/>
                <w:highlight w:val="none"/>
              </w:rPr>
            </w:pPr>
            <w:r>
              <w:rPr>
                <w:b/>
                <w:sz w:val="24"/>
                <w:highlight w:val="none"/>
              </w:rPr>
              <w:t>（2）副产物属性判定</w:t>
            </w:r>
          </w:p>
          <w:p>
            <w:pPr>
              <w:spacing w:line="360" w:lineRule="auto"/>
              <w:ind w:firstLine="480" w:firstLineChars="200"/>
              <w:rPr>
                <w:sz w:val="24"/>
                <w:highlight w:val="none"/>
              </w:rPr>
            </w:pPr>
            <w:r>
              <w:rPr>
                <w:sz w:val="24"/>
                <w:highlight w:val="none"/>
              </w:rPr>
              <w:t>根据《固体废物鉴别</w:t>
            </w:r>
            <w:r>
              <w:rPr>
                <w:rFonts w:hint="eastAsia"/>
                <w:sz w:val="24"/>
                <w:highlight w:val="none"/>
              </w:rPr>
              <w:t>标准 通则</w:t>
            </w:r>
            <w:r>
              <w:rPr>
                <w:sz w:val="24"/>
                <w:highlight w:val="none"/>
              </w:rPr>
              <w:t>》</w:t>
            </w:r>
            <w:r>
              <w:rPr>
                <w:rFonts w:hint="eastAsia"/>
                <w:sz w:val="24"/>
                <w:highlight w:val="none"/>
              </w:rPr>
              <w:t>（G</w:t>
            </w:r>
            <w:r>
              <w:rPr>
                <w:sz w:val="24"/>
                <w:highlight w:val="none"/>
              </w:rPr>
              <w:t>B34330-2017</w:t>
            </w:r>
            <w:r>
              <w:rPr>
                <w:rFonts w:hint="eastAsia"/>
                <w:sz w:val="24"/>
                <w:highlight w:val="none"/>
              </w:rPr>
              <w:t>）</w:t>
            </w:r>
            <w:r>
              <w:rPr>
                <w:sz w:val="24"/>
                <w:highlight w:val="none"/>
              </w:rPr>
              <w:t>的规定，判断其是否属于固体废物，具体判定依据及结果见</w:t>
            </w:r>
            <w:r>
              <w:rPr>
                <w:rFonts w:hint="eastAsia"/>
                <w:sz w:val="24"/>
                <w:highlight w:val="none"/>
              </w:rPr>
              <w:t>下</w:t>
            </w:r>
            <w:r>
              <w:rPr>
                <w:sz w:val="24"/>
                <w:highlight w:val="none"/>
              </w:rPr>
              <w:t>表。</w:t>
            </w:r>
          </w:p>
          <w:p>
            <w:pPr>
              <w:pStyle w:val="48"/>
              <w:spacing w:line="480" w:lineRule="exact"/>
              <w:rPr>
                <w:rFonts w:eastAsia="宋体"/>
                <w:b/>
                <w:bCs/>
                <w:sz w:val="24"/>
                <w:highlight w:val="none"/>
              </w:rPr>
            </w:pPr>
            <w:r>
              <w:rPr>
                <w:rFonts w:eastAsia="宋体"/>
                <w:b/>
                <w:bCs/>
                <w:sz w:val="24"/>
                <w:highlight w:val="none"/>
              </w:rPr>
              <w:t>表</w:t>
            </w:r>
            <w:r>
              <w:rPr>
                <w:rFonts w:hint="eastAsia" w:eastAsia="宋体"/>
                <w:b/>
                <w:bCs/>
                <w:sz w:val="24"/>
                <w:highlight w:val="none"/>
              </w:rPr>
              <w:t>4</w:t>
            </w:r>
            <w:r>
              <w:rPr>
                <w:rFonts w:eastAsia="宋体"/>
                <w:b/>
                <w:bCs/>
                <w:sz w:val="24"/>
                <w:highlight w:val="none"/>
              </w:rPr>
              <w:t>-7  副产物产生情况汇总表</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1"/>
              <w:gridCol w:w="1233"/>
              <w:gridCol w:w="1128"/>
              <w:gridCol w:w="755"/>
              <w:gridCol w:w="1102"/>
              <w:gridCol w:w="874"/>
              <w:gridCol w:w="824"/>
              <w:gridCol w:w="962"/>
              <w:gridCol w:w="15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43" w:type="pct"/>
                  <w:vMerge w:val="restart"/>
                  <w:vAlign w:val="center"/>
                </w:tcPr>
                <w:p>
                  <w:pPr>
                    <w:widowControl/>
                    <w:jc w:val="center"/>
                    <w:rPr>
                      <w:b/>
                      <w:bCs/>
                      <w:kern w:val="0"/>
                      <w:szCs w:val="21"/>
                      <w:highlight w:val="none"/>
                    </w:rPr>
                  </w:pPr>
                  <w:r>
                    <w:rPr>
                      <w:b/>
                      <w:bCs/>
                      <w:kern w:val="0"/>
                      <w:szCs w:val="21"/>
                      <w:highlight w:val="none"/>
                    </w:rPr>
                    <w:t>序号</w:t>
                  </w:r>
                </w:p>
              </w:tc>
              <w:tc>
                <w:tcPr>
                  <w:tcW w:w="697" w:type="pct"/>
                  <w:vMerge w:val="restart"/>
                  <w:vAlign w:val="center"/>
                </w:tcPr>
                <w:p>
                  <w:pPr>
                    <w:widowControl/>
                    <w:jc w:val="center"/>
                    <w:rPr>
                      <w:b/>
                      <w:bCs/>
                      <w:kern w:val="0"/>
                      <w:szCs w:val="21"/>
                      <w:highlight w:val="none"/>
                    </w:rPr>
                  </w:pPr>
                  <w:r>
                    <w:rPr>
                      <w:b/>
                      <w:bCs/>
                      <w:kern w:val="0"/>
                      <w:szCs w:val="21"/>
                      <w:highlight w:val="none"/>
                    </w:rPr>
                    <w:t>固体废物名称</w:t>
                  </w:r>
                </w:p>
              </w:tc>
              <w:tc>
                <w:tcPr>
                  <w:tcW w:w="637" w:type="pct"/>
                  <w:vMerge w:val="restart"/>
                  <w:vAlign w:val="center"/>
                </w:tcPr>
                <w:p>
                  <w:pPr>
                    <w:widowControl/>
                    <w:jc w:val="center"/>
                    <w:rPr>
                      <w:b/>
                      <w:bCs/>
                      <w:kern w:val="0"/>
                      <w:szCs w:val="21"/>
                      <w:highlight w:val="none"/>
                    </w:rPr>
                  </w:pPr>
                  <w:r>
                    <w:rPr>
                      <w:b/>
                      <w:bCs/>
                      <w:kern w:val="0"/>
                      <w:szCs w:val="21"/>
                      <w:highlight w:val="none"/>
                    </w:rPr>
                    <w:t>产生工序</w:t>
                  </w:r>
                </w:p>
              </w:tc>
              <w:tc>
                <w:tcPr>
                  <w:tcW w:w="426" w:type="pct"/>
                  <w:vMerge w:val="restart"/>
                  <w:vAlign w:val="center"/>
                </w:tcPr>
                <w:p>
                  <w:pPr>
                    <w:widowControl/>
                    <w:jc w:val="center"/>
                    <w:rPr>
                      <w:b/>
                      <w:bCs/>
                      <w:kern w:val="0"/>
                      <w:szCs w:val="21"/>
                      <w:highlight w:val="none"/>
                    </w:rPr>
                  </w:pPr>
                  <w:r>
                    <w:rPr>
                      <w:b/>
                      <w:bCs/>
                      <w:kern w:val="0"/>
                      <w:szCs w:val="21"/>
                      <w:highlight w:val="none"/>
                    </w:rPr>
                    <w:t>形态</w:t>
                  </w:r>
                </w:p>
              </w:tc>
              <w:tc>
                <w:tcPr>
                  <w:tcW w:w="623" w:type="pct"/>
                  <w:vMerge w:val="restart"/>
                  <w:vAlign w:val="center"/>
                </w:tcPr>
                <w:p>
                  <w:pPr>
                    <w:widowControl/>
                    <w:jc w:val="center"/>
                    <w:rPr>
                      <w:b/>
                      <w:bCs/>
                      <w:kern w:val="0"/>
                      <w:szCs w:val="21"/>
                      <w:highlight w:val="none"/>
                    </w:rPr>
                  </w:pPr>
                  <w:r>
                    <w:rPr>
                      <w:b/>
                      <w:bCs/>
                      <w:kern w:val="0"/>
                      <w:szCs w:val="21"/>
                      <w:highlight w:val="none"/>
                    </w:rPr>
                    <w:t>主要成分</w:t>
                  </w:r>
                </w:p>
              </w:tc>
              <w:tc>
                <w:tcPr>
                  <w:tcW w:w="494" w:type="pct"/>
                  <w:vMerge w:val="restart"/>
                  <w:vAlign w:val="center"/>
                </w:tcPr>
                <w:p>
                  <w:pPr>
                    <w:widowControl/>
                    <w:jc w:val="center"/>
                    <w:rPr>
                      <w:b/>
                      <w:bCs/>
                      <w:kern w:val="0"/>
                      <w:szCs w:val="21"/>
                      <w:highlight w:val="none"/>
                    </w:rPr>
                  </w:pPr>
                  <w:r>
                    <w:rPr>
                      <w:b/>
                      <w:bCs/>
                      <w:kern w:val="0"/>
                      <w:szCs w:val="21"/>
                      <w:highlight w:val="none"/>
                    </w:rPr>
                    <w:t>预测产生量t/a</w:t>
                  </w:r>
                </w:p>
              </w:tc>
              <w:tc>
                <w:tcPr>
                  <w:tcW w:w="1877" w:type="pct"/>
                  <w:gridSpan w:val="3"/>
                  <w:vAlign w:val="center"/>
                </w:tcPr>
                <w:p>
                  <w:pPr>
                    <w:widowControl/>
                    <w:jc w:val="center"/>
                    <w:rPr>
                      <w:b/>
                      <w:bCs/>
                      <w:kern w:val="0"/>
                      <w:szCs w:val="21"/>
                      <w:highlight w:val="none"/>
                    </w:rPr>
                  </w:pPr>
                  <w:r>
                    <w:rPr>
                      <w:b/>
                      <w:bCs/>
                      <w:kern w:val="0"/>
                      <w:szCs w:val="21"/>
                      <w:highlight w:val="none"/>
                    </w:rPr>
                    <w:t>种类判断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43" w:type="pct"/>
                  <w:vMerge w:val="continue"/>
                  <w:vAlign w:val="center"/>
                </w:tcPr>
                <w:p>
                  <w:pPr>
                    <w:widowControl/>
                    <w:jc w:val="center"/>
                    <w:rPr>
                      <w:b/>
                      <w:bCs/>
                      <w:kern w:val="0"/>
                      <w:szCs w:val="21"/>
                      <w:highlight w:val="none"/>
                    </w:rPr>
                  </w:pPr>
                </w:p>
              </w:tc>
              <w:tc>
                <w:tcPr>
                  <w:tcW w:w="697" w:type="pct"/>
                  <w:vMerge w:val="continue"/>
                  <w:vAlign w:val="center"/>
                </w:tcPr>
                <w:p>
                  <w:pPr>
                    <w:widowControl/>
                    <w:jc w:val="center"/>
                    <w:rPr>
                      <w:b/>
                      <w:bCs/>
                      <w:kern w:val="0"/>
                      <w:szCs w:val="21"/>
                      <w:highlight w:val="none"/>
                    </w:rPr>
                  </w:pPr>
                </w:p>
              </w:tc>
              <w:tc>
                <w:tcPr>
                  <w:tcW w:w="637" w:type="pct"/>
                  <w:vMerge w:val="continue"/>
                  <w:vAlign w:val="center"/>
                </w:tcPr>
                <w:p>
                  <w:pPr>
                    <w:widowControl/>
                    <w:jc w:val="center"/>
                    <w:rPr>
                      <w:b/>
                      <w:bCs/>
                      <w:kern w:val="0"/>
                      <w:szCs w:val="21"/>
                      <w:highlight w:val="none"/>
                    </w:rPr>
                  </w:pPr>
                </w:p>
              </w:tc>
              <w:tc>
                <w:tcPr>
                  <w:tcW w:w="426" w:type="pct"/>
                  <w:vMerge w:val="continue"/>
                  <w:vAlign w:val="center"/>
                </w:tcPr>
                <w:p>
                  <w:pPr>
                    <w:widowControl/>
                    <w:jc w:val="center"/>
                    <w:rPr>
                      <w:b/>
                      <w:bCs/>
                      <w:kern w:val="0"/>
                      <w:szCs w:val="21"/>
                      <w:highlight w:val="none"/>
                    </w:rPr>
                  </w:pPr>
                </w:p>
              </w:tc>
              <w:tc>
                <w:tcPr>
                  <w:tcW w:w="623" w:type="pct"/>
                  <w:vMerge w:val="continue"/>
                  <w:vAlign w:val="center"/>
                </w:tcPr>
                <w:p>
                  <w:pPr>
                    <w:widowControl/>
                    <w:jc w:val="center"/>
                    <w:rPr>
                      <w:b/>
                      <w:bCs/>
                      <w:kern w:val="0"/>
                      <w:szCs w:val="21"/>
                      <w:highlight w:val="none"/>
                    </w:rPr>
                  </w:pPr>
                </w:p>
              </w:tc>
              <w:tc>
                <w:tcPr>
                  <w:tcW w:w="494" w:type="pct"/>
                  <w:vMerge w:val="continue"/>
                  <w:vAlign w:val="center"/>
                </w:tcPr>
                <w:p>
                  <w:pPr>
                    <w:widowControl/>
                    <w:jc w:val="center"/>
                    <w:rPr>
                      <w:b/>
                      <w:bCs/>
                      <w:kern w:val="0"/>
                      <w:szCs w:val="21"/>
                      <w:highlight w:val="none"/>
                    </w:rPr>
                  </w:pPr>
                </w:p>
              </w:tc>
              <w:tc>
                <w:tcPr>
                  <w:tcW w:w="465" w:type="pct"/>
                  <w:vAlign w:val="center"/>
                </w:tcPr>
                <w:p>
                  <w:pPr>
                    <w:widowControl/>
                    <w:jc w:val="center"/>
                    <w:rPr>
                      <w:b/>
                      <w:bCs/>
                      <w:kern w:val="0"/>
                      <w:szCs w:val="21"/>
                      <w:highlight w:val="none"/>
                    </w:rPr>
                  </w:pPr>
                  <w:r>
                    <w:rPr>
                      <w:b/>
                      <w:bCs/>
                      <w:kern w:val="0"/>
                      <w:szCs w:val="21"/>
                      <w:highlight w:val="none"/>
                    </w:rPr>
                    <w:t>固废</w:t>
                  </w:r>
                </w:p>
              </w:tc>
              <w:tc>
                <w:tcPr>
                  <w:tcW w:w="543" w:type="pct"/>
                  <w:vAlign w:val="center"/>
                </w:tcPr>
                <w:p>
                  <w:pPr>
                    <w:widowControl/>
                    <w:jc w:val="center"/>
                    <w:rPr>
                      <w:b/>
                      <w:bCs/>
                      <w:kern w:val="0"/>
                      <w:szCs w:val="21"/>
                      <w:highlight w:val="none"/>
                    </w:rPr>
                  </w:pPr>
                  <w:r>
                    <w:rPr>
                      <w:b/>
                      <w:bCs/>
                      <w:kern w:val="0"/>
                      <w:szCs w:val="21"/>
                      <w:highlight w:val="none"/>
                    </w:rPr>
                    <w:t>副产品</w:t>
                  </w:r>
                </w:p>
              </w:tc>
              <w:tc>
                <w:tcPr>
                  <w:tcW w:w="867" w:type="pct"/>
                  <w:vAlign w:val="center"/>
                </w:tcPr>
                <w:p>
                  <w:pPr>
                    <w:widowControl/>
                    <w:jc w:val="center"/>
                    <w:rPr>
                      <w:b/>
                      <w:bCs/>
                      <w:kern w:val="0"/>
                      <w:szCs w:val="21"/>
                      <w:highlight w:val="none"/>
                    </w:rPr>
                  </w:pPr>
                  <w:r>
                    <w:rPr>
                      <w:b/>
                      <w:bCs/>
                      <w:kern w:val="0"/>
                      <w:szCs w:val="21"/>
                      <w:highlight w:val="none"/>
                    </w:rPr>
                    <w:t>判断依据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43" w:type="pct"/>
                  <w:vAlign w:val="center"/>
                </w:tcPr>
                <w:p>
                  <w:pPr>
                    <w:widowControl/>
                    <w:jc w:val="center"/>
                    <w:rPr>
                      <w:kern w:val="0"/>
                      <w:szCs w:val="21"/>
                      <w:highlight w:val="none"/>
                    </w:rPr>
                  </w:pPr>
                  <w:r>
                    <w:rPr>
                      <w:kern w:val="0"/>
                      <w:szCs w:val="21"/>
                      <w:highlight w:val="none"/>
                    </w:rPr>
                    <w:t>1</w:t>
                  </w:r>
                </w:p>
              </w:tc>
              <w:tc>
                <w:tcPr>
                  <w:tcW w:w="697" w:type="pct"/>
                  <w:vAlign w:val="center"/>
                </w:tcPr>
                <w:p>
                  <w:pPr>
                    <w:widowControl/>
                    <w:jc w:val="center"/>
                    <w:rPr>
                      <w:rFonts w:hint="eastAsia"/>
                      <w:kern w:val="0"/>
                      <w:szCs w:val="21"/>
                      <w:highlight w:val="none"/>
                      <w:lang w:eastAsia="zh-CN"/>
                    </w:rPr>
                  </w:pPr>
                  <w:r>
                    <w:rPr>
                      <w:rFonts w:hint="eastAsia"/>
                      <w:kern w:val="0"/>
                      <w:szCs w:val="21"/>
                      <w:highlight w:val="none"/>
                      <w:lang w:eastAsia="zh-CN"/>
                    </w:rPr>
                    <w:t>废包装</w:t>
                  </w:r>
                </w:p>
              </w:tc>
              <w:tc>
                <w:tcPr>
                  <w:tcW w:w="637" w:type="pct"/>
                  <w:vAlign w:val="center"/>
                </w:tcPr>
                <w:p>
                  <w:pPr>
                    <w:widowControl/>
                    <w:jc w:val="center"/>
                    <w:rPr>
                      <w:kern w:val="0"/>
                      <w:szCs w:val="21"/>
                      <w:highlight w:val="none"/>
                    </w:rPr>
                  </w:pPr>
                  <w:r>
                    <w:rPr>
                      <w:rFonts w:hint="eastAsia"/>
                      <w:kern w:val="0"/>
                      <w:szCs w:val="21"/>
                      <w:highlight w:val="none"/>
                    </w:rPr>
                    <w:t>原料使用</w:t>
                  </w:r>
                </w:p>
              </w:tc>
              <w:tc>
                <w:tcPr>
                  <w:tcW w:w="426" w:type="pct"/>
                  <w:vAlign w:val="center"/>
                </w:tcPr>
                <w:p>
                  <w:pPr>
                    <w:widowControl/>
                    <w:jc w:val="center"/>
                    <w:rPr>
                      <w:kern w:val="0"/>
                      <w:szCs w:val="21"/>
                      <w:highlight w:val="none"/>
                    </w:rPr>
                  </w:pPr>
                  <w:r>
                    <w:rPr>
                      <w:rFonts w:hint="eastAsia"/>
                      <w:kern w:val="0"/>
                      <w:szCs w:val="21"/>
                      <w:highlight w:val="none"/>
                    </w:rPr>
                    <w:t>固态</w:t>
                  </w:r>
                </w:p>
              </w:tc>
              <w:tc>
                <w:tcPr>
                  <w:tcW w:w="623" w:type="pct"/>
                  <w:vAlign w:val="center"/>
                </w:tcPr>
                <w:p>
                  <w:pPr>
                    <w:widowControl/>
                    <w:jc w:val="center"/>
                    <w:rPr>
                      <w:rFonts w:hint="eastAsia"/>
                      <w:kern w:val="0"/>
                      <w:szCs w:val="21"/>
                      <w:highlight w:val="none"/>
                      <w:lang w:eastAsia="zh-CN"/>
                    </w:rPr>
                  </w:pPr>
                  <w:r>
                    <w:rPr>
                      <w:rFonts w:hint="eastAsia"/>
                      <w:kern w:val="0"/>
                      <w:szCs w:val="21"/>
                      <w:highlight w:val="none"/>
                      <w:lang w:eastAsia="zh-CN"/>
                    </w:rPr>
                    <w:t>纸皮</w:t>
                  </w:r>
                </w:p>
              </w:tc>
              <w:tc>
                <w:tcPr>
                  <w:tcW w:w="494" w:type="pct"/>
                  <w:vAlign w:val="center"/>
                </w:tcPr>
                <w:p>
                  <w:pPr>
                    <w:widowControl/>
                    <w:jc w:val="center"/>
                    <w:rPr>
                      <w:rFonts w:hint="eastAsia"/>
                      <w:kern w:val="0"/>
                      <w:szCs w:val="21"/>
                      <w:highlight w:val="none"/>
                      <w:lang w:eastAsia="zh-CN"/>
                    </w:rPr>
                  </w:pPr>
                  <w:r>
                    <w:rPr>
                      <w:rFonts w:hint="eastAsia"/>
                      <w:kern w:val="0"/>
                      <w:szCs w:val="21"/>
                      <w:highlight w:val="none"/>
                      <w:lang w:val="en-US" w:eastAsia="zh-CN"/>
                    </w:rPr>
                    <w:t>2</w:t>
                  </w:r>
                </w:p>
              </w:tc>
              <w:tc>
                <w:tcPr>
                  <w:tcW w:w="465" w:type="pct"/>
                  <w:vAlign w:val="center"/>
                </w:tcPr>
                <w:p>
                  <w:pPr>
                    <w:widowControl/>
                    <w:jc w:val="center"/>
                    <w:rPr>
                      <w:kern w:val="0"/>
                      <w:szCs w:val="21"/>
                      <w:highlight w:val="none"/>
                    </w:rPr>
                  </w:pPr>
                  <w:r>
                    <w:rPr>
                      <w:kern w:val="0"/>
                      <w:szCs w:val="21"/>
                      <w:highlight w:val="none"/>
                    </w:rPr>
                    <w:t>√</w:t>
                  </w:r>
                </w:p>
              </w:tc>
              <w:tc>
                <w:tcPr>
                  <w:tcW w:w="543" w:type="pct"/>
                  <w:vAlign w:val="center"/>
                </w:tcPr>
                <w:p>
                  <w:pPr>
                    <w:widowControl/>
                    <w:jc w:val="center"/>
                    <w:rPr>
                      <w:kern w:val="0"/>
                      <w:szCs w:val="21"/>
                      <w:highlight w:val="none"/>
                    </w:rPr>
                  </w:pPr>
                  <w:r>
                    <w:rPr>
                      <w:kern w:val="0"/>
                      <w:szCs w:val="21"/>
                      <w:highlight w:val="none"/>
                    </w:rPr>
                    <w:t>/</w:t>
                  </w:r>
                </w:p>
              </w:tc>
              <w:tc>
                <w:tcPr>
                  <w:tcW w:w="867" w:type="pct"/>
                  <w:vMerge w:val="restart"/>
                  <w:vAlign w:val="center"/>
                </w:tcPr>
                <w:p>
                  <w:pPr>
                    <w:widowControl/>
                    <w:jc w:val="center"/>
                    <w:rPr>
                      <w:kern w:val="0"/>
                      <w:szCs w:val="21"/>
                      <w:highlight w:val="none"/>
                    </w:rPr>
                  </w:pPr>
                  <w:r>
                    <w:rPr>
                      <w:kern w:val="0"/>
                      <w:szCs w:val="21"/>
                      <w:highlight w:val="none"/>
                    </w:rPr>
                    <w:t>《固体废物鉴别标准 通则（GB34330-2017）》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43" w:type="pct"/>
                  <w:vAlign w:val="center"/>
                </w:tcPr>
                <w:p>
                  <w:pPr>
                    <w:widowControl/>
                    <w:jc w:val="center"/>
                    <w:rPr>
                      <w:kern w:val="0"/>
                      <w:szCs w:val="21"/>
                      <w:highlight w:val="none"/>
                    </w:rPr>
                  </w:pPr>
                  <w:r>
                    <w:rPr>
                      <w:kern w:val="0"/>
                      <w:szCs w:val="21"/>
                      <w:highlight w:val="none"/>
                    </w:rPr>
                    <w:t>2</w:t>
                  </w:r>
                </w:p>
              </w:tc>
              <w:tc>
                <w:tcPr>
                  <w:tcW w:w="697" w:type="pct"/>
                  <w:vAlign w:val="center"/>
                </w:tcPr>
                <w:p>
                  <w:pPr>
                    <w:widowControl/>
                    <w:jc w:val="center"/>
                    <w:rPr>
                      <w:rFonts w:hint="eastAsia"/>
                      <w:kern w:val="0"/>
                      <w:szCs w:val="21"/>
                      <w:highlight w:val="none"/>
                      <w:lang w:eastAsia="zh-CN"/>
                    </w:rPr>
                  </w:pPr>
                  <w:r>
                    <w:rPr>
                      <w:rFonts w:hint="eastAsia"/>
                      <w:kern w:val="0"/>
                      <w:szCs w:val="21"/>
                      <w:highlight w:val="none"/>
                      <w:lang w:eastAsia="zh-CN"/>
                    </w:rPr>
                    <w:t>废边角料</w:t>
                  </w:r>
                </w:p>
              </w:tc>
              <w:tc>
                <w:tcPr>
                  <w:tcW w:w="637" w:type="pct"/>
                  <w:vAlign w:val="center"/>
                </w:tcPr>
                <w:p>
                  <w:pPr>
                    <w:widowControl/>
                    <w:jc w:val="center"/>
                    <w:rPr>
                      <w:kern w:val="0"/>
                      <w:szCs w:val="21"/>
                      <w:highlight w:val="none"/>
                    </w:rPr>
                  </w:pPr>
                  <w:r>
                    <w:rPr>
                      <w:rFonts w:hint="eastAsia"/>
                      <w:kern w:val="0"/>
                      <w:szCs w:val="21"/>
                      <w:highlight w:val="none"/>
                    </w:rPr>
                    <w:t>原料使用</w:t>
                  </w:r>
                </w:p>
              </w:tc>
              <w:tc>
                <w:tcPr>
                  <w:tcW w:w="426" w:type="pct"/>
                  <w:vAlign w:val="center"/>
                </w:tcPr>
                <w:p>
                  <w:pPr>
                    <w:widowControl/>
                    <w:jc w:val="center"/>
                    <w:rPr>
                      <w:kern w:val="0"/>
                      <w:szCs w:val="21"/>
                      <w:highlight w:val="none"/>
                    </w:rPr>
                  </w:pPr>
                  <w:r>
                    <w:rPr>
                      <w:rFonts w:hint="eastAsia"/>
                      <w:kern w:val="0"/>
                      <w:szCs w:val="21"/>
                      <w:highlight w:val="none"/>
                    </w:rPr>
                    <w:t>固态</w:t>
                  </w:r>
                </w:p>
              </w:tc>
              <w:tc>
                <w:tcPr>
                  <w:tcW w:w="623" w:type="pct"/>
                  <w:vAlign w:val="center"/>
                </w:tcPr>
                <w:p>
                  <w:pPr>
                    <w:widowControl/>
                    <w:jc w:val="center"/>
                    <w:rPr>
                      <w:rFonts w:hint="eastAsia"/>
                      <w:kern w:val="0"/>
                      <w:szCs w:val="21"/>
                      <w:highlight w:val="none"/>
                      <w:lang w:eastAsia="zh-CN"/>
                    </w:rPr>
                  </w:pPr>
                  <w:r>
                    <w:rPr>
                      <w:rFonts w:hint="eastAsia"/>
                      <w:kern w:val="0"/>
                      <w:szCs w:val="21"/>
                      <w:highlight w:val="none"/>
                    </w:rPr>
                    <w:t>金属</w:t>
                  </w:r>
                  <w:r>
                    <w:rPr>
                      <w:rFonts w:hint="eastAsia"/>
                      <w:kern w:val="0"/>
                      <w:szCs w:val="21"/>
                      <w:highlight w:val="none"/>
                      <w:lang w:eastAsia="zh-CN"/>
                    </w:rPr>
                    <w:t>、塑料等</w:t>
                  </w:r>
                </w:p>
              </w:tc>
              <w:tc>
                <w:tcPr>
                  <w:tcW w:w="494" w:type="pct"/>
                  <w:vAlign w:val="center"/>
                </w:tcPr>
                <w:p>
                  <w:pPr>
                    <w:widowControl/>
                    <w:jc w:val="center"/>
                    <w:rPr>
                      <w:rFonts w:hint="eastAsia"/>
                      <w:kern w:val="0"/>
                      <w:szCs w:val="21"/>
                      <w:highlight w:val="none"/>
                      <w:lang w:eastAsia="zh-CN"/>
                    </w:rPr>
                  </w:pPr>
                  <w:r>
                    <w:rPr>
                      <w:rFonts w:hint="eastAsia"/>
                      <w:kern w:val="0"/>
                      <w:szCs w:val="21"/>
                      <w:highlight w:val="none"/>
                      <w:lang w:val="en-US" w:eastAsia="zh-CN"/>
                    </w:rPr>
                    <w:t>3</w:t>
                  </w:r>
                </w:p>
              </w:tc>
              <w:tc>
                <w:tcPr>
                  <w:tcW w:w="465" w:type="pct"/>
                  <w:vAlign w:val="center"/>
                </w:tcPr>
                <w:p>
                  <w:pPr>
                    <w:widowControl/>
                    <w:jc w:val="center"/>
                    <w:rPr>
                      <w:kern w:val="0"/>
                      <w:szCs w:val="21"/>
                      <w:highlight w:val="none"/>
                    </w:rPr>
                  </w:pPr>
                  <w:r>
                    <w:rPr>
                      <w:kern w:val="0"/>
                      <w:szCs w:val="21"/>
                      <w:highlight w:val="none"/>
                    </w:rPr>
                    <w:t>√</w:t>
                  </w:r>
                </w:p>
              </w:tc>
              <w:tc>
                <w:tcPr>
                  <w:tcW w:w="543" w:type="pct"/>
                  <w:vAlign w:val="center"/>
                </w:tcPr>
                <w:p>
                  <w:pPr>
                    <w:widowControl/>
                    <w:jc w:val="center"/>
                    <w:rPr>
                      <w:kern w:val="0"/>
                      <w:szCs w:val="21"/>
                      <w:highlight w:val="none"/>
                    </w:rPr>
                  </w:pPr>
                  <w:r>
                    <w:rPr>
                      <w:kern w:val="0"/>
                      <w:szCs w:val="21"/>
                      <w:highlight w:val="none"/>
                    </w:rPr>
                    <w:t>/</w:t>
                  </w:r>
                </w:p>
              </w:tc>
              <w:tc>
                <w:tcPr>
                  <w:tcW w:w="867" w:type="pct"/>
                  <w:vMerge w:val="continue"/>
                  <w:vAlign w:val="center"/>
                </w:tcPr>
                <w:p>
                  <w:pPr>
                    <w:tabs>
                      <w:tab w:val="left" w:pos="4860"/>
                    </w:tabs>
                    <w:jc w:val="center"/>
                    <w:rPr>
                      <w:b/>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243" w:type="pct"/>
                  <w:vAlign w:val="center"/>
                </w:tcPr>
                <w:p>
                  <w:pPr>
                    <w:widowControl/>
                    <w:jc w:val="center"/>
                    <w:rPr>
                      <w:kern w:val="0"/>
                      <w:szCs w:val="21"/>
                      <w:highlight w:val="none"/>
                    </w:rPr>
                  </w:pPr>
                  <w:r>
                    <w:rPr>
                      <w:kern w:val="0"/>
                      <w:szCs w:val="21"/>
                      <w:highlight w:val="none"/>
                    </w:rPr>
                    <w:t>3</w:t>
                  </w:r>
                </w:p>
              </w:tc>
              <w:tc>
                <w:tcPr>
                  <w:tcW w:w="697" w:type="pct"/>
                  <w:vAlign w:val="center"/>
                </w:tcPr>
                <w:p>
                  <w:pPr>
                    <w:widowControl/>
                    <w:jc w:val="center"/>
                    <w:rPr>
                      <w:rFonts w:hint="eastAsia"/>
                      <w:kern w:val="0"/>
                      <w:szCs w:val="21"/>
                      <w:highlight w:val="none"/>
                      <w:lang w:eastAsia="zh-CN"/>
                    </w:rPr>
                  </w:pPr>
                  <w:r>
                    <w:rPr>
                      <w:rFonts w:hint="eastAsia"/>
                      <w:kern w:val="0"/>
                      <w:szCs w:val="21"/>
                      <w:highlight w:val="none"/>
                      <w:lang w:eastAsia="zh-CN"/>
                    </w:rPr>
                    <w:t>废活性炭</w:t>
                  </w:r>
                </w:p>
              </w:tc>
              <w:tc>
                <w:tcPr>
                  <w:tcW w:w="637" w:type="pct"/>
                  <w:vAlign w:val="center"/>
                </w:tcPr>
                <w:p>
                  <w:pPr>
                    <w:widowControl/>
                    <w:jc w:val="center"/>
                    <w:rPr>
                      <w:rFonts w:hint="eastAsia"/>
                      <w:kern w:val="0"/>
                      <w:szCs w:val="21"/>
                      <w:highlight w:val="none"/>
                      <w:lang w:eastAsia="zh-CN"/>
                    </w:rPr>
                  </w:pPr>
                  <w:r>
                    <w:rPr>
                      <w:kern w:val="0"/>
                      <w:szCs w:val="21"/>
                      <w:highlight w:val="none"/>
                    </w:rPr>
                    <w:t>废气处</w:t>
                  </w:r>
                  <w:r>
                    <w:rPr>
                      <w:rFonts w:hint="eastAsia"/>
                      <w:kern w:val="0"/>
                      <w:szCs w:val="21"/>
                      <w:highlight w:val="none"/>
                      <w:lang w:eastAsia="zh-CN"/>
                    </w:rPr>
                    <w:t>理</w:t>
                  </w:r>
                </w:p>
              </w:tc>
              <w:tc>
                <w:tcPr>
                  <w:tcW w:w="426" w:type="pct"/>
                  <w:vAlign w:val="center"/>
                </w:tcPr>
                <w:p>
                  <w:pPr>
                    <w:widowControl/>
                    <w:jc w:val="center"/>
                    <w:rPr>
                      <w:kern w:val="0"/>
                      <w:szCs w:val="21"/>
                      <w:highlight w:val="none"/>
                    </w:rPr>
                  </w:pPr>
                  <w:r>
                    <w:rPr>
                      <w:rFonts w:hint="eastAsia"/>
                      <w:kern w:val="0"/>
                      <w:szCs w:val="21"/>
                      <w:highlight w:val="none"/>
                    </w:rPr>
                    <w:t>固态</w:t>
                  </w:r>
                </w:p>
              </w:tc>
              <w:tc>
                <w:tcPr>
                  <w:tcW w:w="623" w:type="pct"/>
                  <w:vAlign w:val="center"/>
                </w:tcPr>
                <w:p>
                  <w:pPr>
                    <w:widowControl/>
                    <w:jc w:val="center"/>
                    <w:rPr>
                      <w:rFonts w:hint="eastAsia"/>
                      <w:kern w:val="0"/>
                      <w:szCs w:val="21"/>
                      <w:highlight w:val="none"/>
                      <w:lang w:eastAsia="zh-CN"/>
                    </w:rPr>
                  </w:pPr>
                  <w:r>
                    <w:rPr>
                      <w:rFonts w:hint="eastAsia"/>
                      <w:kern w:val="0"/>
                      <w:szCs w:val="21"/>
                      <w:highlight w:val="none"/>
                      <w:lang w:eastAsia="zh-CN"/>
                    </w:rPr>
                    <w:t>活性炭</w:t>
                  </w:r>
                </w:p>
              </w:tc>
              <w:tc>
                <w:tcPr>
                  <w:tcW w:w="494" w:type="pct"/>
                  <w:vAlign w:val="center"/>
                </w:tcPr>
                <w:p>
                  <w:pPr>
                    <w:widowControl/>
                    <w:jc w:val="center"/>
                    <w:rPr>
                      <w:rFonts w:hint="default"/>
                      <w:kern w:val="0"/>
                      <w:szCs w:val="21"/>
                      <w:highlight w:val="none"/>
                      <w:lang w:val="en-US" w:eastAsia="zh-CN"/>
                    </w:rPr>
                  </w:pPr>
                  <w:r>
                    <w:rPr>
                      <w:rFonts w:hint="eastAsia"/>
                      <w:kern w:val="0"/>
                      <w:szCs w:val="21"/>
                      <w:highlight w:val="none"/>
                      <w:lang w:val="en-US" w:eastAsia="zh-CN"/>
                    </w:rPr>
                    <w:t>10.5</w:t>
                  </w:r>
                </w:p>
              </w:tc>
              <w:tc>
                <w:tcPr>
                  <w:tcW w:w="465" w:type="pct"/>
                  <w:vAlign w:val="center"/>
                </w:tcPr>
                <w:p>
                  <w:pPr>
                    <w:widowControl/>
                    <w:jc w:val="center"/>
                    <w:rPr>
                      <w:kern w:val="0"/>
                      <w:szCs w:val="21"/>
                      <w:highlight w:val="none"/>
                    </w:rPr>
                  </w:pPr>
                  <w:r>
                    <w:rPr>
                      <w:kern w:val="0"/>
                      <w:szCs w:val="21"/>
                      <w:highlight w:val="none"/>
                    </w:rPr>
                    <w:t>√</w:t>
                  </w:r>
                </w:p>
              </w:tc>
              <w:tc>
                <w:tcPr>
                  <w:tcW w:w="543" w:type="pct"/>
                  <w:vAlign w:val="center"/>
                </w:tcPr>
                <w:p>
                  <w:pPr>
                    <w:widowControl/>
                    <w:jc w:val="center"/>
                    <w:rPr>
                      <w:kern w:val="0"/>
                      <w:szCs w:val="21"/>
                      <w:highlight w:val="none"/>
                    </w:rPr>
                  </w:pPr>
                  <w:r>
                    <w:rPr>
                      <w:kern w:val="0"/>
                      <w:szCs w:val="21"/>
                      <w:highlight w:val="none"/>
                    </w:rPr>
                    <w:t>/</w:t>
                  </w:r>
                </w:p>
              </w:tc>
              <w:tc>
                <w:tcPr>
                  <w:tcW w:w="867" w:type="pct"/>
                  <w:vMerge w:val="continue"/>
                  <w:vAlign w:val="center"/>
                </w:tcPr>
                <w:p>
                  <w:pPr>
                    <w:tabs>
                      <w:tab w:val="left" w:pos="4860"/>
                    </w:tabs>
                    <w:jc w:val="center"/>
                    <w:rPr>
                      <w:b/>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43" w:type="pct"/>
                  <w:vAlign w:val="center"/>
                </w:tcPr>
                <w:p>
                  <w:pPr>
                    <w:widowControl/>
                    <w:jc w:val="center"/>
                    <w:rPr>
                      <w:kern w:val="0"/>
                      <w:szCs w:val="21"/>
                      <w:highlight w:val="none"/>
                    </w:rPr>
                  </w:pPr>
                  <w:r>
                    <w:rPr>
                      <w:kern w:val="0"/>
                      <w:szCs w:val="21"/>
                      <w:highlight w:val="none"/>
                    </w:rPr>
                    <w:t>4</w:t>
                  </w:r>
                </w:p>
              </w:tc>
              <w:tc>
                <w:tcPr>
                  <w:tcW w:w="697" w:type="pct"/>
                  <w:vAlign w:val="center"/>
                </w:tcPr>
                <w:p>
                  <w:pPr>
                    <w:widowControl/>
                    <w:jc w:val="center"/>
                    <w:rPr>
                      <w:rFonts w:hint="eastAsia"/>
                      <w:kern w:val="0"/>
                      <w:szCs w:val="21"/>
                      <w:highlight w:val="none"/>
                      <w:lang w:eastAsia="zh-CN"/>
                    </w:rPr>
                  </w:pPr>
                  <w:r>
                    <w:rPr>
                      <w:rFonts w:hint="eastAsia"/>
                      <w:kern w:val="0"/>
                      <w:szCs w:val="21"/>
                      <w:highlight w:val="none"/>
                      <w:lang w:eastAsia="zh-CN"/>
                    </w:rPr>
                    <w:t>废切削液</w:t>
                  </w:r>
                </w:p>
              </w:tc>
              <w:tc>
                <w:tcPr>
                  <w:tcW w:w="637" w:type="pct"/>
                  <w:vAlign w:val="center"/>
                </w:tcPr>
                <w:p>
                  <w:pPr>
                    <w:widowControl/>
                    <w:jc w:val="center"/>
                    <w:rPr>
                      <w:kern w:val="0"/>
                      <w:szCs w:val="21"/>
                      <w:highlight w:val="none"/>
                    </w:rPr>
                  </w:pPr>
                  <w:r>
                    <w:rPr>
                      <w:rFonts w:hint="default"/>
                      <w:kern w:val="0"/>
                      <w:szCs w:val="21"/>
                      <w:highlight w:val="none"/>
                    </w:rPr>
                    <w:t>机床加工</w:t>
                  </w:r>
                </w:p>
              </w:tc>
              <w:tc>
                <w:tcPr>
                  <w:tcW w:w="426" w:type="pct"/>
                  <w:vAlign w:val="center"/>
                </w:tcPr>
                <w:p>
                  <w:pPr>
                    <w:widowControl/>
                    <w:jc w:val="center"/>
                    <w:rPr>
                      <w:kern w:val="0"/>
                      <w:szCs w:val="21"/>
                      <w:highlight w:val="none"/>
                    </w:rPr>
                  </w:pPr>
                  <w:r>
                    <w:rPr>
                      <w:rFonts w:hint="eastAsia"/>
                      <w:kern w:val="0"/>
                      <w:szCs w:val="21"/>
                      <w:highlight w:val="none"/>
                      <w:lang w:eastAsia="zh-CN"/>
                    </w:rPr>
                    <w:t>液</w:t>
                  </w:r>
                  <w:r>
                    <w:rPr>
                      <w:rFonts w:hint="eastAsia"/>
                      <w:kern w:val="0"/>
                      <w:szCs w:val="21"/>
                      <w:highlight w:val="none"/>
                    </w:rPr>
                    <w:t>态</w:t>
                  </w:r>
                </w:p>
              </w:tc>
              <w:tc>
                <w:tcPr>
                  <w:tcW w:w="623" w:type="pct"/>
                  <w:vAlign w:val="center"/>
                </w:tcPr>
                <w:p>
                  <w:pPr>
                    <w:widowControl/>
                    <w:jc w:val="center"/>
                    <w:rPr>
                      <w:rFonts w:hint="eastAsia"/>
                      <w:kern w:val="0"/>
                      <w:szCs w:val="21"/>
                      <w:highlight w:val="none"/>
                      <w:lang w:eastAsia="zh-CN"/>
                    </w:rPr>
                  </w:pPr>
                  <w:r>
                    <w:rPr>
                      <w:rFonts w:hint="eastAsia"/>
                      <w:kern w:val="0"/>
                      <w:szCs w:val="21"/>
                      <w:highlight w:val="none"/>
                      <w:lang w:eastAsia="zh-CN"/>
                    </w:rPr>
                    <w:t>切削液</w:t>
                  </w:r>
                </w:p>
              </w:tc>
              <w:tc>
                <w:tcPr>
                  <w:tcW w:w="494" w:type="pct"/>
                  <w:vAlign w:val="center"/>
                </w:tcPr>
                <w:p>
                  <w:pPr>
                    <w:widowControl/>
                    <w:jc w:val="center"/>
                    <w:rPr>
                      <w:rFonts w:hint="default"/>
                      <w:kern w:val="0"/>
                      <w:szCs w:val="21"/>
                      <w:highlight w:val="none"/>
                      <w:lang w:val="en-US" w:eastAsia="zh-CN"/>
                    </w:rPr>
                  </w:pPr>
                  <w:r>
                    <w:rPr>
                      <w:rFonts w:hint="eastAsia"/>
                      <w:kern w:val="0"/>
                      <w:szCs w:val="21"/>
                      <w:highlight w:val="none"/>
                      <w:lang w:val="en-US" w:eastAsia="zh-CN"/>
                    </w:rPr>
                    <w:t>0.005</w:t>
                  </w:r>
                </w:p>
              </w:tc>
              <w:tc>
                <w:tcPr>
                  <w:tcW w:w="465" w:type="pct"/>
                  <w:vAlign w:val="center"/>
                </w:tcPr>
                <w:p>
                  <w:pPr>
                    <w:widowControl/>
                    <w:jc w:val="center"/>
                    <w:rPr>
                      <w:kern w:val="0"/>
                      <w:szCs w:val="21"/>
                      <w:highlight w:val="none"/>
                    </w:rPr>
                  </w:pPr>
                  <w:r>
                    <w:rPr>
                      <w:kern w:val="0"/>
                      <w:szCs w:val="21"/>
                      <w:highlight w:val="none"/>
                    </w:rPr>
                    <w:t>√</w:t>
                  </w:r>
                </w:p>
              </w:tc>
              <w:tc>
                <w:tcPr>
                  <w:tcW w:w="543" w:type="pct"/>
                  <w:vAlign w:val="center"/>
                </w:tcPr>
                <w:p>
                  <w:pPr>
                    <w:widowControl/>
                    <w:jc w:val="center"/>
                    <w:rPr>
                      <w:kern w:val="0"/>
                      <w:szCs w:val="21"/>
                      <w:highlight w:val="none"/>
                    </w:rPr>
                  </w:pPr>
                  <w:r>
                    <w:rPr>
                      <w:kern w:val="0"/>
                      <w:szCs w:val="21"/>
                      <w:highlight w:val="none"/>
                    </w:rPr>
                    <w:t>/</w:t>
                  </w:r>
                </w:p>
              </w:tc>
              <w:tc>
                <w:tcPr>
                  <w:tcW w:w="867" w:type="pct"/>
                  <w:vMerge w:val="continue"/>
                  <w:vAlign w:val="center"/>
                </w:tcPr>
                <w:p>
                  <w:pPr>
                    <w:tabs>
                      <w:tab w:val="left" w:pos="4860"/>
                    </w:tabs>
                    <w:jc w:val="center"/>
                    <w:rPr>
                      <w:b/>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43" w:type="pct"/>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5</w:t>
                  </w:r>
                </w:p>
              </w:tc>
              <w:tc>
                <w:tcPr>
                  <w:tcW w:w="697" w:type="pct"/>
                  <w:vAlign w:val="center"/>
                </w:tcPr>
                <w:p>
                  <w:pPr>
                    <w:widowControl/>
                    <w:jc w:val="center"/>
                    <w:rPr>
                      <w:rFonts w:hint="eastAsia"/>
                      <w:kern w:val="0"/>
                      <w:szCs w:val="21"/>
                      <w:highlight w:val="none"/>
                      <w:lang w:eastAsia="zh-CN"/>
                    </w:rPr>
                  </w:pPr>
                  <w:r>
                    <w:rPr>
                      <w:rFonts w:hint="eastAsia"/>
                      <w:kern w:val="0"/>
                      <w:szCs w:val="21"/>
                      <w:highlight w:val="none"/>
                      <w:lang w:eastAsia="zh-CN"/>
                    </w:rPr>
                    <w:t>废油墨</w:t>
                  </w:r>
                </w:p>
              </w:tc>
              <w:tc>
                <w:tcPr>
                  <w:tcW w:w="637" w:type="pct"/>
                  <w:vAlign w:val="center"/>
                </w:tcPr>
                <w:p>
                  <w:pPr>
                    <w:widowControl/>
                    <w:jc w:val="center"/>
                    <w:rPr>
                      <w:rFonts w:hint="eastAsia"/>
                      <w:kern w:val="0"/>
                      <w:szCs w:val="21"/>
                      <w:highlight w:val="none"/>
                      <w:lang w:eastAsia="zh-CN"/>
                    </w:rPr>
                  </w:pPr>
                  <w:r>
                    <w:rPr>
                      <w:rFonts w:hint="eastAsia"/>
                      <w:kern w:val="0"/>
                      <w:szCs w:val="21"/>
                      <w:highlight w:val="none"/>
                      <w:lang w:eastAsia="zh-CN"/>
                    </w:rPr>
                    <w:t>印刷</w:t>
                  </w:r>
                </w:p>
              </w:tc>
              <w:tc>
                <w:tcPr>
                  <w:tcW w:w="426" w:type="pct"/>
                  <w:vAlign w:val="center"/>
                </w:tcPr>
                <w:p>
                  <w:pPr>
                    <w:widowControl/>
                    <w:jc w:val="center"/>
                    <w:rPr>
                      <w:rFonts w:hint="eastAsia"/>
                      <w:kern w:val="0"/>
                      <w:szCs w:val="21"/>
                      <w:highlight w:val="none"/>
                    </w:rPr>
                  </w:pPr>
                  <w:r>
                    <w:rPr>
                      <w:rFonts w:hint="eastAsia"/>
                      <w:kern w:val="0"/>
                      <w:szCs w:val="21"/>
                      <w:highlight w:val="none"/>
                      <w:lang w:eastAsia="zh-CN"/>
                    </w:rPr>
                    <w:t>液</w:t>
                  </w:r>
                  <w:r>
                    <w:rPr>
                      <w:rFonts w:hint="eastAsia"/>
                      <w:kern w:val="0"/>
                      <w:szCs w:val="21"/>
                      <w:highlight w:val="none"/>
                    </w:rPr>
                    <w:t>态</w:t>
                  </w:r>
                </w:p>
              </w:tc>
              <w:tc>
                <w:tcPr>
                  <w:tcW w:w="623" w:type="pct"/>
                  <w:vAlign w:val="center"/>
                </w:tcPr>
                <w:p>
                  <w:pPr>
                    <w:widowControl/>
                    <w:jc w:val="center"/>
                    <w:rPr>
                      <w:rFonts w:hint="eastAsia"/>
                      <w:kern w:val="0"/>
                      <w:szCs w:val="21"/>
                      <w:highlight w:val="none"/>
                      <w:lang w:eastAsia="zh-CN"/>
                    </w:rPr>
                  </w:pPr>
                  <w:r>
                    <w:rPr>
                      <w:rFonts w:hint="eastAsia"/>
                      <w:kern w:val="0"/>
                      <w:szCs w:val="21"/>
                      <w:highlight w:val="none"/>
                      <w:lang w:eastAsia="zh-CN"/>
                    </w:rPr>
                    <w:t>油墨</w:t>
                  </w:r>
                </w:p>
              </w:tc>
              <w:tc>
                <w:tcPr>
                  <w:tcW w:w="494" w:type="pct"/>
                  <w:vAlign w:val="center"/>
                </w:tcPr>
                <w:p>
                  <w:pPr>
                    <w:widowControl/>
                    <w:jc w:val="center"/>
                    <w:rPr>
                      <w:rFonts w:hint="default"/>
                      <w:kern w:val="0"/>
                      <w:szCs w:val="21"/>
                      <w:highlight w:val="none"/>
                      <w:lang w:val="en-US" w:eastAsia="zh-CN"/>
                    </w:rPr>
                  </w:pPr>
                  <w:r>
                    <w:rPr>
                      <w:rFonts w:hint="eastAsia"/>
                      <w:kern w:val="0"/>
                      <w:szCs w:val="21"/>
                      <w:highlight w:val="none"/>
                      <w:lang w:val="en-US" w:eastAsia="zh-CN"/>
                    </w:rPr>
                    <w:t>0.0025</w:t>
                  </w:r>
                </w:p>
              </w:tc>
              <w:tc>
                <w:tcPr>
                  <w:tcW w:w="824" w:type="dxa"/>
                  <w:vAlign w:val="center"/>
                </w:tcPr>
                <w:p>
                  <w:pPr>
                    <w:widowControl/>
                    <w:jc w:val="center"/>
                    <w:rPr>
                      <w:kern w:val="0"/>
                      <w:szCs w:val="21"/>
                      <w:highlight w:val="none"/>
                    </w:rPr>
                  </w:pPr>
                  <w:r>
                    <w:rPr>
                      <w:kern w:val="0"/>
                      <w:szCs w:val="21"/>
                      <w:highlight w:val="none"/>
                    </w:rPr>
                    <w:t>√</w:t>
                  </w:r>
                </w:p>
              </w:tc>
              <w:tc>
                <w:tcPr>
                  <w:tcW w:w="962" w:type="dxa"/>
                  <w:vAlign w:val="center"/>
                </w:tcPr>
                <w:p>
                  <w:pPr>
                    <w:widowControl/>
                    <w:jc w:val="center"/>
                    <w:rPr>
                      <w:kern w:val="0"/>
                      <w:szCs w:val="21"/>
                      <w:highlight w:val="none"/>
                    </w:rPr>
                  </w:pPr>
                  <w:r>
                    <w:rPr>
                      <w:kern w:val="0"/>
                      <w:szCs w:val="21"/>
                      <w:highlight w:val="none"/>
                    </w:rPr>
                    <w:t>/</w:t>
                  </w:r>
                </w:p>
              </w:tc>
              <w:tc>
                <w:tcPr>
                  <w:tcW w:w="867" w:type="pct"/>
                  <w:vMerge w:val="continue"/>
                  <w:vAlign w:val="center"/>
                </w:tcPr>
                <w:p>
                  <w:pPr>
                    <w:tabs>
                      <w:tab w:val="left" w:pos="4860"/>
                    </w:tabs>
                    <w:jc w:val="center"/>
                    <w:rPr>
                      <w:b/>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43" w:type="pct"/>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6</w:t>
                  </w:r>
                </w:p>
              </w:tc>
              <w:tc>
                <w:tcPr>
                  <w:tcW w:w="697" w:type="pct"/>
                  <w:vAlign w:val="center"/>
                </w:tcPr>
                <w:p>
                  <w:pPr>
                    <w:widowControl/>
                    <w:jc w:val="center"/>
                    <w:rPr>
                      <w:rFonts w:hint="eastAsia"/>
                      <w:kern w:val="0"/>
                      <w:szCs w:val="21"/>
                      <w:highlight w:val="none"/>
                      <w:lang w:eastAsia="zh-CN"/>
                    </w:rPr>
                  </w:pPr>
                  <w:r>
                    <w:rPr>
                      <w:rFonts w:hint="eastAsia"/>
                      <w:kern w:val="0"/>
                      <w:szCs w:val="21"/>
                      <w:highlight w:val="none"/>
                      <w:lang w:eastAsia="zh-CN"/>
                    </w:rPr>
                    <w:t>生活垃圾</w:t>
                  </w:r>
                </w:p>
              </w:tc>
              <w:tc>
                <w:tcPr>
                  <w:tcW w:w="637" w:type="pct"/>
                  <w:vAlign w:val="center"/>
                </w:tcPr>
                <w:p>
                  <w:pPr>
                    <w:widowControl/>
                    <w:jc w:val="center"/>
                    <w:rPr>
                      <w:rFonts w:hint="eastAsia"/>
                      <w:kern w:val="0"/>
                      <w:szCs w:val="21"/>
                      <w:highlight w:val="none"/>
                    </w:rPr>
                  </w:pPr>
                  <w:r>
                    <w:rPr>
                      <w:rFonts w:hint="eastAsia"/>
                      <w:kern w:val="0"/>
                      <w:szCs w:val="21"/>
                      <w:highlight w:val="none"/>
                    </w:rPr>
                    <w:t>员工生活</w:t>
                  </w:r>
                </w:p>
              </w:tc>
              <w:tc>
                <w:tcPr>
                  <w:tcW w:w="426" w:type="pct"/>
                  <w:vAlign w:val="center"/>
                </w:tcPr>
                <w:p>
                  <w:pPr>
                    <w:widowControl/>
                    <w:jc w:val="center"/>
                    <w:rPr>
                      <w:rFonts w:hint="eastAsia"/>
                      <w:kern w:val="0"/>
                      <w:szCs w:val="21"/>
                      <w:highlight w:val="none"/>
                    </w:rPr>
                  </w:pPr>
                  <w:r>
                    <w:rPr>
                      <w:rFonts w:hint="eastAsia"/>
                      <w:kern w:val="0"/>
                      <w:szCs w:val="21"/>
                      <w:highlight w:val="none"/>
                    </w:rPr>
                    <w:t>固态</w:t>
                  </w:r>
                </w:p>
              </w:tc>
              <w:tc>
                <w:tcPr>
                  <w:tcW w:w="623" w:type="pct"/>
                  <w:vAlign w:val="center"/>
                </w:tcPr>
                <w:p>
                  <w:pPr>
                    <w:widowControl/>
                    <w:jc w:val="center"/>
                    <w:rPr>
                      <w:rFonts w:hint="eastAsia"/>
                      <w:kern w:val="0"/>
                      <w:szCs w:val="21"/>
                      <w:highlight w:val="none"/>
                    </w:rPr>
                  </w:pPr>
                  <w:r>
                    <w:rPr>
                      <w:rFonts w:hint="eastAsia"/>
                      <w:kern w:val="0"/>
                      <w:szCs w:val="21"/>
                      <w:highlight w:val="none"/>
                    </w:rPr>
                    <w:t>生活垃圾</w:t>
                  </w:r>
                </w:p>
              </w:tc>
              <w:tc>
                <w:tcPr>
                  <w:tcW w:w="494" w:type="pct"/>
                  <w:vAlign w:val="center"/>
                </w:tcPr>
                <w:p>
                  <w:pPr>
                    <w:widowControl/>
                    <w:jc w:val="center"/>
                    <w:rPr>
                      <w:rFonts w:hint="default"/>
                      <w:kern w:val="0"/>
                      <w:szCs w:val="21"/>
                      <w:highlight w:val="none"/>
                      <w:lang w:val="en-US" w:eastAsia="zh-CN"/>
                    </w:rPr>
                  </w:pPr>
                  <w:r>
                    <w:rPr>
                      <w:rFonts w:hint="eastAsia"/>
                      <w:kern w:val="0"/>
                      <w:szCs w:val="21"/>
                      <w:highlight w:val="none"/>
                      <w:lang w:val="en-US" w:eastAsia="zh-CN"/>
                    </w:rPr>
                    <w:t>15</w:t>
                  </w:r>
                </w:p>
              </w:tc>
              <w:tc>
                <w:tcPr>
                  <w:tcW w:w="824" w:type="dxa"/>
                  <w:vAlign w:val="center"/>
                </w:tcPr>
                <w:p>
                  <w:pPr>
                    <w:widowControl/>
                    <w:jc w:val="center"/>
                    <w:rPr>
                      <w:kern w:val="0"/>
                      <w:szCs w:val="21"/>
                      <w:highlight w:val="none"/>
                    </w:rPr>
                  </w:pPr>
                  <w:r>
                    <w:rPr>
                      <w:kern w:val="0"/>
                      <w:szCs w:val="21"/>
                      <w:highlight w:val="none"/>
                    </w:rPr>
                    <w:t>√</w:t>
                  </w:r>
                </w:p>
              </w:tc>
              <w:tc>
                <w:tcPr>
                  <w:tcW w:w="962" w:type="dxa"/>
                  <w:vAlign w:val="center"/>
                </w:tcPr>
                <w:p>
                  <w:pPr>
                    <w:widowControl/>
                    <w:jc w:val="center"/>
                    <w:rPr>
                      <w:kern w:val="0"/>
                      <w:szCs w:val="21"/>
                      <w:highlight w:val="none"/>
                    </w:rPr>
                  </w:pPr>
                  <w:r>
                    <w:rPr>
                      <w:kern w:val="0"/>
                      <w:szCs w:val="21"/>
                      <w:highlight w:val="none"/>
                    </w:rPr>
                    <w:t>/</w:t>
                  </w:r>
                </w:p>
              </w:tc>
              <w:tc>
                <w:tcPr>
                  <w:tcW w:w="867" w:type="pct"/>
                  <w:vMerge w:val="continue"/>
                  <w:vAlign w:val="center"/>
                </w:tcPr>
                <w:p>
                  <w:pPr>
                    <w:tabs>
                      <w:tab w:val="left" w:pos="4860"/>
                    </w:tabs>
                    <w:jc w:val="center"/>
                    <w:rPr>
                      <w:b/>
                      <w:szCs w:val="21"/>
                      <w:highlight w:val="none"/>
                    </w:rPr>
                  </w:pPr>
                </w:p>
              </w:tc>
            </w:tr>
          </w:tbl>
          <w:p>
            <w:pPr>
              <w:spacing w:line="360" w:lineRule="auto"/>
              <w:ind w:firstLine="482" w:firstLineChars="200"/>
              <w:rPr>
                <w:b/>
                <w:bCs/>
                <w:sz w:val="24"/>
                <w:highlight w:val="none"/>
              </w:rPr>
            </w:pPr>
            <w:r>
              <w:rPr>
                <w:b/>
                <w:bCs/>
                <w:sz w:val="24"/>
                <w:highlight w:val="none"/>
              </w:rPr>
              <w:t>（3）固体废物产生情况汇总</w:t>
            </w:r>
          </w:p>
          <w:p>
            <w:pPr>
              <w:spacing w:line="360" w:lineRule="auto"/>
              <w:ind w:firstLine="480" w:firstLineChars="200"/>
              <w:rPr>
                <w:sz w:val="24"/>
                <w:highlight w:val="none"/>
              </w:rPr>
            </w:pPr>
            <w:r>
              <w:rPr>
                <w:sz w:val="24"/>
                <w:highlight w:val="none"/>
              </w:rPr>
              <w:t>根据《国家危险废物名录》（20</w:t>
            </w:r>
            <w:r>
              <w:rPr>
                <w:rFonts w:hint="eastAsia"/>
                <w:sz w:val="24"/>
                <w:highlight w:val="none"/>
              </w:rPr>
              <w:t>21版</w:t>
            </w:r>
            <w:r>
              <w:rPr>
                <w:sz w:val="24"/>
                <w:highlight w:val="none"/>
              </w:rPr>
              <w:t>）以及</w:t>
            </w:r>
            <w:r>
              <w:rPr>
                <w:rFonts w:hint="eastAsia"/>
                <w:sz w:val="24"/>
                <w:highlight w:val="none"/>
              </w:rPr>
              <w:t>《一般固体废物分类与代码》（G</w:t>
            </w:r>
            <w:r>
              <w:rPr>
                <w:sz w:val="24"/>
                <w:highlight w:val="none"/>
              </w:rPr>
              <w:t>B</w:t>
            </w:r>
            <w:r>
              <w:rPr>
                <w:rFonts w:hint="eastAsia"/>
                <w:sz w:val="24"/>
                <w:highlight w:val="none"/>
              </w:rPr>
              <w:t>/</w:t>
            </w:r>
            <w:r>
              <w:rPr>
                <w:sz w:val="24"/>
                <w:highlight w:val="none"/>
              </w:rPr>
              <w:t>T39198-2020</w:t>
            </w:r>
            <w:r>
              <w:rPr>
                <w:rFonts w:hint="eastAsia"/>
                <w:sz w:val="24"/>
                <w:highlight w:val="none"/>
              </w:rPr>
              <w:t>）</w:t>
            </w:r>
            <w:r>
              <w:rPr>
                <w:sz w:val="24"/>
                <w:highlight w:val="none"/>
              </w:rPr>
              <w:t>，判定本项目产生的固废是否属于危险废物。具体判定结果见</w:t>
            </w:r>
            <w:r>
              <w:rPr>
                <w:rFonts w:hint="eastAsia"/>
                <w:sz w:val="24"/>
                <w:highlight w:val="none"/>
              </w:rPr>
              <w:t>下表</w:t>
            </w:r>
            <w:r>
              <w:rPr>
                <w:sz w:val="24"/>
                <w:highlight w:val="none"/>
              </w:rPr>
              <w:t>。</w:t>
            </w:r>
          </w:p>
          <w:p>
            <w:pPr>
              <w:pStyle w:val="48"/>
              <w:rPr>
                <w:rFonts w:eastAsia="宋体"/>
                <w:b/>
                <w:bCs/>
                <w:sz w:val="24"/>
                <w:highlight w:val="yellow"/>
              </w:rPr>
            </w:pPr>
            <w:r>
              <w:rPr>
                <w:rFonts w:eastAsia="宋体"/>
                <w:b/>
                <w:bCs/>
                <w:sz w:val="24"/>
                <w:highlight w:val="none"/>
              </w:rPr>
              <w:t>表</w:t>
            </w:r>
            <w:r>
              <w:rPr>
                <w:rFonts w:hint="eastAsia" w:eastAsia="宋体"/>
                <w:b/>
                <w:bCs/>
                <w:sz w:val="24"/>
                <w:highlight w:val="none"/>
              </w:rPr>
              <w:t>4-</w:t>
            </w:r>
            <w:r>
              <w:rPr>
                <w:rFonts w:eastAsia="宋体"/>
                <w:b/>
                <w:bCs/>
                <w:sz w:val="24"/>
                <w:highlight w:val="none"/>
              </w:rPr>
              <w:t>8  营运期固体废物分析结果汇总表</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4"/>
              <w:gridCol w:w="751"/>
              <w:gridCol w:w="725"/>
              <w:gridCol w:w="799"/>
              <w:gridCol w:w="623"/>
              <w:gridCol w:w="957"/>
              <w:gridCol w:w="1056"/>
              <w:gridCol w:w="679"/>
              <w:gridCol w:w="777"/>
              <w:gridCol w:w="1199"/>
              <w:gridCol w:w="85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39" w:type="pct"/>
                  <w:tcBorders>
                    <w:top w:val="single" w:color="auto" w:sz="12" w:space="0"/>
                    <w:left w:val="nil"/>
                    <w:bottom w:val="single" w:color="auto" w:sz="4" w:space="0"/>
                    <w:right w:val="single" w:color="auto" w:sz="4" w:space="0"/>
                  </w:tcBorders>
                  <w:vAlign w:val="center"/>
                </w:tcPr>
                <w:p>
                  <w:pPr>
                    <w:widowControl/>
                    <w:jc w:val="center"/>
                    <w:rPr>
                      <w:rFonts w:hint="eastAsia"/>
                      <w:b/>
                      <w:bCs/>
                      <w:kern w:val="0"/>
                      <w:szCs w:val="21"/>
                      <w:highlight w:val="none"/>
                    </w:rPr>
                  </w:pPr>
                  <w:r>
                    <w:rPr>
                      <w:rFonts w:hint="eastAsia"/>
                      <w:b/>
                      <w:bCs/>
                      <w:kern w:val="0"/>
                      <w:szCs w:val="21"/>
                      <w:highlight w:val="none"/>
                    </w:rPr>
                    <w:t>序号</w:t>
                  </w:r>
                </w:p>
              </w:tc>
              <w:tc>
                <w:tcPr>
                  <w:tcW w:w="424" w:type="pct"/>
                  <w:tcBorders>
                    <w:top w:val="single" w:color="auto" w:sz="12" w:space="0"/>
                    <w:left w:val="single" w:color="auto" w:sz="4" w:space="0"/>
                    <w:bottom w:val="single" w:color="auto" w:sz="4" w:space="0"/>
                    <w:right w:val="single" w:color="auto" w:sz="4" w:space="0"/>
                  </w:tcBorders>
                  <w:vAlign w:val="center"/>
                </w:tcPr>
                <w:p>
                  <w:pPr>
                    <w:widowControl/>
                    <w:jc w:val="center"/>
                    <w:rPr>
                      <w:rFonts w:hint="eastAsia"/>
                      <w:b/>
                      <w:bCs/>
                      <w:kern w:val="0"/>
                      <w:szCs w:val="21"/>
                      <w:highlight w:val="none"/>
                    </w:rPr>
                  </w:pPr>
                  <w:r>
                    <w:rPr>
                      <w:rFonts w:hint="eastAsia"/>
                      <w:b/>
                      <w:bCs/>
                      <w:kern w:val="0"/>
                      <w:szCs w:val="21"/>
                      <w:highlight w:val="none"/>
                    </w:rPr>
                    <w:t>固废</w:t>
                  </w:r>
                </w:p>
                <w:p>
                  <w:pPr>
                    <w:widowControl/>
                    <w:jc w:val="center"/>
                    <w:rPr>
                      <w:rFonts w:hint="eastAsia"/>
                      <w:b/>
                      <w:bCs/>
                      <w:kern w:val="0"/>
                      <w:szCs w:val="21"/>
                      <w:highlight w:val="none"/>
                    </w:rPr>
                  </w:pPr>
                  <w:r>
                    <w:rPr>
                      <w:rFonts w:hint="eastAsia"/>
                      <w:b/>
                      <w:bCs/>
                      <w:kern w:val="0"/>
                      <w:szCs w:val="21"/>
                      <w:highlight w:val="none"/>
                    </w:rPr>
                    <w:t>名称</w:t>
                  </w:r>
                </w:p>
              </w:tc>
              <w:tc>
                <w:tcPr>
                  <w:tcW w:w="409" w:type="pct"/>
                  <w:tcBorders>
                    <w:top w:val="single" w:color="auto" w:sz="12" w:space="0"/>
                    <w:left w:val="single" w:color="auto" w:sz="4" w:space="0"/>
                    <w:bottom w:val="single" w:color="auto" w:sz="4" w:space="0"/>
                    <w:right w:val="single" w:color="auto" w:sz="4" w:space="0"/>
                  </w:tcBorders>
                  <w:vAlign w:val="center"/>
                </w:tcPr>
                <w:p>
                  <w:pPr>
                    <w:widowControl/>
                    <w:jc w:val="center"/>
                    <w:rPr>
                      <w:rFonts w:hint="eastAsia"/>
                      <w:b/>
                      <w:bCs/>
                      <w:kern w:val="0"/>
                      <w:szCs w:val="21"/>
                      <w:highlight w:val="none"/>
                    </w:rPr>
                  </w:pPr>
                  <w:r>
                    <w:rPr>
                      <w:rFonts w:hint="eastAsia"/>
                      <w:b/>
                      <w:bCs/>
                      <w:kern w:val="0"/>
                      <w:szCs w:val="21"/>
                      <w:highlight w:val="none"/>
                    </w:rPr>
                    <w:t>属性</w:t>
                  </w:r>
                </w:p>
              </w:tc>
              <w:tc>
                <w:tcPr>
                  <w:tcW w:w="451" w:type="pct"/>
                  <w:tcBorders>
                    <w:top w:val="single" w:color="auto" w:sz="12" w:space="0"/>
                    <w:left w:val="single" w:color="auto" w:sz="4" w:space="0"/>
                    <w:bottom w:val="single" w:color="auto" w:sz="4" w:space="0"/>
                    <w:right w:val="single" w:color="auto" w:sz="4" w:space="0"/>
                  </w:tcBorders>
                  <w:vAlign w:val="center"/>
                </w:tcPr>
                <w:p>
                  <w:pPr>
                    <w:widowControl/>
                    <w:jc w:val="center"/>
                    <w:rPr>
                      <w:rFonts w:hint="eastAsia"/>
                      <w:b/>
                      <w:bCs/>
                      <w:kern w:val="0"/>
                      <w:szCs w:val="21"/>
                      <w:highlight w:val="none"/>
                    </w:rPr>
                  </w:pPr>
                  <w:r>
                    <w:rPr>
                      <w:rFonts w:hint="eastAsia"/>
                      <w:b/>
                      <w:bCs/>
                      <w:kern w:val="0"/>
                      <w:szCs w:val="21"/>
                      <w:highlight w:val="none"/>
                    </w:rPr>
                    <w:t>产生工序</w:t>
                  </w:r>
                </w:p>
              </w:tc>
              <w:tc>
                <w:tcPr>
                  <w:tcW w:w="352" w:type="pct"/>
                  <w:tcBorders>
                    <w:top w:val="single" w:color="auto" w:sz="12" w:space="0"/>
                    <w:left w:val="single" w:color="auto" w:sz="4" w:space="0"/>
                    <w:bottom w:val="single" w:color="auto" w:sz="4" w:space="0"/>
                    <w:right w:val="single" w:color="auto" w:sz="4" w:space="0"/>
                  </w:tcBorders>
                  <w:vAlign w:val="center"/>
                </w:tcPr>
                <w:p>
                  <w:pPr>
                    <w:widowControl/>
                    <w:jc w:val="center"/>
                    <w:rPr>
                      <w:rFonts w:hint="eastAsia"/>
                      <w:b/>
                      <w:bCs/>
                      <w:kern w:val="0"/>
                      <w:szCs w:val="21"/>
                      <w:highlight w:val="none"/>
                    </w:rPr>
                  </w:pPr>
                  <w:r>
                    <w:rPr>
                      <w:rFonts w:hint="eastAsia"/>
                      <w:b/>
                      <w:bCs/>
                      <w:kern w:val="0"/>
                      <w:szCs w:val="21"/>
                      <w:highlight w:val="none"/>
                    </w:rPr>
                    <w:t>形态</w:t>
                  </w:r>
                </w:p>
              </w:tc>
              <w:tc>
                <w:tcPr>
                  <w:tcW w:w="541" w:type="pct"/>
                  <w:tcBorders>
                    <w:top w:val="single" w:color="auto" w:sz="12" w:space="0"/>
                    <w:left w:val="single" w:color="auto" w:sz="4" w:space="0"/>
                    <w:bottom w:val="single" w:color="auto" w:sz="4" w:space="0"/>
                    <w:right w:val="single" w:color="auto" w:sz="4" w:space="0"/>
                  </w:tcBorders>
                  <w:vAlign w:val="center"/>
                </w:tcPr>
                <w:p>
                  <w:pPr>
                    <w:widowControl/>
                    <w:jc w:val="center"/>
                    <w:rPr>
                      <w:rFonts w:hint="eastAsia"/>
                      <w:b/>
                      <w:bCs/>
                      <w:kern w:val="0"/>
                      <w:szCs w:val="21"/>
                      <w:highlight w:val="none"/>
                    </w:rPr>
                  </w:pPr>
                  <w:r>
                    <w:rPr>
                      <w:rFonts w:hint="eastAsia"/>
                      <w:b/>
                      <w:bCs/>
                      <w:kern w:val="0"/>
                      <w:szCs w:val="21"/>
                      <w:highlight w:val="none"/>
                    </w:rPr>
                    <w:t>主要</w:t>
                  </w:r>
                </w:p>
                <w:p>
                  <w:pPr>
                    <w:widowControl/>
                    <w:jc w:val="center"/>
                    <w:rPr>
                      <w:rFonts w:hint="eastAsia"/>
                      <w:b/>
                      <w:bCs/>
                      <w:kern w:val="0"/>
                      <w:szCs w:val="21"/>
                      <w:highlight w:val="none"/>
                    </w:rPr>
                  </w:pPr>
                  <w:r>
                    <w:rPr>
                      <w:rFonts w:hint="eastAsia"/>
                      <w:b/>
                      <w:bCs/>
                      <w:kern w:val="0"/>
                      <w:szCs w:val="21"/>
                      <w:highlight w:val="none"/>
                    </w:rPr>
                    <w:t>成分</w:t>
                  </w:r>
                </w:p>
              </w:tc>
              <w:tc>
                <w:tcPr>
                  <w:tcW w:w="597" w:type="pct"/>
                  <w:tcBorders>
                    <w:top w:val="single" w:color="auto" w:sz="12" w:space="0"/>
                    <w:left w:val="single" w:color="auto" w:sz="4" w:space="0"/>
                    <w:bottom w:val="single" w:color="auto" w:sz="4" w:space="0"/>
                    <w:right w:val="single" w:color="auto" w:sz="4" w:space="0"/>
                  </w:tcBorders>
                  <w:vAlign w:val="center"/>
                </w:tcPr>
                <w:p>
                  <w:pPr>
                    <w:widowControl/>
                    <w:jc w:val="center"/>
                    <w:rPr>
                      <w:rFonts w:hint="eastAsia"/>
                      <w:b/>
                      <w:bCs/>
                      <w:kern w:val="0"/>
                      <w:szCs w:val="21"/>
                      <w:highlight w:val="none"/>
                    </w:rPr>
                  </w:pPr>
                  <w:r>
                    <w:rPr>
                      <w:rFonts w:hint="eastAsia"/>
                      <w:b/>
                      <w:bCs/>
                      <w:kern w:val="0"/>
                      <w:szCs w:val="21"/>
                      <w:highlight w:val="none"/>
                    </w:rPr>
                    <w:t>危险特性鉴别方法</w:t>
                  </w:r>
                </w:p>
              </w:tc>
              <w:tc>
                <w:tcPr>
                  <w:tcW w:w="383" w:type="pct"/>
                  <w:tcBorders>
                    <w:top w:val="single" w:color="auto" w:sz="12" w:space="0"/>
                    <w:left w:val="single" w:color="auto" w:sz="4" w:space="0"/>
                    <w:bottom w:val="single" w:color="auto" w:sz="4" w:space="0"/>
                    <w:right w:val="single" w:color="auto" w:sz="4" w:space="0"/>
                  </w:tcBorders>
                  <w:vAlign w:val="center"/>
                </w:tcPr>
                <w:p>
                  <w:pPr>
                    <w:widowControl/>
                    <w:jc w:val="center"/>
                    <w:rPr>
                      <w:rFonts w:hint="eastAsia"/>
                      <w:b/>
                      <w:bCs/>
                      <w:kern w:val="0"/>
                      <w:szCs w:val="21"/>
                      <w:highlight w:val="none"/>
                    </w:rPr>
                  </w:pPr>
                  <w:r>
                    <w:rPr>
                      <w:rFonts w:hint="eastAsia"/>
                      <w:b/>
                      <w:bCs/>
                      <w:kern w:val="0"/>
                      <w:szCs w:val="21"/>
                      <w:highlight w:val="none"/>
                    </w:rPr>
                    <w:t>危险特性</w:t>
                  </w:r>
                </w:p>
              </w:tc>
              <w:tc>
                <w:tcPr>
                  <w:tcW w:w="439" w:type="pct"/>
                  <w:tcBorders>
                    <w:top w:val="single" w:color="auto" w:sz="12" w:space="0"/>
                    <w:left w:val="single" w:color="auto" w:sz="4" w:space="0"/>
                    <w:bottom w:val="single" w:color="auto" w:sz="4" w:space="0"/>
                    <w:right w:val="single" w:color="auto" w:sz="4" w:space="0"/>
                  </w:tcBorders>
                  <w:vAlign w:val="center"/>
                </w:tcPr>
                <w:p>
                  <w:pPr>
                    <w:widowControl/>
                    <w:jc w:val="center"/>
                    <w:rPr>
                      <w:rFonts w:hint="eastAsia"/>
                      <w:b/>
                      <w:bCs/>
                      <w:kern w:val="0"/>
                      <w:szCs w:val="21"/>
                      <w:highlight w:val="none"/>
                    </w:rPr>
                  </w:pPr>
                  <w:r>
                    <w:rPr>
                      <w:rFonts w:hint="eastAsia"/>
                      <w:b/>
                      <w:bCs/>
                      <w:kern w:val="0"/>
                      <w:szCs w:val="21"/>
                      <w:highlight w:val="none"/>
                    </w:rPr>
                    <w:t>废物</w:t>
                  </w:r>
                </w:p>
                <w:p>
                  <w:pPr>
                    <w:widowControl/>
                    <w:jc w:val="center"/>
                    <w:rPr>
                      <w:rFonts w:hint="eastAsia"/>
                      <w:b/>
                      <w:bCs/>
                      <w:kern w:val="0"/>
                      <w:szCs w:val="21"/>
                      <w:highlight w:val="none"/>
                    </w:rPr>
                  </w:pPr>
                  <w:r>
                    <w:rPr>
                      <w:rFonts w:hint="eastAsia"/>
                      <w:b/>
                      <w:bCs/>
                      <w:kern w:val="0"/>
                      <w:szCs w:val="21"/>
                      <w:highlight w:val="none"/>
                    </w:rPr>
                    <w:t>类别</w:t>
                  </w:r>
                </w:p>
              </w:tc>
              <w:tc>
                <w:tcPr>
                  <w:tcW w:w="677" w:type="pct"/>
                  <w:tcBorders>
                    <w:top w:val="single" w:color="auto" w:sz="12" w:space="0"/>
                    <w:left w:val="single" w:color="auto" w:sz="4" w:space="0"/>
                    <w:bottom w:val="single" w:color="auto" w:sz="4" w:space="0"/>
                    <w:right w:val="single" w:color="auto" w:sz="4" w:space="0"/>
                  </w:tcBorders>
                  <w:vAlign w:val="center"/>
                </w:tcPr>
                <w:p>
                  <w:pPr>
                    <w:widowControl/>
                    <w:jc w:val="center"/>
                    <w:rPr>
                      <w:rFonts w:hint="eastAsia"/>
                      <w:b/>
                      <w:bCs/>
                      <w:kern w:val="0"/>
                      <w:szCs w:val="21"/>
                      <w:highlight w:val="none"/>
                    </w:rPr>
                  </w:pPr>
                  <w:r>
                    <w:rPr>
                      <w:rFonts w:hint="eastAsia"/>
                      <w:b/>
                      <w:bCs/>
                      <w:kern w:val="0"/>
                      <w:szCs w:val="21"/>
                      <w:highlight w:val="none"/>
                    </w:rPr>
                    <w:t>废物代码</w:t>
                  </w:r>
                </w:p>
              </w:tc>
              <w:tc>
                <w:tcPr>
                  <w:tcW w:w="482" w:type="pct"/>
                  <w:tcBorders>
                    <w:top w:val="single" w:color="auto" w:sz="12" w:space="0"/>
                    <w:left w:val="single" w:color="auto" w:sz="4" w:space="0"/>
                    <w:bottom w:val="single" w:color="auto" w:sz="4" w:space="0"/>
                    <w:right w:val="nil"/>
                  </w:tcBorders>
                  <w:vAlign w:val="center"/>
                </w:tcPr>
                <w:p>
                  <w:pPr>
                    <w:widowControl/>
                    <w:jc w:val="center"/>
                    <w:rPr>
                      <w:rFonts w:hint="eastAsia"/>
                      <w:b/>
                      <w:bCs/>
                      <w:kern w:val="0"/>
                      <w:szCs w:val="21"/>
                      <w:highlight w:val="none"/>
                    </w:rPr>
                  </w:pPr>
                  <w:r>
                    <w:rPr>
                      <w:rFonts w:hint="eastAsia"/>
                      <w:b/>
                      <w:bCs/>
                      <w:kern w:val="0"/>
                      <w:szCs w:val="21"/>
                      <w:highlight w:val="none"/>
                    </w:rPr>
                    <w:t>估算产生量（t/a）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39" w:type="pct"/>
                  <w:tcBorders>
                    <w:top w:val="single" w:color="auto" w:sz="4" w:space="0"/>
                    <w:left w:val="nil"/>
                    <w:bottom w:val="single" w:color="auto" w:sz="4" w:space="0"/>
                    <w:right w:val="single" w:color="auto" w:sz="4" w:space="0"/>
                  </w:tcBorders>
                  <w:vAlign w:val="center"/>
                </w:tcPr>
                <w:p>
                  <w:pPr>
                    <w:widowControl/>
                    <w:jc w:val="center"/>
                    <w:rPr>
                      <w:rFonts w:hint="eastAsia"/>
                      <w:kern w:val="0"/>
                      <w:szCs w:val="21"/>
                      <w:highlight w:val="none"/>
                    </w:rPr>
                  </w:pPr>
                  <w:r>
                    <w:rPr>
                      <w:rFonts w:hint="eastAsia"/>
                      <w:kern w:val="0"/>
                      <w:szCs w:val="21"/>
                      <w:highlight w:val="none"/>
                    </w:rPr>
                    <w:t>1</w:t>
                  </w:r>
                </w:p>
              </w:tc>
              <w:tc>
                <w:tcPr>
                  <w:tcW w:w="42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highlight w:val="none"/>
                    </w:rPr>
                  </w:pPr>
                  <w:r>
                    <w:rPr>
                      <w:rFonts w:hint="eastAsia"/>
                      <w:kern w:val="0"/>
                      <w:szCs w:val="21"/>
                      <w:highlight w:val="none"/>
                      <w:lang w:eastAsia="zh-CN"/>
                    </w:rPr>
                    <w:t>废包装</w:t>
                  </w:r>
                </w:p>
              </w:tc>
              <w:tc>
                <w:tcPr>
                  <w:tcW w:w="40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highlight w:val="none"/>
                    </w:rPr>
                  </w:pPr>
                  <w:r>
                    <w:rPr>
                      <w:rFonts w:hint="eastAsia"/>
                      <w:kern w:val="0"/>
                      <w:szCs w:val="21"/>
                      <w:highlight w:val="none"/>
                    </w:rPr>
                    <w:t>一般固废</w:t>
                  </w:r>
                </w:p>
              </w:tc>
              <w:tc>
                <w:tcPr>
                  <w:tcW w:w="451" w:type="pct"/>
                  <w:tcBorders>
                    <w:top w:val="single" w:color="auto" w:sz="4" w:space="0"/>
                    <w:left w:val="single" w:color="auto" w:sz="4" w:space="0"/>
                    <w:right w:val="single" w:color="auto" w:sz="4" w:space="0"/>
                  </w:tcBorders>
                  <w:vAlign w:val="center"/>
                </w:tcPr>
                <w:p>
                  <w:pPr>
                    <w:widowControl/>
                    <w:jc w:val="center"/>
                    <w:rPr>
                      <w:rFonts w:hint="eastAsia"/>
                      <w:kern w:val="0"/>
                      <w:szCs w:val="21"/>
                      <w:highlight w:val="none"/>
                    </w:rPr>
                  </w:pPr>
                  <w:r>
                    <w:rPr>
                      <w:rFonts w:hint="eastAsia"/>
                      <w:kern w:val="0"/>
                      <w:szCs w:val="21"/>
                      <w:highlight w:val="none"/>
                    </w:rPr>
                    <w:t>原料使用</w:t>
                  </w:r>
                </w:p>
              </w:tc>
              <w:tc>
                <w:tcPr>
                  <w:tcW w:w="35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highlight w:val="none"/>
                    </w:rPr>
                  </w:pPr>
                  <w:r>
                    <w:rPr>
                      <w:rFonts w:hint="eastAsia"/>
                      <w:kern w:val="0"/>
                      <w:szCs w:val="21"/>
                      <w:highlight w:val="none"/>
                    </w:rPr>
                    <w:t>固态</w:t>
                  </w:r>
                </w:p>
              </w:tc>
              <w:tc>
                <w:tcPr>
                  <w:tcW w:w="54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highlight w:val="none"/>
                    </w:rPr>
                  </w:pPr>
                  <w:r>
                    <w:rPr>
                      <w:rFonts w:hint="eastAsia"/>
                      <w:kern w:val="0"/>
                      <w:szCs w:val="21"/>
                      <w:highlight w:val="none"/>
                      <w:lang w:eastAsia="zh-CN"/>
                    </w:rPr>
                    <w:t>纸皮</w:t>
                  </w:r>
                </w:p>
              </w:tc>
              <w:tc>
                <w:tcPr>
                  <w:tcW w:w="597" w:type="pct"/>
                  <w:vMerge w:val="restart"/>
                  <w:tcBorders>
                    <w:top w:val="single" w:color="auto" w:sz="4" w:space="0"/>
                    <w:left w:val="single" w:color="auto" w:sz="4" w:space="0"/>
                    <w:right w:val="single" w:color="auto" w:sz="4" w:space="0"/>
                  </w:tcBorders>
                  <w:vAlign w:val="center"/>
                </w:tcPr>
                <w:p>
                  <w:pPr>
                    <w:widowControl/>
                    <w:jc w:val="center"/>
                    <w:rPr>
                      <w:rFonts w:hint="eastAsia"/>
                      <w:kern w:val="0"/>
                      <w:szCs w:val="21"/>
                      <w:highlight w:val="none"/>
                    </w:rPr>
                  </w:pPr>
                  <w:r>
                    <w:rPr>
                      <w:rFonts w:hint="eastAsia"/>
                      <w:kern w:val="0"/>
                      <w:szCs w:val="21"/>
                      <w:highlight w:val="none"/>
                    </w:rPr>
                    <w:t>《国家危险废物名录》（2021）</w:t>
                  </w:r>
                </w:p>
              </w:tc>
              <w:tc>
                <w:tcPr>
                  <w:tcW w:w="38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highlight w:val="none"/>
                    </w:rPr>
                  </w:pPr>
                  <w:r>
                    <w:rPr>
                      <w:rFonts w:hint="eastAsia"/>
                      <w:kern w:val="0"/>
                      <w:szCs w:val="21"/>
                      <w:highlight w:val="none"/>
                    </w:rPr>
                    <w:t>/</w:t>
                  </w:r>
                </w:p>
              </w:tc>
              <w:tc>
                <w:tcPr>
                  <w:tcW w:w="43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highlight w:val="none"/>
                    </w:rPr>
                  </w:pPr>
                  <w:r>
                    <w:rPr>
                      <w:rFonts w:hint="eastAsia"/>
                      <w:kern w:val="0"/>
                      <w:szCs w:val="21"/>
                      <w:highlight w:val="none"/>
                    </w:rPr>
                    <w:t>/</w:t>
                  </w:r>
                </w:p>
              </w:tc>
              <w:tc>
                <w:tcPr>
                  <w:tcW w:w="67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highlight w:val="none"/>
                    </w:rPr>
                  </w:pPr>
                  <w:r>
                    <w:rPr>
                      <w:rFonts w:hint="eastAsia"/>
                      <w:kern w:val="0"/>
                      <w:szCs w:val="21"/>
                      <w:highlight w:val="none"/>
                    </w:rPr>
                    <w:t>/</w:t>
                  </w:r>
                </w:p>
              </w:tc>
              <w:tc>
                <w:tcPr>
                  <w:tcW w:w="482" w:type="pct"/>
                  <w:tcBorders>
                    <w:top w:val="single" w:color="auto" w:sz="4" w:space="0"/>
                    <w:left w:val="single" w:color="auto" w:sz="4" w:space="0"/>
                    <w:bottom w:val="single" w:color="auto" w:sz="4" w:space="0"/>
                    <w:right w:val="nil"/>
                  </w:tcBorders>
                  <w:vAlign w:val="center"/>
                </w:tcPr>
                <w:p>
                  <w:pPr>
                    <w:widowControl/>
                    <w:jc w:val="center"/>
                    <w:rPr>
                      <w:rFonts w:hint="eastAsia"/>
                      <w:kern w:val="0"/>
                      <w:szCs w:val="21"/>
                      <w:highlight w:val="none"/>
                    </w:rPr>
                  </w:pPr>
                  <w:r>
                    <w:rPr>
                      <w:rFonts w:hint="eastAsia"/>
                      <w:kern w:val="0"/>
                      <w:szCs w:val="21"/>
                      <w:highlight w:val="none"/>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39" w:type="pct"/>
                  <w:tcBorders>
                    <w:top w:val="single" w:color="auto" w:sz="4" w:space="0"/>
                    <w:left w:val="nil"/>
                    <w:bottom w:val="single" w:color="auto" w:sz="4" w:space="0"/>
                    <w:right w:val="single" w:color="auto" w:sz="4" w:space="0"/>
                  </w:tcBorders>
                  <w:vAlign w:val="center"/>
                </w:tcPr>
                <w:p>
                  <w:pPr>
                    <w:widowControl/>
                    <w:jc w:val="center"/>
                    <w:rPr>
                      <w:rFonts w:hint="eastAsia"/>
                      <w:kern w:val="0"/>
                      <w:szCs w:val="21"/>
                      <w:highlight w:val="none"/>
                    </w:rPr>
                  </w:pPr>
                  <w:r>
                    <w:rPr>
                      <w:rFonts w:hint="eastAsia"/>
                      <w:kern w:val="0"/>
                      <w:szCs w:val="21"/>
                      <w:highlight w:val="none"/>
                    </w:rPr>
                    <w:t>2</w:t>
                  </w:r>
                </w:p>
              </w:tc>
              <w:tc>
                <w:tcPr>
                  <w:tcW w:w="42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highlight w:val="none"/>
                    </w:rPr>
                  </w:pPr>
                  <w:r>
                    <w:rPr>
                      <w:rFonts w:hint="eastAsia"/>
                      <w:kern w:val="0"/>
                      <w:szCs w:val="21"/>
                      <w:highlight w:val="none"/>
                      <w:lang w:eastAsia="zh-CN"/>
                    </w:rPr>
                    <w:t>废边角料</w:t>
                  </w:r>
                </w:p>
              </w:tc>
              <w:tc>
                <w:tcPr>
                  <w:tcW w:w="40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highlight w:val="none"/>
                    </w:rPr>
                  </w:pPr>
                  <w:r>
                    <w:rPr>
                      <w:rFonts w:hint="eastAsia"/>
                      <w:kern w:val="0"/>
                      <w:szCs w:val="21"/>
                      <w:highlight w:val="none"/>
                    </w:rPr>
                    <w:t>一般固废</w:t>
                  </w:r>
                </w:p>
              </w:tc>
              <w:tc>
                <w:tcPr>
                  <w:tcW w:w="451" w:type="pct"/>
                  <w:tcBorders>
                    <w:left w:val="single" w:color="auto" w:sz="4" w:space="0"/>
                    <w:bottom w:val="single" w:color="auto" w:sz="4" w:space="0"/>
                    <w:right w:val="single" w:color="auto" w:sz="4" w:space="0"/>
                  </w:tcBorders>
                  <w:vAlign w:val="center"/>
                </w:tcPr>
                <w:p>
                  <w:pPr>
                    <w:widowControl/>
                    <w:jc w:val="center"/>
                    <w:rPr>
                      <w:rFonts w:hint="eastAsia"/>
                      <w:kern w:val="0"/>
                      <w:szCs w:val="21"/>
                      <w:highlight w:val="none"/>
                    </w:rPr>
                  </w:pPr>
                  <w:r>
                    <w:rPr>
                      <w:rFonts w:hint="eastAsia"/>
                      <w:kern w:val="0"/>
                      <w:szCs w:val="21"/>
                      <w:highlight w:val="none"/>
                    </w:rPr>
                    <w:t>原料使用</w:t>
                  </w:r>
                </w:p>
              </w:tc>
              <w:tc>
                <w:tcPr>
                  <w:tcW w:w="35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highlight w:val="none"/>
                    </w:rPr>
                  </w:pPr>
                  <w:r>
                    <w:rPr>
                      <w:rFonts w:hint="eastAsia"/>
                      <w:kern w:val="0"/>
                      <w:szCs w:val="21"/>
                      <w:highlight w:val="none"/>
                    </w:rPr>
                    <w:t>固态</w:t>
                  </w:r>
                </w:p>
              </w:tc>
              <w:tc>
                <w:tcPr>
                  <w:tcW w:w="54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highlight w:val="none"/>
                    </w:rPr>
                  </w:pPr>
                  <w:r>
                    <w:rPr>
                      <w:rFonts w:hint="eastAsia"/>
                      <w:kern w:val="0"/>
                      <w:szCs w:val="21"/>
                      <w:highlight w:val="none"/>
                    </w:rPr>
                    <w:t>金属</w:t>
                  </w:r>
                  <w:r>
                    <w:rPr>
                      <w:rFonts w:hint="eastAsia"/>
                      <w:kern w:val="0"/>
                      <w:szCs w:val="21"/>
                      <w:highlight w:val="none"/>
                      <w:lang w:eastAsia="zh-CN"/>
                    </w:rPr>
                    <w:t>、塑料等</w:t>
                  </w:r>
                </w:p>
              </w:tc>
              <w:tc>
                <w:tcPr>
                  <w:tcW w:w="597" w:type="pct"/>
                  <w:vMerge w:val="continue"/>
                  <w:tcBorders>
                    <w:left w:val="single" w:color="auto" w:sz="4" w:space="0"/>
                    <w:right w:val="single" w:color="auto" w:sz="4" w:space="0"/>
                  </w:tcBorders>
                  <w:vAlign w:val="center"/>
                </w:tcPr>
                <w:p>
                  <w:pPr>
                    <w:widowControl/>
                    <w:jc w:val="center"/>
                    <w:rPr>
                      <w:rFonts w:hint="eastAsia"/>
                      <w:kern w:val="0"/>
                      <w:szCs w:val="21"/>
                      <w:highlight w:val="none"/>
                    </w:rPr>
                  </w:pPr>
                </w:p>
              </w:tc>
              <w:tc>
                <w:tcPr>
                  <w:tcW w:w="38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highlight w:val="none"/>
                    </w:rPr>
                  </w:pPr>
                  <w:r>
                    <w:rPr>
                      <w:rFonts w:hint="eastAsia"/>
                      <w:kern w:val="0"/>
                      <w:szCs w:val="21"/>
                      <w:highlight w:val="none"/>
                    </w:rPr>
                    <w:t>/</w:t>
                  </w:r>
                </w:p>
              </w:tc>
              <w:tc>
                <w:tcPr>
                  <w:tcW w:w="43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highlight w:val="none"/>
                    </w:rPr>
                  </w:pPr>
                  <w:r>
                    <w:rPr>
                      <w:rFonts w:hint="eastAsia"/>
                      <w:kern w:val="0"/>
                      <w:szCs w:val="21"/>
                      <w:highlight w:val="none"/>
                    </w:rPr>
                    <w:t>/</w:t>
                  </w:r>
                </w:p>
              </w:tc>
              <w:tc>
                <w:tcPr>
                  <w:tcW w:w="67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highlight w:val="none"/>
                    </w:rPr>
                  </w:pPr>
                  <w:r>
                    <w:rPr>
                      <w:rFonts w:hint="eastAsia"/>
                      <w:kern w:val="0"/>
                      <w:szCs w:val="21"/>
                      <w:highlight w:val="none"/>
                    </w:rPr>
                    <w:t>/</w:t>
                  </w:r>
                </w:p>
              </w:tc>
              <w:tc>
                <w:tcPr>
                  <w:tcW w:w="482" w:type="pct"/>
                  <w:tcBorders>
                    <w:top w:val="single" w:color="auto" w:sz="4" w:space="0"/>
                    <w:left w:val="single" w:color="auto" w:sz="4" w:space="0"/>
                    <w:bottom w:val="single" w:color="auto" w:sz="4" w:space="0"/>
                    <w:right w:val="nil"/>
                  </w:tcBorders>
                  <w:vAlign w:val="center"/>
                </w:tcPr>
                <w:p>
                  <w:pPr>
                    <w:widowControl/>
                    <w:jc w:val="center"/>
                    <w:rPr>
                      <w:rFonts w:hint="eastAsia"/>
                      <w:kern w:val="0"/>
                      <w:szCs w:val="21"/>
                      <w:highlight w:val="none"/>
                    </w:rPr>
                  </w:pPr>
                  <w:r>
                    <w:rPr>
                      <w:rFonts w:hint="eastAsia"/>
                      <w:kern w:val="0"/>
                      <w:szCs w:val="21"/>
                      <w:highlight w:val="none"/>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39" w:type="pct"/>
                  <w:tcBorders>
                    <w:top w:val="single" w:color="auto" w:sz="4" w:space="0"/>
                    <w:left w:val="nil"/>
                    <w:bottom w:val="single" w:color="auto" w:sz="4" w:space="0"/>
                    <w:right w:val="single" w:color="auto" w:sz="4" w:space="0"/>
                  </w:tcBorders>
                  <w:vAlign w:val="center"/>
                </w:tcPr>
                <w:p>
                  <w:pPr>
                    <w:widowControl/>
                    <w:jc w:val="center"/>
                    <w:rPr>
                      <w:rFonts w:hint="eastAsia"/>
                      <w:kern w:val="0"/>
                      <w:szCs w:val="21"/>
                      <w:highlight w:val="none"/>
                    </w:rPr>
                  </w:pPr>
                  <w:r>
                    <w:rPr>
                      <w:rFonts w:hint="eastAsia"/>
                      <w:kern w:val="0"/>
                      <w:szCs w:val="21"/>
                      <w:highlight w:val="none"/>
                    </w:rPr>
                    <w:t>3</w:t>
                  </w:r>
                </w:p>
              </w:tc>
              <w:tc>
                <w:tcPr>
                  <w:tcW w:w="42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highlight w:val="none"/>
                    </w:rPr>
                  </w:pPr>
                  <w:r>
                    <w:rPr>
                      <w:rFonts w:hint="eastAsia"/>
                      <w:kern w:val="0"/>
                      <w:szCs w:val="21"/>
                      <w:highlight w:val="none"/>
                      <w:lang w:eastAsia="zh-CN"/>
                    </w:rPr>
                    <w:t>废活性炭</w:t>
                  </w:r>
                </w:p>
              </w:tc>
              <w:tc>
                <w:tcPr>
                  <w:tcW w:w="40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highlight w:val="none"/>
                    </w:rPr>
                  </w:pPr>
                  <w:r>
                    <w:rPr>
                      <w:rFonts w:hint="default"/>
                      <w:kern w:val="0"/>
                      <w:szCs w:val="21"/>
                      <w:highlight w:val="none"/>
                    </w:rPr>
                    <w:t>危险废物</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highlight w:val="none"/>
                    </w:rPr>
                  </w:pPr>
                  <w:r>
                    <w:rPr>
                      <w:rFonts w:hint="eastAsia"/>
                      <w:kern w:val="0"/>
                      <w:szCs w:val="21"/>
                      <w:highlight w:val="none"/>
                    </w:rPr>
                    <w:t>废气处</w:t>
                  </w:r>
                  <w:r>
                    <w:rPr>
                      <w:rFonts w:hint="eastAsia"/>
                      <w:kern w:val="0"/>
                      <w:szCs w:val="21"/>
                      <w:highlight w:val="none"/>
                      <w:lang w:eastAsia="zh-CN"/>
                    </w:rPr>
                    <w:t>理</w:t>
                  </w:r>
                </w:p>
              </w:tc>
              <w:tc>
                <w:tcPr>
                  <w:tcW w:w="35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highlight w:val="none"/>
                    </w:rPr>
                  </w:pPr>
                  <w:r>
                    <w:rPr>
                      <w:rFonts w:hint="eastAsia"/>
                      <w:kern w:val="0"/>
                      <w:szCs w:val="21"/>
                      <w:highlight w:val="none"/>
                    </w:rPr>
                    <w:t>固态</w:t>
                  </w:r>
                </w:p>
              </w:tc>
              <w:tc>
                <w:tcPr>
                  <w:tcW w:w="54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highlight w:val="none"/>
                    </w:rPr>
                  </w:pPr>
                  <w:r>
                    <w:rPr>
                      <w:rFonts w:hint="eastAsia"/>
                      <w:kern w:val="0"/>
                      <w:szCs w:val="21"/>
                      <w:highlight w:val="none"/>
                      <w:lang w:eastAsia="zh-CN"/>
                    </w:rPr>
                    <w:t>活性炭</w:t>
                  </w:r>
                </w:p>
              </w:tc>
              <w:tc>
                <w:tcPr>
                  <w:tcW w:w="597" w:type="pct"/>
                  <w:vMerge w:val="continue"/>
                  <w:tcBorders>
                    <w:left w:val="single" w:color="auto" w:sz="4" w:space="0"/>
                    <w:right w:val="single" w:color="auto" w:sz="4" w:space="0"/>
                  </w:tcBorders>
                  <w:vAlign w:val="center"/>
                </w:tcPr>
                <w:p>
                  <w:pPr>
                    <w:widowControl/>
                    <w:jc w:val="center"/>
                    <w:rPr>
                      <w:rFonts w:hint="eastAsia"/>
                      <w:kern w:val="0"/>
                      <w:szCs w:val="21"/>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highlight w:val="none"/>
                    </w:rPr>
                  </w:pPr>
                  <w:r>
                    <w:rPr>
                      <w:rFonts w:hint="eastAsia"/>
                      <w:kern w:val="0"/>
                      <w:szCs w:val="21"/>
                      <w:highlight w:val="none"/>
                    </w:rPr>
                    <w:t>T</w:t>
                  </w:r>
                </w:p>
              </w:tc>
              <w:tc>
                <w:tcPr>
                  <w:tcW w:w="7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highlight w:val="none"/>
                    </w:rPr>
                  </w:pPr>
                  <w:r>
                    <w:rPr>
                      <w:rFonts w:hint="eastAsia"/>
                      <w:kern w:val="0"/>
                      <w:szCs w:val="21"/>
                      <w:highlight w:val="none"/>
                    </w:rPr>
                    <w:t>HW49</w:t>
                  </w:r>
                </w:p>
              </w:tc>
              <w:tc>
                <w:tcPr>
                  <w:tcW w:w="11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highlight w:val="none"/>
                    </w:rPr>
                  </w:pPr>
                  <w:r>
                    <w:rPr>
                      <w:rFonts w:hint="eastAsia"/>
                      <w:kern w:val="0"/>
                      <w:szCs w:val="21"/>
                      <w:highlight w:val="none"/>
                    </w:rPr>
                    <w:t>900-039-49</w:t>
                  </w:r>
                </w:p>
              </w:tc>
              <w:tc>
                <w:tcPr>
                  <w:tcW w:w="482" w:type="pct"/>
                  <w:tcBorders>
                    <w:top w:val="single" w:color="auto" w:sz="4" w:space="0"/>
                    <w:left w:val="single" w:color="auto" w:sz="4" w:space="0"/>
                    <w:bottom w:val="single" w:color="auto" w:sz="4" w:space="0"/>
                    <w:right w:val="nil"/>
                  </w:tcBorders>
                  <w:vAlign w:val="center"/>
                </w:tcPr>
                <w:p>
                  <w:pPr>
                    <w:widowControl/>
                    <w:jc w:val="center"/>
                    <w:rPr>
                      <w:rFonts w:hint="eastAsia"/>
                      <w:kern w:val="0"/>
                      <w:szCs w:val="21"/>
                      <w:highlight w:val="none"/>
                    </w:rPr>
                  </w:pPr>
                  <w:r>
                    <w:rPr>
                      <w:rFonts w:hint="eastAsia"/>
                      <w:kern w:val="0"/>
                      <w:szCs w:val="21"/>
                      <w:highlight w:val="none"/>
                      <w:lang w:val="en-US" w:eastAsia="zh-CN"/>
                    </w:rPr>
                    <w:t>10.5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39" w:type="pct"/>
                  <w:tcBorders>
                    <w:top w:val="single" w:color="auto" w:sz="4" w:space="0"/>
                    <w:left w:val="nil"/>
                    <w:bottom w:val="single" w:color="auto" w:sz="4" w:space="0"/>
                    <w:right w:val="single" w:color="auto" w:sz="4" w:space="0"/>
                  </w:tcBorders>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4</w:t>
                  </w:r>
                </w:p>
              </w:tc>
              <w:tc>
                <w:tcPr>
                  <w:tcW w:w="42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highlight w:val="none"/>
                    </w:rPr>
                  </w:pPr>
                  <w:r>
                    <w:rPr>
                      <w:rFonts w:hint="eastAsia"/>
                      <w:kern w:val="0"/>
                      <w:szCs w:val="21"/>
                      <w:highlight w:val="none"/>
                      <w:lang w:eastAsia="zh-CN"/>
                    </w:rPr>
                    <w:t>废切削液</w:t>
                  </w:r>
                </w:p>
              </w:tc>
              <w:tc>
                <w:tcPr>
                  <w:tcW w:w="40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highlight w:val="none"/>
                    </w:rPr>
                  </w:pPr>
                  <w:r>
                    <w:rPr>
                      <w:rFonts w:hint="default"/>
                      <w:kern w:val="0"/>
                      <w:szCs w:val="21"/>
                      <w:highlight w:val="none"/>
                    </w:rPr>
                    <w:t>危险废物</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highlight w:val="none"/>
                    </w:rPr>
                  </w:pPr>
                  <w:r>
                    <w:rPr>
                      <w:rFonts w:hint="default"/>
                      <w:kern w:val="0"/>
                      <w:szCs w:val="21"/>
                      <w:highlight w:val="none"/>
                    </w:rPr>
                    <w:t>机床加工</w:t>
                  </w:r>
                </w:p>
              </w:tc>
              <w:tc>
                <w:tcPr>
                  <w:tcW w:w="35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highlight w:val="none"/>
                    </w:rPr>
                  </w:pPr>
                  <w:r>
                    <w:rPr>
                      <w:rFonts w:hint="eastAsia"/>
                      <w:kern w:val="0"/>
                      <w:szCs w:val="21"/>
                      <w:highlight w:val="none"/>
                      <w:lang w:eastAsia="zh-CN"/>
                    </w:rPr>
                    <w:t>液</w:t>
                  </w:r>
                  <w:r>
                    <w:rPr>
                      <w:rFonts w:hint="eastAsia"/>
                      <w:kern w:val="0"/>
                      <w:szCs w:val="21"/>
                      <w:highlight w:val="none"/>
                    </w:rPr>
                    <w:t>态</w:t>
                  </w:r>
                </w:p>
              </w:tc>
              <w:tc>
                <w:tcPr>
                  <w:tcW w:w="54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highlight w:val="none"/>
                    </w:rPr>
                  </w:pPr>
                  <w:r>
                    <w:rPr>
                      <w:rFonts w:hint="eastAsia"/>
                      <w:kern w:val="0"/>
                      <w:szCs w:val="21"/>
                      <w:highlight w:val="none"/>
                      <w:lang w:eastAsia="zh-CN"/>
                    </w:rPr>
                    <w:t>切削液</w:t>
                  </w:r>
                </w:p>
              </w:tc>
              <w:tc>
                <w:tcPr>
                  <w:tcW w:w="597" w:type="pct"/>
                  <w:vMerge w:val="continue"/>
                  <w:tcBorders>
                    <w:left w:val="single" w:color="auto" w:sz="4" w:space="0"/>
                    <w:right w:val="single" w:color="auto" w:sz="4" w:space="0"/>
                  </w:tcBorders>
                  <w:vAlign w:val="center"/>
                </w:tcPr>
                <w:p>
                  <w:pPr>
                    <w:widowControl/>
                    <w:jc w:val="center"/>
                    <w:rPr>
                      <w:rFonts w:hint="eastAsia"/>
                      <w:kern w:val="0"/>
                      <w:szCs w:val="21"/>
                      <w:highlight w:val="none"/>
                    </w:rPr>
                  </w:pPr>
                </w:p>
              </w:tc>
              <w:tc>
                <w:tcPr>
                  <w:tcW w:w="38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kern w:val="0"/>
                      <w:szCs w:val="21"/>
                      <w:highlight w:val="none"/>
                      <w:lang w:val="en-US" w:eastAsia="zh-CN"/>
                    </w:rPr>
                  </w:pPr>
                  <w:r>
                    <w:rPr>
                      <w:rFonts w:hint="default"/>
                      <w:kern w:val="0"/>
                      <w:szCs w:val="21"/>
                      <w:highlight w:val="none"/>
                    </w:rPr>
                    <w:t>T</w:t>
                  </w:r>
                </w:p>
              </w:tc>
              <w:tc>
                <w:tcPr>
                  <w:tcW w:w="439"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kern w:val="0"/>
                      <w:szCs w:val="21"/>
                      <w:highlight w:val="none"/>
                      <w:lang w:val="en-US" w:eastAsia="zh-CN"/>
                    </w:rPr>
                  </w:pPr>
                  <w:r>
                    <w:rPr>
                      <w:rFonts w:hint="default"/>
                      <w:kern w:val="0"/>
                      <w:szCs w:val="21"/>
                      <w:highlight w:val="none"/>
                    </w:rPr>
                    <w:t>HW09</w:t>
                  </w:r>
                </w:p>
              </w:tc>
              <w:tc>
                <w:tcPr>
                  <w:tcW w:w="677"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kern w:val="0"/>
                      <w:szCs w:val="21"/>
                      <w:highlight w:val="none"/>
                      <w:lang w:val="en-US" w:eastAsia="zh-CN"/>
                    </w:rPr>
                  </w:pPr>
                  <w:r>
                    <w:rPr>
                      <w:rFonts w:hint="default"/>
                      <w:kern w:val="0"/>
                      <w:szCs w:val="21"/>
                      <w:highlight w:val="none"/>
                    </w:rPr>
                    <w:t>900-006-09</w:t>
                  </w:r>
                </w:p>
              </w:tc>
              <w:tc>
                <w:tcPr>
                  <w:tcW w:w="482" w:type="pct"/>
                  <w:tcBorders>
                    <w:top w:val="single" w:color="auto" w:sz="4" w:space="0"/>
                    <w:left w:val="single" w:color="auto" w:sz="4" w:space="0"/>
                    <w:bottom w:val="single" w:color="auto" w:sz="4" w:space="0"/>
                    <w:right w:val="nil"/>
                  </w:tcBorders>
                  <w:vAlign w:val="center"/>
                </w:tcPr>
                <w:p>
                  <w:pPr>
                    <w:widowControl/>
                    <w:jc w:val="center"/>
                    <w:rPr>
                      <w:rFonts w:hint="eastAsia"/>
                      <w:kern w:val="0"/>
                      <w:szCs w:val="21"/>
                      <w:highlight w:val="none"/>
                    </w:rPr>
                  </w:pPr>
                  <w:r>
                    <w:rPr>
                      <w:rFonts w:hint="eastAsia"/>
                      <w:kern w:val="0"/>
                      <w:szCs w:val="21"/>
                      <w:highlight w:val="none"/>
                      <w:lang w:val="en-US" w:eastAsia="zh-CN"/>
                    </w:rPr>
                    <w:t>0.005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39" w:type="pct"/>
                  <w:tcBorders>
                    <w:top w:val="single" w:color="auto" w:sz="4" w:space="0"/>
                    <w:left w:val="nil"/>
                    <w:bottom w:val="single" w:color="auto" w:sz="4" w:space="0"/>
                    <w:right w:val="single" w:color="auto" w:sz="4" w:space="0"/>
                  </w:tcBorders>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5</w:t>
                  </w:r>
                </w:p>
              </w:tc>
              <w:tc>
                <w:tcPr>
                  <w:tcW w:w="42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highlight w:val="none"/>
                    </w:rPr>
                  </w:pPr>
                  <w:r>
                    <w:rPr>
                      <w:rFonts w:hint="eastAsia"/>
                      <w:kern w:val="0"/>
                      <w:szCs w:val="21"/>
                      <w:highlight w:val="none"/>
                      <w:lang w:eastAsia="zh-CN"/>
                    </w:rPr>
                    <w:t>废油墨</w:t>
                  </w:r>
                </w:p>
              </w:tc>
              <w:tc>
                <w:tcPr>
                  <w:tcW w:w="40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highlight w:val="none"/>
                    </w:rPr>
                  </w:pPr>
                  <w:r>
                    <w:rPr>
                      <w:rFonts w:hint="default"/>
                      <w:kern w:val="0"/>
                      <w:szCs w:val="21"/>
                      <w:highlight w:val="none"/>
                    </w:rPr>
                    <w:t>危险废物</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highlight w:val="none"/>
                    </w:rPr>
                  </w:pPr>
                  <w:r>
                    <w:rPr>
                      <w:rFonts w:hint="eastAsia"/>
                      <w:kern w:val="0"/>
                      <w:szCs w:val="21"/>
                      <w:highlight w:val="none"/>
                      <w:lang w:eastAsia="zh-CN"/>
                    </w:rPr>
                    <w:t>印刷</w:t>
                  </w:r>
                </w:p>
              </w:tc>
              <w:tc>
                <w:tcPr>
                  <w:tcW w:w="35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highlight w:val="none"/>
                    </w:rPr>
                  </w:pPr>
                  <w:r>
                    <w:rPr>
                      <w:rFonts w:hint="eastAsia"/>
                      <w:kern w:val="0"/>
                      <w:szCs w:val="21"/>
                      <w:highlight w:val="none"/>
                      <w:lang w:eastAsia="zh-CN"/>
                    </w:rPr>
                    <w:t>液</w:t>
                  </w:r>
                  <w:r>
                    <w:rPr>
                      <w:rFonts w:hint="eastAsia"/>
                      <w:kern w:val="0"/>
                      <w:szCs w:val="21"/>
                      <w:highlight w:val="none"/>
                    </w:rPr>
                    <w:t>态</w:t>
                  </w:r>
                </w:p>
              </w:tc>
              <w:tc>
                <w:tcPr>
                  <w:tcW w:w="54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highlight w:val="none"/>
                    </w:rPr>
                  </w:pPr>
                  <w:r>
                    <w:rPr>
                      <w:rFonts w:hint="eastAsia"/>
                      <w:kern w:val="0"/>
                      <w:szCs w:val="21"/>
                      <w:highlight w:val="none"/>
                      <w:lang w:eastAsia="zh-CN"/>
                    </w:rPr>
                    <w:t>油墨</w:t>
                  </w:r>
                </w:p>
              </w:tc>
              <w:tc>
                <w:tcPr>
                  <w:tcW w:w="597" w:type="pct"/>
                  <w:vMerge w:val="continue"/>
                  <w:tcBorders>
                    <w:left w:val="single" w:color="auto" w:sz="4" w:space="0"/>
                    <w:right w:val="single" w:color="auto" w:sz="4" w:space="0"/>
                  </w:tcBorders>
                  <w:vAlign w:val="center"/>
                </w:tcPr>
                <w:p>
                  <w:pPr>
                    <w:widowControl/>
                    <w:jc w:val="center"/>
                    <w:rPr>
                      <w:rFonts w:hint="eastAsia"/>
                      <w:kern w:val="0"/>
                      <w:szCs w:val="21"/>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highlight w:val="none"/>
                    </w:rPr>
                  </w:pPr>
                  <w:r>
                    <w:rPr>
                      <w:rFonts w:hint="eastAsia"/>
                      <w:kern w:val="0"/>
                      <w:szCs w:val="21"/>
                      <w:highlight w:val="none"/>
                    </w:rPr>
                    <w:t>T,I</w:t>
                  </w:r>
                </w:p>
              </w:tc>
              <w:tc>
                <w:tcPr>
                  <w:tcW w:w="7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highlight w:val="none"/>
                    </w:rPr>
                  </w:pPr>
                  <w:r>
                    <w:rPr>
                      <w:rFonts w:hint="eastAsia"/>
                      <w:kern w:val="0"/>
                      <w:szCs w:val="21"/>
                      <w:highlight w:val="none"/>
                    </w:rPr>
                    <w:t>HW12</w:t>
                  </w:r>
                </w:p>
              </w:tc>
              <w:tc>
                <w:tcPr>
                  <w:tcW w:w="11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highlight w:val="none"/>
                    </w:rPr>
                  </w:pPr>
                  <w:r>
                    <w:rPr>
                      <w:rFonts w:hint="eastAsia"/>
                      <w:kern w:val="0"/>
                      <w:szCs w:val="21"/>
                      <w:highlight w:val="none"/>
                    </w:rPr>
                    <w:t>900-253-12</w:t>
                  </w:r>
                </w:p>
              </w:tc>
              <w:tc>
                <w:tcPr>
                  <w:tcW w:w="482" w:type="pct"/>
                  <w:tcBorders>
                    <w:top w:val="single" w:color="auto" w:sz="4" w:space="0"/>
                    <w:left w:val="single" w:color="auto" w:sz="4" w:space="0"/>
                    <w:bottom w:val="single" w:color="auto" w:sz="4" w:space="0"/>
                    <w:right w:val="nil"/>
                  </w:tcBorders>
                  <w:vAlign w:val="center"/>
                </w:tcPr>
                <w:p>
                  <w:pPr>
                    <w:widowControl/>
                    <w:jc w:val="center"/>
                    <w:rPr>
                      <w:rFonts w:hint="eastAsia"/>
                      <w:kern w:val="0"/>
                      <w:szCs w:val="21"/>
                      <w:highlight w:val="none"/>
                    </w:rPr>
                  </w:pPr>
                  <w:r>
                    <w:rPr>
                      <w:rFonts w:hint="eastAsia"/>
                      <w:kern w:val="0"/>
                      <w:szCs w:val="21"/>
                      <w:highlight w:val="none"/>
                      <w:lang w:val="en-US" w:eastAsia="zh-CN"/>
                    </w:rPr>
                    <w:t>0.0025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39" w:type="pct"/>
                  <w:tcBorders>
                    <w:top w:val="single" w:color="auto" w:sz="4" w:space="0"/>
                    <w:left w:val="nil"/>
                    <w:bottom w:val="single" w:color="auto" w:sz="4" w:space="0"/>
                    <w:right w:val="single" w:color="auto" w:sz="4" w:space="0"/>
                  </w:tcBorders>
                  <w:vAlign w:val="center"/>
                </w:tcPr>
                <w:p>
                  <w:pPr>
                    <w:widowControl/>
                    <w:jc w:val="center"/>
                    <w:rPr>
                      <w:rFonts w:hint="eastAsia"/>
                      <w:kern w:val="0"/>
                      <w:szCs w:val="21"/>
                      <w:highlight w:val="none"/>
                      <w:lang w:eastAsia="zh-CN"/>
                    </w:rPr>
                  </w:pPr>
                  <w:r>
                    <w:rPr>
                      <w:rFonts w:hint="eastAsia"/>
                      <w:kern w:val="0"/>
                      <w:szCs w:val="21"/>
                      <w:highlight w:val="none"/>
                      <w:lang w:val="en-US" w:eastAsia="zh-CN"/>
                    </w:rPr>
                    <w:t>6</w:t>
                  </w:r>
                </w:p>
              </w:tc>
              <w:tc>
                <w:tcPr>
                  <w:tcW w:w="42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highlight w:val="none"/>
                    </w:rPr>
                  </w:pPr>
                  <w:r>
                    <w:rPr>
                      <w:rFonts w:hint="eastAsia"/>
                      <w:kern w:val="0"/>
                      <w:szCs w:val="21"/>
                      <w:highlight w:val="none"/>
                    </w:rPr>
                    <w:t>生活垃圾</w:t>
                  </w:r>
                </w:p>
              </w:tc>
              <w:tc>
                <w:tcPr>
                  <w:tcW w:w="40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highlight w:val="none"/>
                    </w:rPr>
                  </w:pPr>
                  <w:r>
                    <w:rPr>
                      <w:rFonts w:hint="eastAsia"/>
                      <w:kern w:val="0"/>
                      <w:szCs w:val="21"/>
                      <w:highlight w:val="none"/>
                    </w:rPr>
                    <w:t>生活垃圾</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highlight w:val="none"/>
                    </w:rPr>
                  </w:pPr>
                  <w:r>
                    <w:rPr>
                      <w:rFonts w:hint="eastAsia"/>
                      <w:kern w:val="0"/>
                      <w:szCs w:val="21"/>
                      <w:highlight w:val="none"/>
                    </w:rPr>
                    <w:t>员工生活</w:t>
                  </w:r>
                </w:p>
              </w:tc>
              <w:tc>
                <w:tcPr>
                  <w:tcW w:w="35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highlight w:val="none"/>
                    </w:rPr>
                  </w:pPr>
                  <w:r>
                    <w:rPr>
                      <w:rFonts w:hint="eastAsia"/>
                      <w:kern w:val="0"/>
                      <w:szCs w:val="21"/>
                      <w:highlight w:val="none"/>
                    </w:rPr>
                    <w:t>固态</w:t>
                  </w:r>
                </w:p>
              </w:tc>
              <w:tc>
                <w:tcPr>
                  <w:tcW w:w="54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highlight w:val="none"/>
                    </w:rPr>
                  </w:pPr>
                  <w:r>
                    <w:rPr>
                      <w:rFonts w:hint="eastAsia"/>
                      <w:kern w:val="0"/>
                      <w:szCs w:val="21"/>
                      <w:highlight w:val="none"/>
                    </w:rPr>
                    <w:t>生活垃圾</w:t>
                  </w:r>
                </w:p>
              </w:tc>
              <w:tc>
                <w:tcPr>
                  <w:tcW w:w="597" w:type="pct"/>
                  <w:tcBorders>
                    <w:left w:val="single" w:color="auto" w:sz="4" w:space="0"/>
                    <w:right w:val="single" w:color="auto" w:sz="4" w:space="0"/>
                  </w:tcBorders>
                  <w:vAlign w:val="center"/>
                </w:tcPr>
                <w:p>
                  <w:pPr>
                    <w:widowControl/>
                    <w:jc w:val="center"/>
                    <w:rPr>
                      <w:rFonts w:hint="eastAsia"/>
                      <w:kern w:val="0"/>
                      <w:szCs w:val="21"/>
                      <w:highlight w:val="none"/>
                    </w:rPr>
                  </w:pPr>
                  <w:r>
                    <w:rPr>
                      <w:rFonts w:hint="eastAsia"/>
                      <w:kern w:val="0"/>
                      <w:szCs w:val="21"/>
                      <w:highlight w:val="none"/>
                    </w:rPr>
                    <w:t>/</w:t>
                  </w:r>
                </w:p>
              </w:tc>
              <w:tc>
                <w:tcPr>
                  <w:tcW w:w="38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highlight w:val="none"/>
                    </w:rPr>
                  </w:pPr>
                  <w:r>
                    <w:rPr>
                      <w:rFonts w:hint="eastAsia"/>
                      <w:kern w:val="0"/>
                      <w:szCs w:val="21"/>
                      <w:highlight w:val="none"/>
                    </w:rPr>
                    <w:t>/</w:t>
                  </w:r>
                </w:p>
              </w:tc>
              <w:tc>
                <w:tcPr>
                  <w:tcW w:w="43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highlight w:val="none"/>
                    </w:rPr>
                  </w:pPr>
                  <w:r>
                    <w:rPr>
                      <w:rFonts w:hint="eastAsia"/>
                      <w:kern w:val="0"/>
                      <w:szCs w:val="21"/>
                      <w:highlight w:val="none"/>
                    </w:rPr>
                    <w:t>/</w:t>
                  </w:r>
                </w:p>
              </w:tc>
              <w:tc>
                <w:tcPr>
                  <w:tcW w:w="67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highlight w:val="none"/>
                    </w:rPr>
                  </w:pPr>
                  <w:r>
                    <w:rPr>
                      <w:rFonts w:hint="eastAsia"/>
                      <w:kern w:val="0"/>
                      <w:szCs w:val="21"/>
                      <w:highlight w:val="none"/>
                    </w:rPr>
                    <w:t>/</w:t>
                  </w:r>
                </w:p>
              </w:tc>
              <w:tc>
                <w:tcPr>
                  <w:tcW w:w="482" w:type="pct"/>
                  <w:tcBorders>
                    <w:top w:val="single" w:color="auto" w:sz="4" w:space="0"/>
                    <w:left w:val="single" w:color="auto" w:sz="4" w:space="0"/>
                    <w:bottom w:val="single" w:color="auto" w:sz="4" w:space="0"/>
                    <w:right w:val="nil"/>
                  </w:tcBorders>
                  <w:vAlign w:val="center"/>
                </w:tcPr>
                <w:p>
                  <w:pPr>
                    <w:widowControl/>
                    <w:jc w:val="center"/>
                    <w:rPr>
                      <w:rFonts w:hint="eastAsia"/>
                      <w:kern w:val="0"/>
                      <w:szCs w:val="21"/>
                      <w:highlight w:val="none"/>
                    </w:rPr>
                  </w:pPr>
                  <w:r>
                    <w:rPr>
                      <w:rFonts w:hint="eastAsia"/>
                      <w:kern w:val="0"/>
                      <w:szCs w:val="21"/>
                      <w:highlight w:val="none"/>
                      <w:lang w:val="en-US" w:eastAsia="zh-CN"/>
                    </w:rPr>
                    <w:t>15</w:t>
                  </w:r>
                </w:p>
              </w:tc>
            </w:tr>
          </w:tbl>
          <w:p>
            <w:pPr>
              <w:spacing w:line="360" w:lineRule="auto"/>
              <w:ind w:firstLine="482" w:firstLineChars="200"/>
              <w:rPr>
                <w:b/>
                <w:bCs/>
                <w:sz w:val="24"/>
                <w:highlight w:val="none"/>
              </w:rPr>
            </w:pPr>
            <w:r>
              <w:rPr>
                <w:b/>
                <w:bCs/>
                <w:sz w:val="24"/>
                <w:highlight w:val="none"/>
              </w:rPr>
              <w:t>（4）固废治理方案</w:t>
            </w:r>
          </w:p>
          <w:p>
            <w:pPr>
              <w:spacing w:line="440" w:lineRule="exact"/>
              <w:ind w:firstLine="480" w:firstLineChars="200"/>
              <w:rPr>
                <w:sz w:val="24"/>
                <w:highlight w:val="none"/>
              </w:rPr>
            </w:pPr>
            <w:r>
              <w:rPr>
                <w:sz w:val="24"/>
                <w:highlight w:val="none"/>
              </w:rPr>
              <w:t>本项目各类固废处置去向具体见</w:t>
            </w:r>
            <w:r>
              <w:rPr>
                <w:rFonts w:hint="eastAsia"/>
                <w:sz w:val="24"/>
                <w:highlight w:val="none"/>
              </w:rPr>
              <w:t>下表</w:t>
            </w:r>
            <w:r>
              <w:rPr>
                <w:sz w:val="24"/>
                <w:highlight w:val="none"/>
              </w:rPr>
              <w:t>。</w:t>
            </w:r>
          </w:p>
          <w:p>
            <w:pPr>
              <w:jc w:val="center"/>
              <w:rPr>
                <w:b/>
                <w:bCs/>
                <w:sz w:val="24"/>
                <w:highlight w:val="none"/>
              </w:rPr>
            </w:pPr>
            <w:r>
              <w:rPr>
                <w:b/>
                <w:bCs/>
                <w:sz w:val="24"/>
                <w:highlight w:val="none"/>
              </w:rPr>
              <w:t>表</w:t>
            </w:r>
            <w:r>
              <w:rPr>
                <w:rFonts w:hint="eastAsia"/>
                <w:b/>
                <w:bCs/>
                <w:sz w:val="24"/>
                <w:highlight w:val="none"/>
              </w:rPr>
              <w:t>4-</w:t>
            </w:r>
            <w:r>
              <w:rPr>
                <w:b/>
                <w:bCs/>
                <w:sz w:val="24"/>
                <w:highlight w:val="none"/>
              </w:rPr>
              <w:t>9  固体废物利用处置方式</w:t>
            </w:r>
          </w:p>
          <w:tbl>
            <w:tblPr>
              <w:tblStyle w:val="22"/>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42"/>
              <w:gridCol w:w="1709"/>
              <w:gridCol w:w="1076"/>
              <w:gridCol w:w="1428"/>
              <w:gridCol w:w="1199"/>
              <w:gridCol w:w="1412"/>
              <w:gridCol w:w="147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06" w:type="pct"/>
                  <w:vAlign w:val="center"/>
                </w:tcPr>
                <w:p>
                  <w:pPr>
                    <w:widowControl/>
                    <w:jc w:val="center"/>
                    <w:rPr>
                      <w:rFonts w:hint="default"/>
                      <w:b/>
                      <w:bCs/>
                      <w:kern w:val="0"/>
                      <w:szCs w:val="21"/>
                      <w:highlight w:val="none"/>
                    </w:rPr>
                  </w:pPr>
                  <w:r>
                    <w:rPr>
                      <w:rFonts w:hint="default"/>
                      <w:b/>
                      <w:bCs/>
                      <w:kern w:val="0"/>
                      <w:szCs w:val="21"/>
                      <w:highlight w:val="none"/>
                    </w:rPr>
                    <w:t>序号</w:t>
                  </w:r>
                </w:p>
              </w:tc>
              <w:tc>
                <w:tcPr>
                  <w:tcW w:w="966" w:type="pct"/>
                  <w:vAlign w:val="center"/>
                </w:tcPr>
                <w:p>
                  <w:pPr>
                    <w:widowControl/>
                    <w:jc w:val="center"/>
                    <w:rPr>
                      <w:rFonts w:hint="default"/>
                      <w:b/>
                      <w:bCs/>
                      <w:kern w:val="0"/>
                      <w:szCs w:val="21"/>
                      <w:highlight w:val="none"/>
                    </w:rPr>
                  </w:pPr>
                  <w:r>
                    <w:rPr>
                      <w:rFonts w:hint="default"/>
                      <w:b/>
                      <w:bCs/>
                      <w:kern w:val="0"/>
                      <w:szCs w:val="21"/>
                      <w:highlight w:val="none"/>
                    </w:rPr>
                    <w:t>固体废物名称</w:t>
                  </w:r>
                </w:p>
              </w:tc>
              <w:tc>
                <w:tcPr>
                  <w:tcW w:w="608" w:type="pct"/>
                  <w:vAlign w:val="center"/>
                </w:tcPr>
                <w:p>
                  <w:pPr>
                    <w:widowControl/>
                    <w:jc w:val="center"/>
                    <w:rPr>
                      <w:rFonts w:hint="default"/>
                      <w:b/>
                      <w:bCs/>
                      <w:kern w:val="0"/>
                      <w:szCs w:val="21"/>
                      <w:highlight w:val="none"/>
                    </w:rPr>
                  </w:pPr>
                  <w:r>
                    <w:rPr>
                      <w:rFonts w:hint="default"/>
                      <w:b/>
                      <w:bCs/>
                      <w:kern w:val="0"/>
                      <w:szCs w:val="21"/>
                      <w:highlight w:val="none"/>
                    </w:rPr>
                    <w:t>属性</w:t>
                  </w:r>
                </w:p>
              </w:tc>
              <w:tc>
                <w:tcPr>
                  <w:tcW w:w="808" w:type="pct"/>
                  <w:vAlign w:val="center"/>
                </w:tcPr>
                <w:p>
                  <w:pPr>
                    <w:widowControl/>
                    <w:jc w:val="center"/>
                    <w:rPr>
                      <w:rFonts w:hint="default"/>
                      <w:b/>
                      <w:bCs/>
                      <w:kern w:val="0"/>
                      <w:szCs w:val="21"/>
                      <w:highlight w:val="none"/>
                    </w:rPr>
                  </w:pPr>
                  <w:r>
                    <w:rPr>
                      <w:rFonts w:hint="default"/>
                      <w:b/>
                      <w:bCs/>
                      <w:kern w:val="0"/>
                      <w:szCs w:val="21"/>
                      <w:highlight w:val="none"/>
                    </w:rPr>
                    <w:t>废物代码</w:t>
                  </w:r>
                </w:p>
              </w:tc>
              <w:tc>
                <w:tcPr>
                  <w:tcW w:w="678" w:type="pct"/>
                  <w:vAlign w:val="center"/>
                </w:tcPr>
                <w:p>
                  <w:pPr>
                    <w:widowControl/>
                    <w:jc w:val="center"/>
                    <w:rPr>
                      <w:rFonts w:hint="default"/>
                      <w:b/>
                      <w:bCs/>
                      <w:kern w:val="0"/>
                      <w:szCs w:val="21"/>
                      <w:highlight w:val="none"/>
                    </w:rPr>
                  </w:pPr>
                  <w:r>
                    <w:rPr>
                      <w:rFonts w:hint="default"/>
                      <w:b/>
                      <w:bCs/>
                      <w:kern w:val="0"/>
                      <w:szCs w:val="21"/>
                      <w:highlight w:val="none"/>
                    </w:rPr>
                    <w:t>产生量（t/a）</w:t>
                  </w:r>
                </w:p>
              </w:tc>
              <w:tc>
                <w:tcPr>
                  <w:tcW w:w="799" w:type="pct"/>
                  <w:vAlign w:val="center"/>
                </w:tcPr>
                <w:p>
                  <w:pPr>
                    <w:widowControl/>
                    <w:jc w:val="center"/>
                    <w:rPr>
                      <w:rFonts w:hint="default"/>
                      <w:b/>
                      <w:bCs/>
                      <w:kern w:val="0"/>
                      <w:szCs w:val="21"/>
                      <w:highlight w:val="none"/>
                    </w:rPr>
                  </w:pPr>
                  <w:r>
                    <w:rPr>
                      <w:rFonts w:hint="default"/>
                      <w:b/>
                      <w:bCs/>
                      <w:kern w:val="0"/>
                      <w:szCs w:val="21"/>
                      <w:highlight w:val="none"/>
                    </w:rPr>
                    <w:t>利用处置方式</w:t>
                  </w:r>
                </w:p>
              </w:tc>
              <w:tc>
                <w:tcPr>
                  <w:tcW w:w="833" w:type="pct"/>
                  <w:vAlign w:val="center"/>
                </w:tcPr>
                <w:p>
                  <w:pPr>
                    <w:widowControl/>
                    <w:jc w:val="center"/>
                    <w:rPr>
                      <w:rFonts w:hint="default"/>
                      <w:b/>
                      <w:bCs/>
                      <w:kern w:val="0"/>
                      <w:szCs w:val="21"/>
                      <w:highlight w:val="none"/>
                    </w:rPr>
                  </w:pPr>
                  <w:r>
                    <w:rPr>
                      <w:rFonts w:hint="default"/>
                      <w:b/>
                      <w:bCs/>
                      <w:kern w:val="0"/>
                      <w:szCs w:val="21"/>
                      <w:highlight w:val="none"/>
                    </w:rPr>
                    <w:t>利用处置单位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06" w:type="pct"/>
                  <w:vAlign w:val="center"/>
                </w:tcPr>
                <w:p>
                  <w:pPr>
                    <w:widowControl/>
                    <w:jc w:val="center"/>
                    <w:rPr>
                      <w:rFonts w:hint="default"/>
                      <w:kern w:val="0"/>
                      <w:szCs w:val="21"/>
                      <w:highlight w:val="none"/>
                    </w:rPr>
                  </w:pPr>
                  <w:r>
                    <w:rPr>
                      <w:rFonts w:hint="default"/>
                      <w:kern w:val="0"/>
                      <w:szCs w:val="21"/>
                      <w:highlight w:val="none"/>
                    </w:rPr>
                    <w:t>1</w:t>
                  </w:r>
                </w:p>
              </w:tc>
              <w:tc>
                <w:tcPr>
                  <w:tcW w:w="1709" w:type="dxa"/>
                  <w:vAlign w:val="center"/>
                </w:tcPr>
                <w:p>
                  <w:pPr>
                    <w:widowControl/>
                    <w:jc w:val="center"/>
                    <w:rPr>
                      <w:rFonts w:hint="default"/>
                      <w:kern w:val="0"/>
                      <w:szCs w:val="21"/>
                      <w:highlight w:val="none"/>
                    </w:rPr>
                  </w:pPr>
                  <w:r>
                    <w:rPr>
                      <w:rFonts w:hint="eastAsia"/>
                      <w:kern w:val="0"/>
                      <w:szCs w:val="21"/>
                      <w:highlight w:val="none"/>
                      <w:lang w:eastAsia="zh-CN"/>
                    </w:rPr>
                    <w:t>废包装</w:t>
                  </w:r>
                </w:p>
              </w:tc>
              <w:tc>
                <w:tcPr>
                  <w:tcW w:w="1076" w:type="dxa"/>
                  <w:vAlign w:val="center"/>
                </w:tcPr>
                <w:p>
                  <w:pPr>
                    <w:widowControl/>
                    <w:jc w:val="center"/>
                    <w:rPr>
                      <w:rFonts w:hint="default"/>
                      <w:kern w:val="0"/>
                      <w:szCs w:val="21"/>
                      <w:highlight w:val="none"/>
                    </w:rPr>
                  </w:pPr>
                  <w:r>
                    <w:rPr>
                      <w:rFonts w:hint="eastAsia"/>
                      <w:kern w:val="0"/>
                      <w:szCs w:val="21"/>
                      <w:highlight w:val="none"/>
                    </w:rPr>
                    <w:t>一般固废</w:t>
                  </w:r>
                </w:p>
              </w:tc>
              <w:tc>
                <w:tcPr>
                  <w:tcW w:w="1428" w:type="dxa"/>
                  <w:vAlign w:val="center"/>
                </w:tcPr>
                <w:p>
                  <w:pPr>
                    <w:widowControl/>
                    <w:jc w:val="center"/>
                    <w:rPr>
                      <w:rFonts w:hint="default"/>
                      <w:kern w:val="0"/>
                      <w:szCs w:val="21"/>
                      <w:highlight w:val="none"/>
                    </w:rPr>
                  </w:pPr>
                  <w:r>
                    <w:rPr>
                      <w:rFonts w:hint="eastAsia"/>
                      <w:kern w:val="0"/>
                      <w:szCs w:val="21"/>
                      <w:highlight w:val="none"/>
                    </w:rPr>
                    <w:t>/</w:t>
                  </w:r>
                </w:p>
              </w:tc>
              <w:tc>
                <w:tcPr>
                  <w:tcW w:w="1199" w:type="dxa"/>
                  <w:vAlign w:val="center"/>
                </w:tcPr>
                <w:p>
                  <w:pPr>
                    <w:widowControl/>
                    <w:jc w:val="center"/>
                    <w:rPr>
                      <w:rFonts w:hint="default"/>
                      <w:kern w:val="0"/>
                      <w:szCs w:val="21"/>
                      <w:highlight w:val="none"/>
                    </w:rPr>
                  </w:pPr>
                  <w:r>
                    <w:rPr>
                      <w:rFonts w:hint="eastAsia"/>
                      <w:kern w:val="0"/>
                      <w:szCs w:val="21"/>
                      <w:highlight w:val="none"/>
                      <w:lang w:val="en-US" w:eastAsia="zh-CN"/>
                    </w:rPr>
                    <w:t>2</w:t>
                  </w:r>
                </w:p>
              </w:tc>
              <w:tc>
                <w:tcPr>
                  <w:tcW w:w="799" w:type="pct"/>
                  <w:vAlign w:val="center"/>
                </w:tcPr>
                <w:p>
                  <w:pPr>
                    <w:widowControl/>
                    <w:jc w:val="center"/>
                    <w:rPr>
                      <w:rFonts w:hint="default"/>
                      <w:kern w:val="0"/>
                      <w:szCs w:val="21"/>
                      <w:highlight w:val="none"/>
                    </w:rPr>
                  </w:pPr>
                  <w:r>
                    <w:rPr>
                      <w:rFonts w:hint="eastAsia"/>
                      <w:kern w:val="0"/>
                      <w:szCs w:val="21"/>
                      <w:highlight w:val="none"/>
                      <w:lang w:val="en-US" w:eastAsia="zh-CN"/>
                    </w:rPr>
                    <w:t>由指定厂家回收</w:t>
                  </w:r>
                </w:p>
              </w:tc>
              <w:tc>
                <w:tcPr>
                  <w:tcW w:w="833" w:type="pct"/>
                  <w:vAlign w:val="center"/>
                </w:tcPr>
                <w:p>
                  <w:pPr>
                    <w:widowControl/>
                    <w:jc w:val="center"/>
                    <w:rPr>
                      <w:rFonts w:hint="default"/>
                      <w:kern w:val="0"/>
                      <w:szCs w:val="21"/>
                      <w:highlight w:val="none"/>
                    </w:rPr>
                  </w:pPr>
                  <w:r>
                    <w:rPr>
                      <w:rFonts w:hint="default"/>
                      <w:kern w:val="0"/>
                      <w:szCs w:val="21"/>
                      <w:highlight w:val="none"/>
                    </w:rPr>
                    <w:t>物资回收公司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06" w:type="pct"/>
                  <w:vAlign w:val="center"/>
                </w:tcPr>
                <w:p>
                  <w:pPr>
                    <w:widowControl/>
                    <w:jc w:val="center"/>
                    <w:rPr>
                      <w:rFonts w:hint="default"/>
                      <w:kern w:val="0"/>
                      <w:szCs w:val="21"/>
                      <w:highlight w:val="none"/>
                    </w:rPr>
                  </w:pPr>
                  <w:r>
                    <w:rPr>
                      <w:rFonts w:hint="default"/>
                      <w:kern w:val="0"/>
                      <w:szCs w:val="21"/>
                      <w:highlight w:val="none"/>
                    </w:rPr>
                    <w:t>2</w:t>
                  </w:r>
                </w:p>
              </w:tc>
              <w:tc>
                <w:tcPr>
                  <w:tcW w:w="1709" w:type="dxa"/>
                  <w:vAlign w:val="center"/>
                </w:tcPr>
                <w:p>
                  <w:pPr>
                    <w:widowControl/>
                    <w:jc w:val="center"/>
                    <w:rPr>
                      <w:rFonts w:hint="default"/>
                      <w:kern w:val="0"/>
                      <w:szCs w:val="21"/>
                      <w:highlight w:val="none"/>
                    </w:rPr>
                  </w:pPr>
                  <w:r>
                    <w:rPr>
                      <w:rFonts w:hint="eastAsia"/>
                      <w:kern w:val="0"/>
                      <w:szCs w:val="21"/>
                      <w:highlight w:val="none"/>
                      <w:lang w:eastAsia="zh-CN"/>
                    </w:rPr>
                    <w:t>废边角料</w:t>
                  </w:r>
                </w:p>
              </w:tc>
              <w:tc>
                <w:tcPr>
                  <w:tcW w:w="1076" w:type="dxa"/>
                  <w:vAlign w:val="center"/>
                </w:tcPr>
                <w:p>
                  <w:pPr>
                    <w:widowControl/>
                    <w:jc w:val="center"/>
                    <w:rPr>
                      <w:rFonts w:hint="default"/>
                      <w:kern w:val="0"/>
                      <w:szCs w:val="21"/>
                      <w:highlight w:val="none"/>
                    </w:rPr>
                  </w:pPr>
                  <w:r>
                    <w:rPr>
                      <w:rFonts w:hint="eastAsia"/>
                      <w:kern w:val="0"/>
                      <w:szCs w:val="21"/>
                      <w:highlight w:val="none"/>
                    </w:rPr>
                    <w:t>一般固废</w:t>
                  </w:r>
                </w:p>
              </w:tc>
              <w:tc>
                <w:tcPr>
                  <w:tcW w:w="1428" w:type="dxa"/>
                  <w:vAlign w:val="center"/>
                </w:tcPr>
                <w:p>
                  <w:pPr>
                    <w:widowControl/>
                    <w:jc w:val="center"/>
                    <w:rPr>
                      <w:rFonts w:hint="default"/>
                      <w:kern w:val="0"/>
                      <w:szCs w:val="21"/>
                      <w:highlight w:val="none"/>
                    </w:rPr>
                  </w:pPr>
                  <w:r>
                    <w:rPr>
                      <w:rFonts w:hint="eastAsia"/>
                      <w:kern w:val="0"/>
                      <w:szCs w:val="21"/>
                      <w:highlight w:val="none"/>
                    </w:rPr>
                    <w:t>/</w:t>
                  </w:r>
                </w:p>
              </w:tc>
              <w:tc>
                <w:tcPr>
                  <w:tcW w:w="1199" w:type="dxa"/>
                  <w:vAlign w:val="center"/>
                </w:tcPr>
                <w:p>
                  <w:pPr>
                    <w:widowControl/>
                    <w:jc w:val="center"/>
                    <w:rPr>
                      <w:rFonts w:hint="default"/>
                      <w:kern w:val="0"/>
                      <w:szCs w:val="21"/>
                      <w:highlight w:val="none"/>
                    </w:rPr>
                  </w:pPr>
                  <w:r>
                    <w:rPr>
                      <w:rFonts w:hint="eastAsia"/>
                      <w:kern w:val="0"/>
                      <w:szCs w:val="21"/>
                      <w:highlight w:val="none"/>
                      <w:lang w:val="en-US" w:eastAsia="zh-CN"/>
                    </w:rPr>
                    <w:t>3</w:t>
                  </w:r>
                </w:p>
              </w:tc>
              <w:tc>
                <w:tcPr>
                  <w:tcW w:w="799" w:type="pct"/>
                  <w:vAlign w:val="center"/>
                </w:tcPr>
                <w:p>
                  <w:pPr>
                    <w:widowControl/>
                    <w:jc w:val="center"/>
                    <w:rPr>
                      <w:rFonts w:hint="default"/>
                      <w:kern w:val="0"/>
                      <w:szCs w:val="21"/>
                      <w:highlight w:val="none"/>
                    </w:rPr>
                  </w:pPr>
                  <w:r>
                    <w:rPr>
                      <w:rFonts w:hint="eastAsia"/>
                      <w:kern w:val="0"/>
                      <w:szCs w:val="21"/>
                      <w:highlight w:val="none"/>
                      <w:lang w:val="en-US" w:eastAsia="zh-CN"/>
                    </w:rPr>
                    <w:t>由指定厂家回收</w:t>
                  </w:r>
                </w:p>
              </w:tc>
              <w:tc>
                <w:tcPr>
                  <w:tcW w:w="833" w:type="pct"/>
                  <w:vAlign w:val="center"/>
                </w:tcPr>
                <w:p>
                  <w:pPr>
                    <w:widowControl/>
                    <w:jc w:val="center"/>
                    <w:rPr>
                      <w:rFonts w:hint="default"/>
                      <w:kern w:val="0"/>
                      <w:szCs w:val="21"/>
                      <w:highlight w:val="none"/>
                    </w:rPr>
                  </w:pPr>
                  <w:r>
                    <w:rPr>
                      <w:rFonts w:hint="default"/>
                      <w:kern w:val="0"/>
                      <w:szCs w:val="21"/>
                      <w:highlight w:val="none"/>
                    </w:rPr>
                    <w:t>物资回收公司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06" w:type="pct"/>
                  <w:vAlign w:val="center"/>
                </w:tcPr>
                <w:p>
                  <w:pPr>
                    <w:widowControl/>
                    <w:jc w:val="center"/>
                    <w:rPr>
                      <w:rFonts w:hint="default"/>
                      <w:kern w:val="0"/>
                      <w:szCs w:val="21"/>
                      <w:highlight w:val="none"/>
                    </w:rPr>
                  </w:pPr>
                  <w:r>
                    <w:rPr>
                      <w:rFonts w:hint="default"/>
                      <w:kern w:val="0"/>
                      <w:szCs w:val="21"/>
                      <w:highlight w:val="none"/>
                    </w:rPr>
                    <w:t>3</w:t>
                  </w:r>
                </w:p>
              </w:tc>
              <w:tc>
                <w:tcPr>
                  <w:tcW w:w="1709" w:type="dxa"/>
                  <w:vAlign w:val="center"/>
                </w:tcPr>
                <w:p>
                  <w:pPr>
                    <w:widowControl/>
                    <w:jc w:val="center"/>
                    <w:rPr>
                      <w:rFonts w:hint="default"/>
                      <w:kern w:val="0"/>
                      <w:szCs w:val="21"/>
                      <w:highlight w:val="none"/>
                    </w:rPr>
                  </w:pPr>
                  <w:r>
                    <w:rPr>
                      <w:rFonts w:hint="eastAsia"/>
                      <w:kern w:val="0"/>
                      <w:szCs w:val="21"/>
                      <w:highlight w:val="none"/>
                      <w:lang w:eastAsia="zh-CN"/>
                    </w:rPr>
                    <w:t>废活性炭</w:t>
                  </w:r>
                </w:p>
              </w:tc>
              <w:tc>
                <w:tcPr>
                  <w:tcW w:w="1076" w:type="dxa"/>
                  <w:vAlign w:val="center"/>
                </w:tcPr>
                <w:p>
                  <w:pPr>
                    <w:widowControl/>
                    <w:jc w:val="center"/>
                    <w:rPr>
                      <w:rFonts w:hint="default"/>
                      <w:kern w:val="0"/>
                      <w:szCs w:val="21"/>
                      <w:highlight w:val="none"/>
                    </w:rPr>
                  </w:pPr>
                  <w:r>
                    <w:rPr>
                      <w:rFonts w:hint="default"/>
                      <w:kern w:val="0"/>
                      <w:szCs w:val="21"/>
                      <w:highlight w:val="none"/>
                    </w:rPr>
                    <w:t>危险废物</w:t>
                  </w:r>
                </w:p>
              </w:tc>
              <w:tc>
                <w:tcPr>
                  <w:tcW w:w="1428" w:type="dxa"/>
                  <w:vAlign w:val="center"/>
                </w:tcPr>
                <w:p>
                  <w:pPr>
                    <w:widowControl/>
                    <w:jc w:val="center"/>
                    <w:rPr>
                      <w:rFonts w:hint="eastAsia"/>
                      <w:kern w:val="0"/>
                      <w:szCs w:val="21"/>
                      <w:highlight w:val="none"/>
                    </w:rPr>
                  </w:pPr>
                  <w:r>
                    <w:rPr>
                      <w:rFonts w:hint="eastAsia"/>
                      <w:kern w:val="0"/>
                      <w:szCs w:val="21"/>
                      <w:highlight w:val="none"/>
                    </w:rPr>
                    <w:t>HW49</w:t>
                  </w:r>
                </w:p>
                <w:p>
                  <w:pPr>
                    <w:widowControl/>
                    <w:jc w:val="center"/>
                    <w:rPr>
                      <w:rFonts w:hint="default"/>
                      <w:kern w:val="0"/>
                      <w:szCs w:val="21"/>
                      <w:highlight w:val="none"/>
                    </w:rPr>
                  </w:pPr>
                  <w:r>
                    <w:rPr>
                      <w:rFonts w:hint="eastAsia"/>
                      <w:kern w:val="0"/>
                      <w:szCs w:val="21"/>
                      <w:highlight w:val="none"/>
                    </w:rPr>
                    <w:t>900-039-49</w:t>
                  </w:r>
                </w:p>
              </w:tc>
              <w:tc>
                <w:tcPr>
                  <w:tcW w:w="1199" w:type="dxa"/>
                  <w:vAlign w:val="center"/>
                </w:tcPr>
                <w:p>
                  <w:pPr>
                    <w:widowControl/>
                    <w:jc w:val="center"/>
                    <w:rPr>
                      <w:rFonts w:hint="default"/>
                      <w:kern w:val="0"/>
                      <w:szCs w:val="21"/>
                      <w:highlight w:val="none"/>
                    </w:rPr>
                  </w:pPr>
                  <w:r>
                    <w:rPr>
                      <w:rFonts w:hint="eastAsia"/>
                      <w:kern w:val="0"/>
                      <w:szCs w:val="21"/>
                      <w:highlight w:val="none"/>
                      <w:lang w:val="en-US" w:eastAsia="zh-CN"/>
                    </w:rPr>
                    <w:t>10.5</w:t>
                  </w:r>
                </w:p>
              </w:tc>
              <w:tc>
                <w:tcPr>
                  <w:tcW w:w="799" w:type="pct"/>
                  <w:vAlign w:val="center"/>
                </w:tcPr>
                <w:p>
                  <w:pPr>
                    <w:widowControl/>
                    <w:jc w:val="center"/>
                    <w:rPr>
                      <w:rFonts w:hint="default"/>
                      <w:kern w:val="0"/>
                      <w:szCs w:val="21"/>
                      <w:highlight w:val="none"/>
                    </w:rPr>
                  </w:pPr>
                  <w:r>
                    <w:rPr>
                      <w:rFonts w:hint="default"/>
                      <w:kern w:val="0"/>
                      <w:szCs w:val="21"/>
                      <w:highlight w:val="none"/>
                      <w:lang w:val="en-US" w:eastAsia="zh-CN"/>
                    </w:rPr>
                    <w:t>委托有资质单位处理</w:t>
                  </w:r>
                </w:p>
              </w:tc>
              <w:tc>
                <w:tcPr>
                  <w:tcW w:w="833" w:type="pct"/>
                  <w:vAlign w:val="center"/>
                </w:tcPr>
                <w:p>
                  <w:pPr>
                    <w:widowControl/>
                    <w:jc w:val="center"/>
                    <w:rPr>
                      <w:rFonts w:hint="default"/>
                      <w:kern w:val="0"/>
                      <w:szCs w:val="21"/>
                      <w:highlight w:val="none"/>
                    </w:rPr>
                  </w:pPr>
                  <w:r>
                    <w:rPr>
                      <w:rFonts w:hint="default"/>
                      <w:kern w:val="0"/>
                      <w:szCs w:val="21"/>
                      <w:highlight w:val="none"/>
                    </w:rPr>
                    <w:t>有资质单位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06" w:type="pct"/>
                  <w:vAlign w:val="center"/>
                </w:tcPr>
                <w:p>
                  <w:pPr>
                    <w:widowControl/>
                    <w:jc w:val="center"/>
                    <w:rPr>
                      <w:rFonts w:hint="default"/>
                      <w:kern w:val="0"/>
                      <w:szCs w:val="21"/>
                      <w:highlight w:val="none"/>
                    </w:rPr>
                  </w:pPr>
                  <w:r>
                    <w:rPr>
                      <w:rFonts w:hint="default"/>
                      <w:kern w:val="0"/>
                      <w:szCs w:val="21"/>
                      <w:highlight w:val="none"/>
                    </w:rPr>
                    <w:t>4</w:t>
                  </w:r>
                </w:p>
              </w:tc>
              <w:tc>
                <w:tcPr>
                  <w:tcW w:w="1709" w:type="dxa"/>
                  <w:vAlign w:val="center"/>
                </w:tcPr>
                <w:p>
                  <w:pPr>
                    <w:widowControl/>
                    <w:jc w:val="center"/>
                    <w:rPr>
                      <w:rFonts w:hint="default"/>
                      <w:kern w:val="0"/>
                      <w:szCs w:val="21"/>
                      <w:highlight w:val="none"/>
                    </w:rPr>
                  </w:pPr>
                  <w:r>
                    <w:rPr>
                      <w:rFonts w:hint="eastAsia"/>
                      <w:kern w:val="0"/>
                      <w:szCs w:val="21"/>
                      <w:highlight w:val="none"/>
                      <w:lang w:eastAsia="zh-CN"/>
                    </w:rPr>
                    <w:t>废切削液</w:t>
                  </w:r>
                </w:p>
              </w:tc>
              <w:tc>
                <w:tcPr>
                  <w:tcW w:w="1076" w:type="dxa"/>
                  <w:vAlign w:val="center"/>
                </w:tcPr>
                <w:p>
                  <w:pPr>
                    <w:widowControl/>
                    <w:jc w:val="center"/>
                    <w:rPr>
                      <w:rFonts w:hint="default"/>
                      <w:kern w:val="0"/>
                      <w:szCs w:val="21"/>
                      <w:highlight w:val="none"/>
                    </w:rPr>
                  </w:pPr>
                  <w:r>
                    <w:rPr>
                      <w:rFonts w:hint="default"/>
                      <w:kern w:val="0"/>
                      <w:szCs w:val="21"/>
                      <w:highlight w:val="none"/>
                    </w:rPr>
                    <w:t>危险废物</w:t>
                  </w:r>
                </w:p>
              </w:tc>
              <w:tc>
                <w:tcPr>
                  <w:tcW w:w="1428" w:type="dxa"/>
                  <w:vAlign w:val="center"/>
                </w:tcPr>
                <w:p>
                  <w:pPr>
                    <w:widowControl/>
                    <w:jc w:val="center"/>
                    <w:rPr>
                      <w:rFonts w:hint="default"/>
                      <w:kern w:val="0"/>
                      <w:szCs w:val="21"/>
                      <w:highlight w:val="none"/>
                    </w:rPr>
                  </w:pPr>
                  <w:r>
                    <w:rPr>
                      <w:rFonts w:hint="default"/>
                      <w:kern w:val="0"/>
                      <w:szCs w:val="21"/>
                      <w:highlight w:val="none"/>
                    </w:rPr>
                    <w:t>HW09</w:t>
                  </w:r>
                </w:p>
                <w:p>
                  <w:pPr>
                    <w:widowControl/>
                    <w:jc w:val="center"/>
                    <w:rPr>
                      <w:rFonts w:hint="default"/>
                      <w:kern w:val="0"/>
                      <w:szCs w:val="21"/>
                      <w:highlight w:val="none"/>
                    </w:rPr>
                  </w:pPr>
                  <w:r>
                    <w:rPr>
                      <w:rFonts w:hint="default"/>
                      <w:kern w:val="0"/>
                      <w:szCs w:val="21"/>
                      <w:highlight w:val="none"/>
                    </w:rPr>
                    <w:t>900-006-09</w:t>
                  </w:r>
                </w:p>
              </w:tc>
              <w:tc>
                <w:tcPr>
                  <w:tcW w:w="1199" w:type="dxa"/>
                  <w:vAlign w:val="center"/>
                </w:tcPr>
                <w:p>
                  <w:pPr>
                    <w:widowControl/>
                    <w:jc w:val="center"/>
                    <w:rPr>
                      <w:rFonts w:hint="default"/>
                      <w:kern w:val="0"/>
                      <w:szCs w:val="21"/>
                      <w:highlight w:val="none"/>
                    </w:rPr>
                  </w:pPr>
                  <w:r>
                    <w:rPr>
                      <w:rFonts w:hint="eastAsia"/>
                      <w:kern w:val="0"/>
                      <w:szCs w:val="21"/>
                      <w:highlight w:val="none"/>
                      <w:lang w:val="en-US" w:eastAsia="zh-CN"/>
                    </w:rPr>
                    <w:t>0.005</w:t>
                  </w:r>
                </w:p>
              </w:tc>
              <w:tc>
                <w:tcPr>
                  <w:tcW w:w="799" w:type="pct"/>
                  <w:vAlign w:val="center"/>
                </w:tcPr>
                <w:p>
                  <w:pPr>
                    <w:widowControl/>
                    <w:jc w:val="center"/>
                    <w:rPr>
                      <w:rFonts w:hint="default"/>
                      <w:kern w:val="0"/>
                      <w:szCs w:val="21"/>
                      <w:highlight w:val="none"/>
                    </w:rPr>
                  </w:pPr>
                  <w:r>
                    <w:rPr>
                      <w:rFonts w:hint="default"/>
                      <w:kern w:val="0"/>
                      <w:szCs w:val="21"/>
                      <w:highlight w:val="none"/>
                      <w:lang w:val="en-US" w:eastAsia="zh-CN"/>
                    </w:rPr>
                    <w:t>委托有资质单位处理</w:t>
                  </w:r>
                </w:p>
              </w:tc>
              <w:tc>
                <w:tcPr>
                  <w:tcW w:w="833" w:type="pct"/>
                  <w:vAlign w:val="center"/>
                </w:tcPr>
                <w:p>
                  <w:pPr>
                    <w:widowControl/>
                    <w:jc w:val="center"/>
                    <w:rPr>
                      <w:rFonts w:hint="default"/>
                      <w:kern w:val="0"/>
                      <w:szCs w:val="21"/>
                      <w:highlight w:val="none"/>
                    </w:rPr>
                  </w:pPr>
                  <w:r>
                    <w:rPr>
                      <w:rFonts w:hint="default"/>
                      <w:kern w:val="0"/>
                      <w:szCs w:val="21"/>
                      <w:highlight w:val="none"/>
                    </w:rPr>
                    <w:t>有资质单位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06" w:type="pct"/>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5</w:t>
                  </w:r>
                </w:p>
              </w:tc>
              <w:tc>
                <w:tcPr>
                  <w:tcW w:w="1709" w:type="dxa"/>
                  <w:vAlign w:val="center"/>
                </w:tcPr>
                <w:p>
                  <w:pPr>
                    <w:widowControl/>
                    <w:jc w:val="center"/>
                    <w:rPr>
                      <w:rFonts w:hint="eastAsia"/>
                      <w:kern w:val="0"/>
                      <w:szCs w:val="21"/>
                      <w:highlight w:val="none"/>
                    </w:rPr>
                  </w:pPr>
                  <w:r>
                    <w:rPr>
                      <w:rFonts w:hint="eastAsia"/>
                      <w:kern w:val="0"/>
                      <w:szCs w:val="21"/>
                      <w:highlight w:val="none"/>
                      <w:lang w:eastAsia="zh-CN"/>
                    </w:rPr>
                    <w:t>废油墨</w:t>
                  </w:r>
                </w:p>
              </w:tc>
              <w:tc>
                <w:tcPr>
                  <w:tcW w:w="1076" w:type="dxa"/>
                  <w:vAlign w:val="center"/>
                </w:tcPr>
                <w:p>
                  <w:pPr>
                    <w:widowControl/>
                    <w:jc w:val="center"/>
                    <w:rPr>
                      <w:rFonts w:hint="eastAsia"/>
                      <w:kern w:val="0"/>
                      <w:szCs w:val="21"/>
                      <w:highlight w:val="none"/>
                    </w:rPr>
                  </w:pPr>
                  <w:r>
                    <w:rPr>
                      <w:rFonts w:hint="default"/>
                      <w:kern w:val="0"/>
                      <w:szCs w:val="21"/>
                      <w:highlight w:val="none"/>
                    </w:rPr>
                    <w:t>危险废物</w:t>
                  </w:r>
                </w:p>
              </w:tc>
              <w:tc>
                <w:tcPr>
                  <w:tcW w:w="1428" w:type="dxa"/>
                  <w:vAlign w:val="center"/>
                </w:tcPr>
                <w:p>
                  <w:pPr>
                    <w:widowControl/>
                    <w:jc w:val="center"/>
                    <w:rPr>
                      <w:rFonts w:hint="eastAsia"/>
                      <w:kern w:val="0"/>
                      <w:szCs w:val="21"/>
                      <w:highlight w:val="none"/>
                    </w:rPr>
                  </w:pPr>
                  <w:r>
                    <w:rPr>
                      <w:rFonts w:hint="eastAsia"/>
                      <w:kern w:val="0"/>
                      <w:szCs w:val="21"/>
                      <w:highlight w:val="none"/>
                    </w:rPr>
                    <w:t>HW12</w:t>
                  </w:r>
                </w:p>
                <w:p>
                  <w:pPr>
                    <w:widowControl/>
                    <w:jc w:val="center"/>
                    <w:rPr>
                      <w:rFonts w:hint="eastAsia"/>
                      <w:kern w:val="0"/>
                      <w:szCs w:val="21"/>
                      <w:highlight w:val="none"/>
                    </w:rPr>
                  </w:pPr>
                  <w:r>
                    <w:rPr>
                      <w:rFonts w:hint="eastAsia"/>
                      <w:kern w:val="0"/>
                      <w:szCs w:val="21"/>
                      <w:highlight w:val="none"/>
                    </w:rPr>
                    <w:t>900-253-12</w:t>
                  </w:r>
                </w:p>
              </w:tc>
              <w:tc>
                <w:tcPr>
                  <w:tcW w:w="1199" w:type="dxa"/>
                  <w:vAlign w:val="center"/>
                </w:tcPr>
                <w:p>
                  <w:pPr>
                    <w:widowControl/>
                    <w:jc w:val="center"/>
                    <w:rPr>
                      <w:rFonts w:hint="eastAsia"/>
                      <w:kern w:val="0"/>
                      <w:szCs w:val="21"/>
                      <w:highlight w:val="none"/>
                    </w:rPr>
                  </w:pPr>
                  <w:r>
                    <w:rPr>
                      <w:rFonts w:hint="eastAsia"/>
                      <w:kern w:val="0"/>
                      <w:szCs w:val="21"/>
                      <w:highlight w:val="none"/>
                      <w:lang w:val="en-US" w:eastAsia="zh-CN"/>
                    </w:rPr>
                    <w:t>0.0025</w:t>
                  </w:r>
                </w:p>
              </w:tc>
              <w:tc>
                <w:tcPr>
                  <w:tcW w:w="799" w:type="pct"/>
                  <w:vAlign w:val="center"/>
                </w:tcPr>
                <w:p>
                  <w:pPr>
                    <w:widowControl/>
                    <w:jc w:val="center"/>
                    <w:rPr>
                      <w:rFonts w:hint="eastAsia"/>
                      <w:kern w:val="0"/>
                      <w:szCs w:val="21"/>
                      <w:highlight w:val="none"/>
                    </w:rPr>
                  </w:pPr>
                  <w:r>
                    <w:rPr>
                      <w:rFonts w:hint="default"/>
                      <w:kern w:val="0"/>
                      <w:szCs w:val="21"/>
                      <w:highlight w:val="none"/>
                      <w:lang w:val="en-US" w:eastAsia="zh-CN"/>
                    </w:rPr>
                    <w:t>委托有资质单位处理</w:t>
                  </w:r>
                </w:p>
              </w:tc>
              <w:tc>
                <w:tcPr>
                  <w:tcW w:w="833" w:type="pct"/>
                  <w:vAlign w:val="center"/>
                </w:tcPr>
                <w:p>
                  <w:pPr>
                    <w:widowControl/>
                    <w:jc w:val="center"/>
                    <w:rPr>
                      <w:rFonts w:hint="eastAsia"/>
                      <w:kern w:val="0"/>
                      <w:szCs w:val="21"/>
                      <w:highlight w:val="none"/>
                    </w:rPr>
                  </w:pPr>
                  <w:r>
                    <w:rPr>
                      <w:rFonts w:hint="default"/>
                      <w:kern w:val="0"/>
                      <w:szCs w:val="21"/>
                      <w:highlight w:val="none"/>
                    </w:rPr>
                    <w:t>有资质单位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06" w:type="pct"/>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6</w:t>
                  </w:r>
                </w:p>
              </w:tc>
              <w:tc>
                <w:tcPr>
                  <w:tcW w:w="1709" w:type="dxa"/>
                  <w:vAlign w:val="center"/>
                </w:tcPr>
                <w:p>
                  <w:pPr>
                    <w:widowControl/>
                    <w:jc w:val="center"/>
                    <w:rPr>
                      <w:rFonts w:hint="eastAsia"/>
                      <w:kern w:val="0"/>
                      <w:szCs w:val="21"/>
                      <w:highlight w:val="none"/>
                    </w:rPr>
                  </w:pPr>
                  <w:r>
                    <w:rPr>
                      <w:rFonts w:hint="eastAsia"/>
                      <w:kern w:val="0"/>
                      <w:szCs w:val="21"/>
                      <w:highlight w:val="none"/>
                    </w:rPr>
                    <w:t>生活垃圾</w:t>
                  </w:r>
                </w:p>
              </w:tc>
              <w:tc>
                <w:tcPr>
                  <w:tcW w:w="1076" w:type="dxa"/>
                  <w:vAlign w:val="center"/>
                </w:tcPr>
                <w:p>
                  <w:pPr>
                    <w:widowControl/>
                    <w:jc w:val="center"/>
                    <w:rPr>
                      <w:rFonts w:hint="eastAsia"/>
                      <w:kern w:val="0"/>
                      <w:szCs w:val="21"/>
                      <w:highlight w:val="none"/>
                    </w:rPr>
                  </w:pPr>
                  <w:r>
                    <w:rPr>
                      <w:rFonts w:hint="eastAsia"/>
                      <w:kern w:val="0"/>
                      <w:szCs w:val="21"/>
                      <w:highlight w:val="none"/>
                    </w:rPr>
                    <w:t>生活垃圾</w:t>
                  </w:r>
                </w:p>
              </w:tc>
              <w:tc>
                <w:tcPr>
                  <w:tcW w:w="1428" w:type="dxa"/>
                  <w:vAlign w:val="center"/>
                </w:tcPr>
                <w:p>
                  <w:pPr>
                    <w:widowControl/>
                    <w:jc w:val="center"/>
                    <w:rPr>
                      <w:rFonts w:hint="eastAsia"/>
                      <w:kern w:val="0"/>
                      <w:szCs w:val="21"/>
                      <w:highlight w:val="none"/>
                    </w:rPr>
                  </w:pPr>
                  <w:r>
                    <w:rPr>
                      <w:rFonts w:hint="eastAsia"/>
                      <w:kern w:val="0"/>
                      <w:szCs w:val="21"/>
                      <w:highlight w:val="none"/>
                    </w:rPr>
                    <w:t>/</w:t>
                  </w:r>
                </w:p>
              </w:tc>
              <w:tc>
                <w:tcPr>
                  <w:tcW w:w="1199" w:type="dxa"/>
                  <w:vAlign w:val="center"/>
                </w:tcPr>
                <w:p>
                  <w:pPr>
                    <w:widowControl/>
                    <w:jc w:val="center"/>
                    <w:rPr>
                      <w:rFonts w:hint="eastAsia"/>
                      <w:kern w:val="0"/>
                      <w:szCs w:val="21"/>
                      <w:highlight w:val="none"/>
                    </w:rPr>
                  </w:pPr>
                  <w:r>
                    <w:rPr>
                      <w:rFonts w:hint="eastAsia"/>
                      <w:kern w:val="0"/>
                      <w:szCs w:val="21"/>
                      <w:highlight w:val="none"/>
                      <w:lang w:val="en-US" w:eastAsia="zh-CN"/>
                    </w:rPr>
                    <w:t>15</w:t>
                  </w:r>
                </w:p>
              </w:tc>
              <w:tc>
                <w:tcPr>
                  <w:tcW w:w="799" w:type="pct"/>
                  <w:vAlign w:val="center"/>
                </w:tcPr>
                <w:p>
                  <w:pPr>
                    <w:widowControl/>
                    <w:jc w:val="center"/>
                    <w:rPr>
                      <w:rFonts w:hint="eastAsia"/>
                      <w:kern w:val="0"/>
                      <w:szCs w:val="21"/>
                      <w:highlight w:val="none"/>
                      <w:lang w:eastAsia="zh-CN"/>
                    </w:rPr>
                  </w:pPr>
                  <w:r>
                    <w:rPr>
                      <w:rFonts w:hint="eastAsia"/>
                      <w:kern w:val="0"/>
                      <w:szCs w:val="21"/>
                      <w:highlight w:val="none"/>
                      <w:lang w:eastAsia="zh-CN"/>
                    </w:rPr>
                    <w:t>环卫清运</w:t>
                  </w:r>
                </w:p>
              </w:tc>
              <w:tc>
                <w:tcPr>
                  <w:tcW w:w="833" w:type="pct"/>
                  <w:vAlign w:val="center"/>
                </w:tcPr>
                <w:p>
                  <w:pPr>
                    <w:widowControl/>
                    <w:jc w:val="center"/>
                    <w:rPr>
                      <w:rFonts w:hint="eastAsia"/>
                      <w:kern w:val="0"/>
                      <w:szCs w:val="21"/>
                      <w:highlight w:val="none"/>
                    </w:rPr>
                  </w:pPr>
                  <w:r>
                    <w:rPr>
                      <w:rFonts w:hint="eastAsia"/>
                      <w:kern w:val="0"/>
                      <w:szCs w:val="21"/>
                      <w:highlight w:val="none"/>
                      <w:lang w:eastAsia="zh-CN"/>
                    </w:rPr>
                    <w:t>环卫清运</w:t>
                  </w:r>
                </w:p>
              </w:tc>
            </w:tr>
          </w:tbl>
          <w:p>
            <w:pPr>
              <w:jc w:val="center"/>
              <w:rPr>
                <w:rFonts w:hint="default"/>
                <w:b/>
                <w:bCs/>
                <w:sz w:val="24"/>
                <w:highlight w:val="none"/>
              </w:rPr>
            </w:pPr>
            <w:r>
              <w:rPr>
                <w:rFonts w:hint="default"/>
                <w:b/>
                <w:bCs/>
                <w:sz w:val="24"/>
                <w:highlight w:val="none"/>
              </w:rPr>
              <w:t>表</w:t>
            </w:r>
            <w:r>
              <w:rPr>
                <w:rFonts w:hint="eastAsia"/>
                <w:b/>
                <w:bCs/>
                <w:sz w:val="24"/>
                <w:highlight w:val="none"/>
              </w:rPr>
              <w:t>4-</w:t>
            </w:r>
            <w:r>
              <w:rPr>
                <w:rFonts w:hint="default"/>
                <w:b/>
                <w:bCs/>
                <w:sz w:val="24"/>
                <w:highlight w:val="none"/>
              </w:rPr>
              <w:t>10</w:t>
            </w:r>
            <w:r>
              <w:rPr>
                <w:rFonts w:hint="eastAsia"/>
                <w:b/>
                <w:bCs/>
                <w:sz w:val="24"/>
                <w:highlight w:val="none"/>
              </w:rPr>
              <w:t xml:space="preserve"> </w:t>
            </w:r>
            <w:r>
              <w:rPr>
                <w:rFonts w:hint="default"/>
                <w:b/>
                <w:bCs/>
                <w:sz w:val="24"/>
                <w:highlight w:val="none"/>
              </w:rPr>
              <w:t xml:space="preserve"> 危险废物分析结果汇总表</w:t>
            </w:r>
          </w:p>
          <w:tbl>
            <w:tblPr>
              <w:tblStyle w:val="22"/>
              <w:tblW w:w="4993"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336"/>
              <w:gridCol w:w="849"/>
              <w:gridCol w:w="723"/>
              <w:gridCol w:w="1048"/>
              <w:gridCol w:w="653"/>
              <w:gridCol w:w="699"/>
              <w:gridCol w:w="428"/>
              <w:gridCol w:w="731"/>
              <w:gridCol w:w="693"/>
              <w:gridCol w:w="624"/>
              <w:gridCol w:w="624"/>
              <w:gridCol w:w="678"/>
              <w:gridCol w:w="7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90" w:type="pct"/>
                  <w:vAlign w:val="center"/>
                </w:tcPr>
                <w:p>
                  <w:pPr>
                    <w:widowControl/>
                    <w:jc w:val="center"/>
                    <w:rPr>
                      <w:rFonts w:hint="default"/>
                      <w:b/>
                      <w:bCs/>
                      <w:kern w:val="0"/>
                      <w:szCs w:val="21"/>
                      <w:highlight w:val="none"/>
                    </w:rPr>
                  </w:pPr>
                  <w:r>
                    <w:rPr>
                      <w:rFonts w:hint="default"/>
                      <w:b/>
                      <w:bCs/>
                      <w:kern w:val="0"/>
                      <w:szCs w:val="21"/>
                      <w:highlight w:val="none"/>
                    </w:rPr>
                    <w:t>序号</w:t>
                  </w:r>
                </w:p>
              </w:tc>
              <w:tc>
                <w:tcPr>
                  <w:tcW w:w="480" w:type="pct"/>
                  <w:vAlign w:val="center"/>
                </w:tcPr>
                <w:p>
                  <w:pPr>
                    <w:widowControl/>
                    <w:jc w:val="center"/>
                    <w:rPr>
                      <w:rFonts w:hint="default"/>
                      <w:b/>
                      <w:bCs/>
                      <w:kern w:val="0"/>
                      <w:szCs w:val="21"/>
                      <w:highlight w:val="none"/>
                    </w:rPr>
                  </w:pPr>
                  <w:r>
                    <w:rPr>
                      <w:rFonts w:hint="default"/>
                      <w:b/>
                      <w:bCs/>
                      <w:kern w:val="0"/>
                      <w:szCs w:val="21"/>
                      <w:highlight w:val="none"/>
                    </w:rPr>
                    <w:t>名称</w:t>
                  </w:r>
                </w:p>
              </w:tc>
              <w:tc>
                <w:tcPr>
                  <w:tcW w:w="409" w:type="pct"/>
                  <w:vAlign w:val="center"/>
                </w:tcPr>
                <w:p>
                  <w:pPr>
                    <w:widowControl/>
                    <w:jc w:val="center"/>
                    <w:rPr>
                      <w:rFonts w:hint="default"/>
                      <w:b/>
                      <w:bCs/>
                      <w:kern w:val="0"/>
                      <w:szCs w:val="21"/>
                      <w:highlight w:val="none"/>
                    </w:rPr>
                  </w:pPr>
                  <w:r>
                    <w:rPr>
                      <w:rFonts w:hint="default"/>
                      <w:b/>
                      <w:bCs/>
                      <w:kern w:val="0"/>
                      <w:szCs w:val="21"/>
                      <w:highlight w:val="none"/>
                    </w:rPr>
                    <w:t>类别</w:t>
                  </w:r>
                </w:p>
              </w:tc>
              <w:tc>
                <w:tcPr>
                  <w:tcW w:w="593" w:type="pct"/>
                  <w:vAlign w:val="center"/>
                </w:tcPr>
                <w:p>
                  <w:pPr>
                    <w:widowControl/>
                    <w:jc w:val="center"/>
                    <w:rPr>
                      <w:rFonts w:hint="default"/>
                      <w:b/>
                      <w:bCs/>
                      <w:kern w:val="0"/>
                      <w:szCs w:val="21"/>
                      <w:highlight w:val="none"/>
                    </w:rPr>
                  </w:pPr>
                  <w:r>
                    <w:rPr>
                      <w:rFonts w:hint="default"/>
                      <w:b/>
                      <w:bCs/>
                      <w:kern w:val="0"/>
                      <w:szCs w:val="21"/>
                      <w:highlight w:val="none"/>
                    </w:rPr>
                    <w:t>代码</w:t>
                  </w:r>
                </w:p>
              </w:tc>
              <w:tc>
                <w:tcPr>
                  <w:tcW w:w="369" w:type="pct"/>
                  <w:vAlign w:val="center"/>
                </w:tcPr>
                <w:p>
                  <w:pPr>
                    <w:widowControl/>
                    <w:jc w:val="center"/>
                    <w:rPr>
                      <w:rFonts w:hint="default"/>
                      <w:b/>
                      <w:bCs/>
                      <w:kern w:val="0"/>
                      <w:szCs w:val="21"/>
                      <w:highlight w:val="none"/>
                    </w:rPr>
                  </w:pPr>
                  <w:r>
                    <w:rPr>
                      <w:rFonts w:hint="default"/>
                      <w:b/>
                      <w:bCs/>
                      <w:kern w:val="0"/>
                      <w:szCs w:val="21"/>
                      <w:highlight w:val="none"/>
                    </w:rPr>
                    <w:t>产生量(t/a)</w:t>
                  </w:r>
                </w:p>
              </w:tc>
              <w:tc>
                <w:tcPr>
                  <w:tcW w:w="395" w:type="pct"/>
                  <w:vAlign w:val="center"/>
                </w:tcPr>
                <w:p>
                  <w:pPr>
                    <w:widowControl/>
                    <w:jc w:val="center"/>
                    <w:rPr>
                      <w:rFonts w:hint="default"/>
                      <w:b/>
                      <w:bCs/>
                      <w:kern w:val="0"/>
                      <w:szCs w:val="21"/>
                      <w:highlight w:val="none"/>
                    </w:rPr>
                  </w:pPr>
                  <w:r>
                    <w:rPr>
                      <w:rFonts w:hint="default"/>
                      <w:b/>
                      <w:bCs/>
                      <w:kern w:val="0"/>
                      <w:szCs w:val="21"/>
                      <w:highlight w:val="none"/>
                    </w:rPr>
                    <w:t>产生工序</w:t>
                  </w:r>
                </w:p>
              </w:tc>
              <w:tc>
                <w:tcPr>
                  <w:tcW w:w="242" w:type="pct"/>
                  <w:vAlign w:val="center"/>
                </w:tcPr>
                <w:p>
                  <w:pPr>
                    <w:widowControl/>
                    <w:jc w:val="center"/>
                    <w:rPr>
                      <w:rFonts w:hint="default"/>
                      <w:b/>
                      <w:bCs/>
                      <w:kern w:val="0"/>
                      <w:szCs w:val="21"/>
                      <w:highlight w:val="none"/>
                    </w:rPr>
                  </w:pPr>
                  <w:r>
                    <w:rPr>
                      <w:rFonts w:hint="default"/>
                      <w:b/>
                      <w:bCs/>
                      <w:kern w:val="0"/>
                      <w:szCs w:val="21"/>
                      <w:highlight w:val="none"/>
                    </w:rPr>
                    <w:t>形态</w:t>
                  </w:r>
                </w:p>
              </w:tc>
              <w:tc>
                <w:tcPr>
                  <w:tcW w:w="413" w:type="pct"/>
                  <w:vAlign w:val="center"/>
                </w:tcPr>
                <w:p>
                  <w:pPr>
                    <w:widowControl/>
                    <w:jc w:val="center"/>
                    <w:rPr>
                      <w:rFonts w:hint="default"/>
                      <w:b/>
                      <w:bCs/>
                      <w:kern w:val="0"/>
                      <w:szCs w:val="21"/>
                      <w:highlight w:val="none"/>
                    </w:rPr>
                  </w:pPr>
                  <w:r>
                    <w:rPr>
                      <w:rFonts w:hint="default"/>
                      <w:b/>
                      <w:bCs/>
                      <w:kern w:val="0"/>
                      <w:szCs w:val="21"/>
                      <w:highlight w:val="none"/>
                    </w:rPr>
                    <w:t>主要成分</w:t>
                  </w:r>
                </w:p>
              </w:tc>
              <w:tc>
                <w:tcPr>
                  <w:tcW w:w="392" w:type="pct"/>
                  <w:vAlign w:val="center"/>
                </w:tcPr>
                <w:p>
                  <w:pPr>
                    <w:widowControl/>
                    <w:jc w:val="center"/>
                    <w:rPr>
                      <w:rFonts w:hint="default"/>
                      <w:b/>
                      <w:bCs/>
                      <w:kern w:val="0"/>
                      <w:szCs w:val="21"/>
                      <w:highlight w:val="none"/>
                    </w:rPr>
                  </w:pPr>
                  <w:r>
                    <w:rPr>
                      <w:rFonts w:hint="default"/>
                      <w:b/>
                      <w:bCs/>
                      <w:kern w:val="0"/>
                      <w:szCs w:val="21"/>
                      <w:highlight w:val="none"/>
                    </w:rPr>
                    <w:t>有害成分</w:t>
                  </w:r>
                </w:p>
              </w:tc>
              <w:tc>
                <w:tcPr>
                  <w:tcW w:w="353" w:type="pct"/>
                  <w:vAlign w:val="center"/>
                </w:tcPr>
                <w:p>
                  <w:pPr>
                    <w:widowControl/>
                    <w:jc w:val="center"/>
                    <w:rPr>
                      <w:rFonts w:hint="default"/>
                      <w:b/>
                      <w:bCs/>
                      <w:kern w:val="0"/>
                      <w:szCs w:val="21"/>
                      <w:highlight w:val="none"/>
                    </w:rPr>
                  </w:pPr>
                  <w:r>
                    <w:rPr>
                      <w:rFonts w:hint="default"/>
                      <w:b/>
                      <w:bCs/>
                      <w:kern w:val="0"/>
                      <w:szCs w:val="21"/>
                      <w:highlight w:val="none"/>
                    </w:rPr>
                    <w:t>产生周期</w:t>
                  </w:r>
                </w:p>
              </w:tc>
              <w:tc>
                <w:tcPr>
                  <w:tcW w:w="353" w:type="pct"/>
                  <w:vAlign w:val="center"/>
                </w:tcPr>
                <w:p>
                  <w:pPr>
                    <w:widowControl/>
                    <w:jc w:val="center"/>
                    <w:rPr>
                      <w:rFonts w:hint="default"/>
                      <w:b/>
                      <w:bCs/>
                      <w:kern w:val="0"/>
                      <w:szCs w:val="21"/>
                      <w:highlight w:val="none"/>
                    </w:rPr>
                  </w:pPr>
                  <w:r>
                    <w:rPr>
                      <w:rFonts w:hint="default"/>
                      <w:b/>
                      <w:bCs/>
                      <w:kern w:val="0"/>
                      <w:szCs w:val="21"/>
                      <w:highlight w:val="none"/>
                    </w:rPr>
                    <w:t>危险特性</w:t>
                  </w:r>
                </w:p>
              </w:tc>
              <w:tc>
                <w:tcPr>
                  <w:tcW w:w="383" w:type="pct"/>
                  <w:vAlign w:val="center"/>
                </w:tcPr>
                <w:p>
                  <w:pPr>
                    <w:widowControl/>
                    <w:jc w:val="center"/>
                    <w:rPr>
                      <w:rFonts w:hint="default"/>
                      <w:b/>
                      <w:bCs/>
                      <w:kern w:val="0"/>
                      <w:szCs w:val="21"/>
                      <w:highlight w:val="none"/>
                    </w:rPr>
                  </w:pPr>
                  <w:r>
                    <w:rPr>
                      <w:rFonts w:hint="default"/>
                      <w:b/>
                      <w:bCs/>
                      <w:kern w:val="0"/>
                      <w:szCs w:val="21"/>
                      <w:highlight w:val="none"/>
                    </w:rPr>
                    <w:t>污染防治措施</w:t>
                  </w:r>
                </w:p>
              </w:tc>
              <w:tc>
                <w:tcPr>
                  <w:tcW w:w="422" w:type="pct"/>
                  <w:vAlign w:val="center"/>
                </w:tcPr>
                <w:p>
                  <w:pPr>
                    <w:widowControl/>
                    <w:jc w:val="center"/>
                    <w:rPr>
                      <w:rFonts w:hint="default"/>
                      <w:b/>
                      <w:bCs/>
                      <w:kern w:val="0"/>
                      <w:szCs w:val="21"/>
                      <w:highlight w:val="none"/>
                    </w:rPr>
                  </w:pPr>
                  <w:r>
                    <w:rPr>
                      <w:rFonts w:hint="default"/>
                      <w:b/>
                      <w:bCs/>
                      <w:kern w:val="0"/>
                      <w:szCs w:val="21"/>
                      <w:highlight w:val="none"/>
                    </w:rPr>
                    <w:t>最终处置措施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90" w:type="pct"/>
                  <w:vAlign w:val="center"/>
                </w:tcPr>
                <w:p>
                  <w:pPr>
                    <w:widowControl/>
                    <w:jc w:val="center"/>
                    <w:rPr>
                      <w:rFonts w:hint="default"/>
                      <w:kern w:val="0"/>
                      <w:szCs w:val="21"/>
                      <w:highlight w:val="none"/>
                    </w:rPr>
                  </w:pPr>
                  <w:r>
                    <w:rPr>
                      <w:rFonts w:hint="default"/>
                      <w:kern w:val="0"/>
                      <w:szCs w:val="21"/>
                      <w:highlight w:val="none"/>
                    </w:rPr>
                    <w:t>1</w:t>
                  </w:r>
                </w:p>
              </w:tc>
              <w:tc>
                <w:tcPr>
                  <w:tcW w:w="480" w:type="pct"/>
                  <w:vAlign w:val="center"/>
                </w:tcPr>
                <w:p>
                  <w:pPr>
                    <w:widowControl/>
                    <w:jc w:val="center"/>
                    <w:rPr>
                      <w:rFonts w:hint="default"/>
                      <w:kern w:val="0"/>
                      <w:szCs w:val="21"/>
                      <w:highlight w:val="none"/>
                    </w:rPr>
                  </w:pPr>
                  <w:r>
                    <w:rPr>
                      <w:rFonts w:hint="eastAsia"/>
                      <w:kern w:val="0"/>
                      <w:szCs w:val="21"/>
                      <w:highlight w:val="none"/>
                      <w:lang w:eastAsia="zh-CN"/>
                    </w:rPr>
                    <w:t>废活性炭</w:t>
                  </w:r>
                </w:p>
              </w:tc>
              <w:tc>
                <w:tcPr>
                  <w:tcW w:w="409" w:type="pct"/>
                  <w:vAlign w:val="center"/>
                </w:tcPr>
                <w:p>
                  <w:pPr>
                    <w:widowControl/>
                    <w:jc w:val="center"/>
                    <w:rPr>
                      <w:rFonts w:hint="default"/>
                      <w:kern w:val="0"/>
                      <w:szCs w:val="21"/>
                      <w:highlight w:val="none"/>
                    </w:rPr>
                  </w:pPr>
                  <w:r>
                    <w:rPr>
                      <w:rFonts w:hint="eastAsia"/>
                      <w:kern w:val="0"/>
                      <w:szCs w:val="21"/>
                      <w:highlight w:val="none"/>
                    </w:rPr>
                    <w:t>HW49</w:t>
                  </w:r>
                </w:p>
              </w:tc>
              <w:tc>
                <w:tcPr>
                  <w:tcW w:w="593" w:type="pct"/>
                  <w:vAlign w:val="center"/>
                </w:tcPr>
                <w:p>
                  <w:pPr>
                    <w:widowControl/>
                    <w:jc w:val="center"/>
                    <w:rPr>
                      <w:rFonts w:hint="default"/>
                      <w:kern w:val="0"/>
                      <w:szCs w:val="21"/>
                      <w:highlight w:val="none"/>
                    </w:rPr>
                  </w:pPr>
                  <w:r>
                    <w:rPr>
                      <w:rFonts w:hint="eastAsia"/>
                      <w:kern w:val="0"/>
                      <w:szCs w:val="21"/>
                      <w:highlight w:val="none"/>
                    </w:rPr>
                    <w:t>900-039-49</w:t>
                  </w:r>
                </w:p>
              </w:tc>
              <w:tc>
                <w:tcPr>
                  <w:tcW w:w="369" w:type="pct"/>
                  <w:vAlign w:val="center"/>
                </w:tcPr>
                <w:p>
                  <w:pPr>
                    <w:widowControl/>
                    <w:jc w:val="center"/>
                    <w:rPr>
                      <w:rFonts w:hint="default"/>
                      <w:kern w:val="0"/>
                      <w:szCs w:val="21"/>
                      <w:highlight w:val="none"/>
                    </w:rPr>
                  </w:pPr>
                  <w:r>
                    <w:rPr>
                      <w:rFonts w:hint="eastAsia"/>
                      <w:kern w:val="0"/>
                      <w:szCs w:val="21"/>
                      <w:highlight w:val="none"/>
                      <w:lang w:val="en-US" w:eastAsia="zh-CN"/>
                    </w:rPr>
                    <w:t>10.5</w:t>
                  </w:r>
                </w:p>
              </w:tc>
              <w:tc>
                <w:tcPr>
                  <w:tcW w:w="395" w:type="pct"/>
                  <w:vAlign w:val="center"/>
                </w:tcPr>
                <w:p>
                  <w:pPr>
                    <w:widowControl/>
                    <w:jc w:val="center"/>
                    <w:rPr>
                      <w:rFonts w:hint="default"/>
                      <w:kern w:val="0"/>
                      <w:szCs w:val="21"/>
                      <w:highlight w:val="none"/>
                    </w:rPr>
                  </w:pPr>
                  <w:r>
                    <w:rPr>
                      <w:rFonts w:hint="eastAsia"/>
                      <w:kern w:val="0"/>
                      <w:szCs w:val="21"/>
                      <w:highlight w:val="none"/>
                    </w:rPr>
                    <w:t>废气处</w:t>
                  </w:r>
                  <w:r>
                    <w:rPr>
                      <w:rFonts w:hint="eastAsia"/>
                      <w:kern w:val="0"/>
                      <w:szCs w:val="21"/>
                      <w:highlight w:val="none"/>
                      <w:lang w:eastAsia="zh-CN"/>
                    </w:rPr>
                    <w:t>理</w:t>
                  </w:r>
                </w:p>
              </w:tc>
              <w:tc>
                <w:tcPr>
                  <w:tcW w:w="242" w:type="pct"/>
                  <w:vAlign w:val="center"/>
                </w:tcPr>
                <w:p>
                  <w:pPr>
                    <w:widowControl/>
                    <w:jc w:val="center"/>
                    <w:rPr>
                      <w:rFonts w:hint="default"/>
                      <w:kern w:val="0"/>
                      <w:szCs w:val="21"/>
                      <w:highlight w:val="none"/>
                    </w:rPr>
                  </w:pPr>
                  <w:r>
                    <w:rPr>
                      <w:rFonts w:hint="eastAsia"/>
                      <w:kern w:val="0"/>
                      <w:szCs w:val="21"/>
                      <w:highlight w:val="none"/>
                    </w:rPr>
                    <w:t>固</w:t>
                  </w:r>
                </w:p>
              </w:tc>
              <w:tc>
                <w:tcPr>
                  <w:tcW w:w="413" w:type="pct"/>
                  <w:vAlign w:val="center"/>
                </w:tcPr>
                <w:p>
                  <w:pPr>
                    <w:widowControl/>
                    <w:jc w:val="center"/>
                    <w:rPr>
                      <w:rFonts w:hint="default"/>
                      <w:kern w:val="0"/>
                      <w:szCs w:val="21"/>
                      <w:highlight w:val="none"/>
                    </w:rPr>
                  </w:pPr>
                  <w:r>
                    <w:rPr>
                      <w:rFonts w:hint="eastAsia"/>
                      <w:kern w:val="0"/>
                      <w:szCs w:val="21"/>
                      <w:highlight w:val="none"/>
                      <w:lang w:eastAsia="zh-CN"/>
                    </w:rPr>
                    <w:t>活性炭</w:t>
                  </w:r>
                </w:p>
              </w:tc>
              <w:tc>
                <w:tcPr>
                  <w:tcW w:w="392" w:type="pct"/>
                  <w:vAlign w:val="center"/>
                </w:tcPr>
                <w:p>
                  <w:pPr>
                    <w:widowControl/>
                    <w:jc w:val="center"/>
                    <w:rPr>
                      <w:rFonts w:hint="default"/>
                      <w:kern w:val="0"/>
                      <w:szCs w:val="21"/>
                      <w:highlight w:val="none"/>
                    </w:rPr>
                  </w:pPr>
                  <w:r>
                    <w:rPr>
                      <w:rFonts w:hint="eastAsia"/>
                      <w:kern w:val="0"/>
                      <w:szCs w:val="21"/>
                      <w:highlight w:val="none"/>
                      <w:lang w:eastAsia="zh-CN"/>
                    </w:rPr>
                    <w:t>活性炭</w:t>
                  </w:r>
                </w:p>
              </w:tc>
              <w:tc>
                <w:tcPr>
                  <w:tcW w:w="353" w:type="pct"/>
                  <w:vAlign w:val="center"/>
                </w:tcPr>
                <w:p>
                  <w:pPr>
                    <w:widowControl/>
                    <w:jc w:val="center"/>
                    <w:rPr>
                      <w:rFonts w:hint="default"/>
                      <w:kern w:val="0"/>
                      <w:szCs w:val="21"/>
                      <w:highlight w:val="none"/>
                    </w:rPr>
                  </w:pPr>
                  <w:r>
                    <w:rPr>
                      <w:rFonts w:hint="eastAsia"/>
                      <w:kern w:val="0"/>
                      <w:szCs w:val="21"/>
                      <w:highlight w:val="none"/>
                      <w:lang w:eastAsia="zh-CN"/>
                    </w:rPr>
                    <w:t>半年</w:t>
                  </w:r>
                </w:p>
              </w:tc>
              <w:tc>
                <w:tcPr>
                  <w:tcW w:w="353" w:type="pct"/>
                  <w:vAlign w:val="center"/>
                </w:tcPr>
                <w:p>
                  <w:pPr>
                    <w:widowControl/>
                    <w:jc w:val="center"/>
                    <w:rPr>
                      <w:rFonts w:hint="default"/>
                      <w:kern w:val="0"/>
                      <w:szCs w:val="21"/>
                      <w:highlight w:val="none"/>
                    </w:rPr>
                  </w:pPr>
                  <w:r>
                    <w:rPr>
                      <w:rFonts w:hint="eastAsia"/>
                      <w:kern w:val="0"/>
                      <w:szCs w:val="21"/>
                      <w:highlight w:val="none"/>
                    </w:rPr>
                    <w:t>T</w:t>
                  </w:r>
                </w:p>
              </w:tc>
              <w:tc>
                <w:tcPr>
                  <w:tcW w:w="383" w:type="pct"/>
                  <w:vMerge w:val="restart"/>
                  <w:vAlign w:val="center"/>
                </w:tcPr>
                <w:p>
                  <w:pPr>
                    <w:widowControl/>
                    <w:jc w:val="center"/>
                    <w:rPr>
                      <w:rFonts w:hint="default"/>
                      <w:kern w:val="0"/>
                      <w:szCs w:val="21"/>
                      <w:highlight w:val="none"/>
                    </w:rPr>
                  </w:pPr>
                  <w:r>
                    <w:rPr>
                      <w:rFonts w:hint="default"/>
                      <w:kern w:val="0"/>
                      <w:szCs w:val="21"/>
                      <w:highlight w:val="none"/>
                    </w:rPr>
                    <w:t>委托资质单位运输、处置</w:t>
                  </w:r>
                </w:p>
              </w:tc>
              <w:tc>
                <w:tcPr>
                  <w:tcW w:w="422" w:type="pct"/>
                  <w:vMerge w:val="restart"/>
                  <w:vAlign w:val="center"/>
                </w:tcPr>
                <w:p>
                  <w:pPr>
                    <w:widowControl/>
                    <w:jc w:val="center"/>
                    <w:rPr>
                      <w:rFonts w:hint="default"/>
                      <w:kern w:val="0"/>
                      <w:szCs w:val="21"/>
                      <w:highlight w:val="none"/>
                    </w:rPr>
                  </w:pPr>
                  <w:r>
                    <w:rPr>
                      <w:rFonts w:hint="eastAsia"/>
                      <w:kern w:val="0"/>
                      <w:szCs w:val="21"/>
                      <w:highlight w:val="none"/>
                    </w:rPr>
                    <w:t>依据后期签订的危废处置合同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90" w:type="pct"/>
                  <w:vAlign w:val="center"/>
                </w:tcPr>
                <w:p>
                  <w:pPr>
                    <w:widowControl/>
                    <w:jc w:val="center"/>
                    <w:rPr>
                      <w:rFonts w:hint="default"/>
                      <w:kern w:val="0"/>
                      <w:szCs w:val="21"/>
                      <w:highlight w:val="none"/>
                    </w:rPr>
                  </w:pPr>
                  <w:r>
                    <w:rPr>
                      <w:rFonts w:hint="default"/>
                      <w:kern w:val="0"/>
                      <w:szCs w:val="21"/>
                      <w:highlight w:val="none"/>
                    </w:rPr>
                    <w:t>2</w:t>
                  </w:r>
                </w:p>
              </w:tc>
              <w:tc>
                <w:tcPr>
                  <w:tcW w:w="480" w:type="pct"/>
                  <w:vAlign w:val="center"/>
                </w:tcPr>
                <w:p>
                  <w:pPr>
                    <w:widowControl/>
                    <w:jc w:val="center"/>
                    <w:rPr>
                      <w:rFonts w:hint="default"/>
                      <w:kern w:val="0"/>
                      <w:szCs w:val="21"/>
                      <w:highlight w:val="none"/>
                    </w:rPr>
                  </w:pPr>
                  <w:r>
                    <w:rPr>
                      <w:rFonts w:hint="eastAsia"/>
                      <w:kern w:val="0"/>
                      <w:szCs w:val="21"/>
                      <w:highlight w:val="none"/>
                      <w:lang w:eastAsia="zh-CN"/>
                    </w:rPr>
                    <w:t>废切削液</w:t>
                  </w:r>
                </w:p>
              </w:tc>
              <w:tc>
                <w:tcPr>
                  <w:tcW w:w="409" w:type="pct"/>
                  <w:vAlign w:val="center"/>
                </w:tcPr>
                <w:p>
                  <w:pPr>
                    <w:widowControl/>
                    <w:jc w:val="center"/>
                    <w:rPr>
                      <w:rFonts w:hint="default"/>
                      <w:kern w:val="0"/>
                      <w:szCs w:val="21"/>
                      <w:highlight w:val="none"/>
                    </w:rPr>
                  </w:pPr>
                  <w:r>
                    <w:rPr>
                      <w:rFonts w:hint="default"/>
                      <w:kern w:val="0"/>
                      <w:szCs w:val="21"/>
                      <w:highlight w:val="none"/>
                    </w:rPr>
                    <w:t>HW09</w:t>
                  </w:r>
                </w:p>
              </w:tc>
              <w:tc>
                <w:tcPr>
                  <w:tcW w:w="593" w:type="pct"/>
                  <w:vAlign w:val="center"/>
                </w:tcPr>
                <w:p>
                  <w:pPr>
                    <w:widowControl/>
                    <w:jc w:val="center"/>
                    <w:rPr>
                      <w:rFonts w:hint="default"/>
                      <w:kern w:val="0"/>
                      <w:szCs w:val="21"/>
                      <w:highlight w:val="none"/>
                    </w:rPr>
                  </w:pPr>
                  <w:r>
                    <w:rPr>
                      <w:rFonts w:hint="default"/>
                      <w:kern w:val="0"/>
                      <w:szCs w:val="21"/>
                      <w:highlight w:val="none"/>
                    </w:rPr>
                    <w:t>900-006-09</w:t>
                  </w:r>
                </w:p>
              </w:tc>
              <w:tc>
                <w:tcPr>
                  <w:tcW w:w="369" w:type="pct"/>
                  <w:vAlign w:val="center"/>
                </w:tcPr>
                <w:p>
                  <w:pPr>
                    <w:widowControl/>
                    <w:jc w:val="center"/>
                    <w:rPr>
                      <w:rFonts w:hint="default"/>
                      <w:kern w:val="0"/>
                      <w:szCs w:val="21"/>
                      <w:highlight w:val="none"/>
                    </w:rPr>
                  </w:pPr>
                  <w:r>
                    <w:rPr>
                      <w:rFonts w:hint="eastAsia"/>
                      <w:kern w:val="0"/>
                      <w:szCs w:val="21"/>
                      <w:highlight w:val="none"/>
                      <w:lang w:val="en-US" w:eastAsia="zh-CN"/>
                    </w:rPr>
                    <w:t>0.005</w:t>
                  </w:r>
                </w:p>
              </w:tc>
              <w:tc>
                <w:tcPr>
                  <w:tcW w:w="395" w:type="pct"/>
                  <w:vAlign w:val="center"/>
                </w:tcPr>
                <w:p>
                  <w:pPr>
                    <w:widowControl/>
                    <w:jc w:val="center"/>
                    <w:rPr>
                      <w:rFonts w:hint="default"/>
                      <w:kern w:val="0"/>
                      <w:szCs w:val="21"/>
                      <w:highlight w:val="none"/>
                    </w:rPr>
                  </w:pPr>
                  <w:r>
                    <w:rPr>
                      <w:rFonts w:hint="default"/>
                      <w:kern w:val="0"/>
                      <w:szCs w:val="21"/>
                      <w:highlight w:val="none"/>
                    </w:rPr>
                    <w:t>机床加工</w:t>
                  </w:r>
                </w:p>
              </w:tc>
              <w:tc>
                <w:tcPr>
                  <w:tcW w:w="242" w:type="pct"/>
                  <w:vAlign w:val="center"/>
                </w:tcPr>
                <w:p>
                  <w:pPr>
                    <w:widowControl/>
                    <w:jc w:val="center"/>
                    <w:rPr>
                      <w:rFonts w:hint="eastAsia"/>
                      <w:kern w:val="0"/>
                      <w:szCs w:val="21"/>
                      <w:highlight w:val="none"/>
                      <w:lang w:eastAsia="zh-CN"/>
                    </w:rPr>
                  </w:pPr>
                  <w:r>
                    <w:rPr>
                      <w:rFonts w:hint="eastAsia"/>
                      <w:kern w:val="0"/>
                      <w:szCs w:val="21"/>
                      <w:highlight w:val="none"/>
                      <w:lang w:eastAsia="zh-CN"/>
                    </w:rPr>
                    <w:t>液</w:t>
                  </w:r>
                </w:p>
              </w:tc>
              <w:tc>
                <w:tcPr>
                  <w:tcW w:w="413" w:type="pct"/>
                  <w:vAlign w:val="center"/>
                </w:tcPr>
                <w:p>
                  <w:pPr>
                    <w:widowControl/>
                    <w:jc w:val="center"/>
                    <w:rPr>
                      <w:rFonts w:hint="default"/>
                      <w:kern w:val="0"/>
                      <w:szCs w:val="21"/>
                      <w:highlight w:val="none"/>
                    </w:rPr>
                  </w:pPr>
                  <w:r>
                    <w:rPr>
                      <w:rFonts w:hint="eastAsia"/>
                      <w:kern w:val="0"/>
                      <w:szCs w:val="21"/>
                      <w:highlight w:val="none"/>
                      <w:lang w:eastAsia="zh-CN"/>
                    </w:rPr>
                    <w:t>切削液</w:t>
                  </w:r>
                </w:p>
              </w:tc>
              <w:tc>
                <w:tcPr>
                  <w:tcW w:w="392" w:type="pct"/>
                  <w:vAlign w:val="center"/>
                </w:tcPr>
                <w:p>
                  <w:pPr>
                    <w:widowControl/>
                    <w:jc w:val="center"/>
                    <w:rPr>
                      <w:rFonts w:hint="default"/>
                      <w:kern w:val="0"/>
                      <w:szCs w:val="21"/>
                      <w:highlight w:val="none"/>
                    </w:rPr>
                  </w:pPr>
                  <w:r>
                    <w:rPr>
                      <w:rFonts w:hint="eastAsia"/>
                      <w:kern w:val="0"/>
                      <w:szCs w:val="21"/>
                      <w:highlight w:val="none"/>
                      <w:lang w:eastAsia="zh-CN"/>
                    </w:rPr>
                    <w:t>切削液</w:t>
                  </w:r>
                </w:p>
              </w:tc>
              <w:tc>
                <w:tcPr>
                  <w:tcW w:w="353" w:type="pct"/>
                  <w:vAlign w:val="center"/>
                </w:tcPr>
                <w:p>
                  <w:pPr>
                    <w:widowControl/>
                    <w:jc w:val="center"/>
                    <w:rPr>
                      <w:rFonts w:hint="eastAsia" w:eastAsia="宋体"/>
                      <w:kern w:val="0"/>
                      <w:szCs w:val="21"/>
                      <w:highlight w:val="none"/>
                      <w:lang w:eastAsia="zh-CN"/>
                    </w:rPr>
                  </w:pPr>
                  <w:r>
                    <w:rPr>
                      <w:rFonts w:hint="eastAsia"/>
                      <w:kern w:val="0"/>
                      <w:szCs w:val="21"/>
                      <w:highlight w:val="none"/>
                      <w:lang w:eastAsia="zh-CN"/>
                    </w:rPr>
                    <w:t>半年</w:t>
                  </w:r>
                </w:p>
              </w:tc>
              <w:tc>
                <w:tcPr>
                  <w:tcW w:w="353" w:type="pct"/>
                  <w:vAlign w:val="center"/>
                </w:tcPr>
                <w:p>
                  <w:pPr>
                    <w:widowControl/>
                    <w:jc w:val="center"/>
                    <w:rPr>
                      <w:rFonts w:hint="default"/>
                      <w:kern w:val="0"/>
                      <w:szCs w:val="21"/>
                      <w:highlight w:val="none"/>
                    </w:rPr>
                  </w:pPr>
                  <w:r>
                    <w:rPr>
                      <w:rFonts w:hint="default"/>
                      <w:kern w:val="0"/>
                      <w:szCs w:val="21"/>
                      <w:highlight w:val="none"/>
                    </w:rPr>
                    <w:t>T</w:t>
                  </w:r>
                </w:p>
              </w:tc>
              <w:tc>
                <w:tcPr>
                  <w:tcW w:w="383" w:type="pct"/>
                  <w:vMerge w:val="continue"/>
                  <w:vAlign w:val="center"/>
                </w:tcPr>
                <w:p>
                  <w:pPr>
                    <w:widowControl/>
                    <w:jc w:val="center"/>
                    <w:rPr>
                      <w:rFonts w:hint="default"/>
                      <w:kern w:val="0"/>
                      <w:szCs w:val="21"/>
                      <w:highlight w:val="none"/>
                    </w:rPr>
                  </w:pPr>
                </w:p>
              </w:tc>
              <w:tc>
                <w:tcPr>
                  <w:tcW w:w="422" w:type="pct"/>
                  <w:vMerge w:val="continue"/>
                  <w:vAlign w:val="center"/>
                </w:tcPr>
                <w:p>
                  <w:pPr>
                    <w:widowControl/>
                    <w:jc w:val="center"/>
                    <w:rPr>
                      <w:rFonts w:hint="default"/>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90" w:type="pct"/>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3</w:t>
                  </w:r>
                </w:p>
              </w:tc>
              <w:tc>
                <w:tcPr>
                  <w:tcW w:w="480" w:type="pct"/>
                  <w:vAlign w:val="center"/>
                </w:tcPr>
                <w:p>
                  <w:pPr>
                    <w:widowControl/>
                    <w:jc w:val="center"/>
                    <w:rPr>
                      <w:rFonts w:hint="eastAsia"/>
                      <w:kern w:val="0"/>
                      <w:szCs w:val="21"/>
                      <w:highlight w:val="none"/>
                    </w:rPr>
                  </w:pPr>
                  <w:r>
                    <w:rPr>
                      <w:rFonts w:hint="eastAsia"/>
                      <w:kern w:val="0"/>
                      <w:szCs w:val="21"/>
                      <w:highlight w:val="none"/>
                      <w:lang w:eastAsia="zh-CN"/>
                    </w:rPr>
                    <w:t>废油墨</w:t>
                  </w:r>
                </w:p>
              </w:tc>
              <w:tc>
                <w:tcPr>
                  <w:tcW w:w="409" w:type="pct"/>
                  <w:vAlign w:val="center"/>
                </w:tcPr>
                <w:p>
                  <w:pPr>
                    <w:widowControl/>
                    <w:jc w:val="center"/>
                    <w:rPr>
                      <w:rFonts w:hint="default"/>
                      <w:kern w:val="0"/>
                      <w:szCs w:val="21"/>
                      <w:highlight w:val="none"/>
                    </w:rPr>
                  </w:pPr>
                  <w:r>
                    <w:rPr>
                      <w:rFonts w:hint="eastAsia"/>
                      <w:kern w:val="0"/>
                      <w:szCs w:val="21"/>
                      <w:highlight w:val="none"/>
                    </w:rPr>
                    <w:t>HW12</w:t>
                  </w:r>
                </w:p>
              </w:tc>
              <w:tc>
                <w:tcPr>
                  <w:tcW w:w="593" w:type="pct"/>
                  <w:vAlign w:val="center"/>
                </w:tcPr>
                <w:p>
                  <w:pPr>
                    <w:widowControl/>
                    <w:jc w:val="center"/>
                    <w:rPr>
                      <w:rFonts w:hint="eastAsia"/>
                      <w:kern w:val="0"/>
                      <w:szCs w:val="21"/>
                      <w:highlight w:val="none"/>
                    </w:rPr>
                  </w:pPr>
                  <w:r>
                    <w:rPr>
                      <w:rFonts w:hint="eastAsia"/>
                      <w:kern w:val="0"/>
                      <w:szCs w:val="21"/>
                      <w:highlight w:val="none"/>
                    </w:rPr>
                    <w:t>900-253-12</w:t>
                  </w:r>
                </w:p>
              </w:tc>
              <w:tc>
                <w:tcPr>
                  <w:tcW w:w="369" w:type="pct"/>
                  <w:vAlign w:val="center"/>
                </w:tcPr>
                <w:p>
                  <w:pPr>
                    <w:widowControl/>
                    <w:jc w:val="center"/>
                    <w:rPr>
                      <w:rFonts w:hint="eastAsia"/>
                      <w:kern w:val="0"/>
                      <w:szCs w:val="21"/>
                      <w:highlight w:val="none"/>
                    </w:rPr>
                  </w:pPr>
                  <w:r>
                    <w:rPr>
                      <w:rFonts w:hint="eastAsia"/>
                      <w:kern w:val="0"/>
                      <w:szCs w:val="21"/>
                      <w:highlight w:val="none"/>
                      <w:lang w:val="en-US" w:eastAsia="zh-CN"/>
                    </w:rPr>
                    <w:t>0.0025</w:t>
                  </w:r>
                </w:p>
              </w:tc>
              <w:tc>
                <w:tcPr>
                  <w:tcW w:w="395" w:type="pct"/>
                  <w:vAlign w:val="center"/>
                </w:tcPr>
                <w:p>
                  <w:pPr>
                    <w:widowControl/>
                    <w:jc w:val="center"/>
                    <w:rPr>
                      <w:rFonts w:hint="eastAsia"/>
                      <w:kern w:val="0"/>
                      <w:szCs w:val="21"/>
                      <w:highlight w:val="none"/>
                    </w:rPr>
                  </w:pPr>
                  <w:r>
                    <w:rPr>
                      <w:rFonts w:hint="eastAsia"/>
                      <w:kern w:val="0"/>
                      <w:szCs w:val="21"/>
                      <w:highlight w:val="none"/>
                      <w:lang w:eastAsia="zh-CN"/>
                    </w:rPr>
                    <w:t>印刷</w:t>
                  </w:r>
                </w:p>
              </w:tc>
              <w:tc>
                <w:tcPr>
                  <w:tcW w:w="242" w:type="pct"/>
                  <w:vAlign w:val="center"/>
                </w:tcPr>
                <w:p>
                  <w:pPr>
                    <w:widowControl/>
                    <w:jc w:val="center"/>
                    <w:rPr>
                      <w:rFonts w:hint="eastAsia"/>
                      <w:kern w:val="0"/>
                      <w:szCs w:val="21"/>
                      <w:highlight w:val="none"/>
                    </w:rPr>
                  </w:pPr>
                  <w:r>
                    <w:rPr>
                      <w:rFonts w:hint="eastAsia"/>
                      <w:kern w:val="0"/>
                      <w:szCs w:val="21"/>
                      <w:highlight w:val="none"/>
                      <w:lang w:eastAsia="zh-CN"/>
                    </w:rPr>
                    <w:t>液</w:t>
                  </w:r>
                </w:p>
              </w:tc>
              <w:tc>
                <w:tcPr>
                  <w:tcW w:w="413" w:type="pct"/>
                  <w:vAlign w:val="center"/>
                </w:tcPr>
                <w:p>
                  <w:pPr>
                    <w:widowControl/>
                    <w:jc w:val="center"/>
                    <w:rPr>
                      <w:rFonts w:hint="eastAsia"/>
                      <w:kern w:val="0"/>
                      <w:szCs w:val="21"/>
                      <w:highlight w:val="none"/>
                    </w:rPr>
                  </w:pPr>
                  <w:r>
                    <w:rPr>
                      <w:rFonts w:hint="eastAsia"/>
                      <w:kern w:val="0"/>
                      <w:szCs w:val="21"/>
                      <w:highlight w:val="none"/>
                      <w:lang w:eastAsia="zh-CN"/>
                    </w:rPr>
                    <w:t>油墨</w:t>
                  </w:r>
                </w:p>
              </w:tc>
              <w:tc>
                <w:tcPr>
                  <w:tcW w:w="392" w:type="pct"/>
                  <w:vAlign w:val="center"/>
                </w:tcPr>
                <w:p>
                  <w:pPr>
                    <w:widowControl/>
                    <w:jc w:val="center"/>
                    <w:rPr>
                      <w:rFonts w:hint="eastAsia"/>
                      <w:kern w:val="0"/>
                      <w:szCs w:val="21"/>
                      <w:highlight w:val="none"/>
                    </w:rPr>
                  </w:pPr>
                  <w:r>
                    <w:rPr>
                      <w:rFonts w:hint="eastAsia"/>
                      <w:kern w:val="0"/>
                      <w:szCs w:val="21"/>
                      <w:highlight w:val="none"/>
                      <w:lang w:eastAsia="zh-CN"/>
                    </w:rPr>
                    <w:t>油墨</w:t>
                  </w:r>
                </w:p>
              </w:tc>
              <w:tc>
                <w:tcPr>
                  <w:tcW w:w="353" w:type="pct"/>
                  <w:vAlign w:val="center"/>
                </w:tcPr>
                <w:p>
                  <w:pPr>
                    <w:widowControl/>
                    <w:jc w:val="center"/>
                    <w:rPr>
                      <w:rFonts w:hint="default"/>
                      <w:kern w:val="0"/>
                      <w:szCs w:val="21"/>
                      <w:highlight w:val="none"/>
                    </w:rPr>
                  </w:pPr>
                  <w:r>
                    <w:rPr>
                      <w:rFonts w:hint="eastAsia"/>
                      <w:kern w:val="0"/>
                      <w:szCs w:val="21"/>
                      <w:highlight w:val="none"/>
                      <w:lang w:eastAsia="zh-CN"/>
                    </w:rPr>
                    <w:t>半年</w:t>
                  </w:r>
                </w:p>
              </w:tc>
              <w:tc>
                <w:tcPr>
                  <w:tcW w:w="353" w:type="pct"/>
                  <w:vAlign w:val="center"/>
                </w:tcPr>
                <w:p>
                  <w:pPr>
                    <w:widowControl/>
                    <w:jc w:val="center"/>
                    <w:rPr>
                      <w:rFonts w:hint="eastAsia"/>
                      <w:kern w:val="0"/>
                      <w:szCs w:val="21"/>
                      <w:highlight w:val="none"/>
                    </w:rPr>
                  </w:pPr>
                  <w:r>
                    <w:rPr>
                      <w:rFonts w:hint="eastAsia"/>
                      <w:kern w:val="0"/>
                      <w:szCs w:val="21"/>
                      <w:highlight w:val="none"/>
                    </w:rPr>
                    <w:t>T,I</w:t>
                  </w:r>
                </w:p>
              </w:tc>
              <w:tc>
                <w:tcPr>
                  <w:tcW w:w="383" w:type="pct"/>
                  <w:vMerge w:val="continue"/>
                  <w:vAlign w:val="center"/>
                </w:tcPr>
                <w:p>
                  <w:pPr>
                    <w:widowControl/>
                    <w:jc w:val="center"/>
                    <w:rPr>
                      <w:rFonts w:hint="default"/>
                      <w:kern w:val="0"/>
                      <w:szCs w:val="21"/>
                      <w:highlight w:val="none"/>
                    </w:rPr>
                  </w:pPr>
                </w:p>
              </w:tc>
              <w:tc>
                <w:tcPr>
                  <w:tcW w:w="422" w:type="pct"/>
                  <w:vMerge w:val="continue"/>
                  <w:vAlign w:val="center"/>
                </w:tcPr>
                <w:p>
                  <w:pPr>
                    <w:widowControl/>
                    <w:jc w:val="center"/>
                    <w:rPr>
                      <w:rFonts w:hint="default"/>
                      <w:kern w:val="0"/>
                      <w:szCs w:val="21"/>
                      <w:highlight w:val="none"/>
                    </w:rPr>
                  </w:pPr>
                </w:p>
              </w:tc>
            </w:tr>
          </w:tbl>
          <w:p>
            <w:pPr>
              <w:spacing w:line="440" w:lineRule="exact"/>
              <w:ind w:firstLine="480" w:firstLineChars="200"/>
              <w:rPr>
                <w:sz w:val="24"/>
                <w:highlight w:val="none"/>
              </w:rPr>
            </w:pPr>
            <w:r>
              <w:rPr>
                <w:rFonts w:hint="eastAsia"/>
                <w:sz w:val="24"/>
                <w:highlight w:val="none"/>
              </w:rPr>
              <w:t>（</w:t>
            </w:r>
            <w:r>
              <w:rPr>
                <w:sz w:val="24"/>
                <w:highlight w:val="none"/>
              </w:rPr>
              <w:t>5</w:t>
            </w:r>
            <w:r>
              <w:rPr>
                <w:rFonts w:hint="eastAsia"/>
                <w:sz w:val="24"/>
                <w:highlight w:val="none"/>
              </w:rPr>
              <w:t>）固体废物环境影响分析</w:t>
            </w:r>
          </w:p>
          <w:p>
            <w:pPr>
              <w:spacing w:line="440" w:lineRule="exact"/>
              <w:ind w:firstLine="480" w:firstLineChars="200"/>
              <w:rPr>
                <w:sz w:val="24"/>
                <w:highlight w:val="none"/>
              </w:rPr>
            </w:pPr>
            <w:r>
              <w:rPr>
                <w:rFonts w:hint="eastAsia"/>
                <w:sz w:val="24"/>
                <w:highlight w:val="none"/>
              </w:rPr>
              <w:t>生活垃圾：交由环卫部门统一处理。</w:t>
            </w:r>
          </w:p>
          <w:p>
            <w:pPr>
              <w:spacing w:line="440" w:lineRule="exact"/>
              <w:ind w:firstLine="480" w:firstLineChars="200"/>
              <w:rPr>
                <w:sz w:val="24"/>
                <w:highlight w:val="none"/>
              </w:rPr>
            </w:pPr>
            <w:r>
              <w:rPr>
                <w:rFonts w:hint="eastAsia"/>
                <w:sz w:val="24"/>
                <w:highlight w:val="none"/>
              </w:rPr>
              <w:t>一般工业固废：暂存于项目区一般固废暂存点，定期外售给物资回收公司。</w:t>
            </w:r>
          </w:p>
          <w:p>
            <w:pPr>
              <w:spacing w:line="440" w:lineRule="exact"/>
              <w:ind w:firstLine="480" w:firstLineChars="200"/>
              <w:rPr>
                <w:sz w:val="24"/>
                <w:highlight w:val="none"/>
              </w:rPr>
            </w:pPr>
            <w:r>
              <w:rPr>
                <w:rFonts w:hint="eastAsia"/>
                <w:sz w:val="24"/>
                <w:highlight w:val="none"/>
              </w:rPr>
              <w:t>危险废物：本项目新建面积为</w:t>
            </w:r>
            <w:r>
              <w:rPr>
                <w:rFonts w:hint="eastAsia"/>
                <w:sz w:val="24"/>
                <w:highlight w:val="none"/>
                <w:lang w:val="en-US" w:eastAsia="zh-CN"/>
              </w:rPr>
              <w:t>10</w:t>
            </w:r>
            <w:r>
              <w:rPr>
                <w:rFonts w:hint="eastAsia"/>
                <w:sz w:val="24"/>
                <w:highlight w:val="none"/>
              </w:rPr>
              <w:t>平方米的危废暂存间，定期交由有资质单位处理。由于该项目还未运营，故该危险废物贮存场所还未投入使用。根据建设单位提供的资料，该危险废物贮存场所可储存</w:t>
            </w:r>
            <w:r>
              <w:rPr>
                <w:rFonts w:hint="eastAsia"/>
                <w:sz w:val="24"/>
                <w:highlight w:val="none"/>
                <w:lang w:val="en-US" w:eastAsia="zh-CN"/>
              </w:rPr>
              <w:t>3</w:t>
            </w:r>
            <w:r>
              <w:rPr>
                <w:rFonts w:hint="eastAsia"/>
                <w:sz w:val="24"/>
                <w:highlight w:val="none"/>
              </w:rPr>
              <w:t>吨的危险废物，本次项目完成后，全厂危废产量为</w:t>
            </w:r>
            <w:r>
              <w:rPr>
                <w:rFonts w:hint="eastAsia"/>
                <w:sz w:val="24"/>
                <w:highlight w:val="none"/>
                <w:lang w:val="en-US" w:eastAsia="zh-CN"/>
              </w:rPr>
              <w:t>10.5075</w:t>
            </w:r>
            <w:r>
              <w:rPr>
                <w:rFonts w:hint="eastAsia"/>
                <w:sz w:val="24"/>
                <w:highlight w:val="none"/>
              </w:rPr>
              <w:t>t/a，按照一个季度清运一次，则单次储存量为</w:t>
            </w:r>
            <w:r>
              <w:rPr>
                <w:rFonts w:hint="eastAsia"/>
                <w:sz w:val="24"/>
                <w:highlight w:val="none"/>
                <w:lang w:val="en-US" w:eastAsia="zh-CN"/>
              </w:rPr>
              <w:t>2.6</w:t>
            </w:r>
            <w:r>
              <w:rPr>
                <w:rFonts w:hint="eastAsia"/>
                <w:sz w:val="24"/>
                <w:highlight w:val="none"/>
              </w:rPr>
              <w:t>吨，故危险废物贮存场所的容量可以满足要求。危险废物贮存场所情况见下表。</w:t>
            </w:r>
          </w:p>
          <w:p>
            <w:pPr>
              <w:spacing w:line="360" w:lineRule="auto"/>
              <w:jc w:val="center"/>
              <w:rPr>
                <w:rFonts w:cs="宋体"/>
                <w:b/>
                <w:sz w:val="24"/>
                <w:highlight w:val="yellow"/>
              </w:rPr>
            </w:pPr>
            <w:r>
              <w:rPr>
                <w:rFonts w:cs="宋体"/>
                <w:b/>
                <w:sz w:val="24"/>
                <w:highlight w:val="none"/>
              </w:rPr>
              <w:t>表4-11  危险废物贮存场所（设施）基本情况</w:t>
            </w:r>
          </w:p>
          <w:tbl>
            <w:tblPr>
              <w:tblStyle w:val="22"/>
              <w:tblW w:w="9104" w:type="dxa"/>
              <w:jc w:val="center"/>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Layout w:type="fixed"/>
              <w:tblCellMar>
                <w:top w:w="0" w:type="dxa"/>
                <w:left w:w="28" w:type="dxa"/>
                <w:bottom w:w="0" w:type="dxa"/>
                <w:right w:w="23" w:type="dxa"/>
              </w:tblCellMar>
            </w:tblPr>
            <w:tblGrid>
              <w:gridCol w:w="723"/>
              <w:gridCol w:w="1404"/>
              <w:gridCol w:w="918"/>
              <w:gridCol w:w="815"/>
              <w:gridCol w:w="940"/>
              <w:gridCol w:w="575"/>
              <w:gridCol w:w="817"/>
              <w:gridCol w:w="1404"/>
              <w:gridCol w:w="754"/>
              <w:gridCol w:w="754"/>
            </w:tblGrid>
            <w:tr>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28" w:type="dxa"/>
                  <w:bottom w:w="0" w:type="dxa"/>
                  <w:right w:w="23" w:type="dxa"/>
                </w:tblCellMar>
              </w:tblPrEx>
              <w:trPr>
                <w:trHeight w:val="539" w:hRule="atLeast"/>
                <w:jc w:val="center"/>
              </w:trPr>
              <w:tc>
                <w:tcPr>
                  <w:tcW w:w="723" w:type="dxa"/>
                  <w:vAlign w:val="center"/>
                </w:tcPr>
                <w:p>
                  <w:pPr>
                    <w:widowControl/>
                    <w:jc w:val="center"/>
                    <w:rPr>
                      <w:rFonts w:hint="eastAsia"/>
                      <w:b/>
                      <w:bCs/>
                      <w:kern w:val="0"/>
                      <w:szCs w:val="21"/>
                      <w:highlight w:val="none"/>
                      <w:lang w:val="en-US" w:eastAsia="zh-CN"/>
                    </w:rPr>
                  </w:pPr>
                  <w:r>
                    <w:rPr>
                      <w:rFonts w:hint="eastAsia"/>
                      <w:b/>
                      <w:bCs/>
                      <w:kern w:val="0"/>
                      <w:szCs w:val="21"/>
                      <w:highlight w:val="none"/>
                      <w:lang w:val="en-US" w:eastAsia="zh-CN"/>
                    </w:rPr>
                    <w:t>序号</w:t>
                  </w:r>
                </w:p>
              </w:tc>
              <w:tc>
                <w:tcPr>
                  <w:tcW w:w="1404" w:type="dxa"/>
                  <w:vAlign w:val="center"/>
                </w:tcPr>
                <w:p>
                  <w:pPr>
                    <w:widowControl/>
                    <w:jc w:val="center"/>
                    <w:rPr>
                      <w:rFonts w:hint="eastAsia"/>
                      <w:b/>
                      <w:bCs/>
                      <w:kern w:val="0"/>
                      <w:szCs w:val="21"/>
                      <w:highlight w:val="none"/>
                      <w:lang w:val="en-US" w:eastAsia="zh-CN"/>
                    </w:rPr>
                  </w:pPr>
                  <w:r>
                    <w:rPr>
                      <w:rFonts w:hint="eastAsia"/>
                      <w:b/>
                      <w:bCs/>
                      <w:kern w:val="0"/>
                      <w:szCs w:val="21"/>
                      <w:highlight w:val="none"/>
                      <w:lang w:val="en-US" w:eastAsia="zh-CN"/>
                    </w:rPr>
                    <w:t>贮存场所名称</w:t>
                  </w:r>
                </w:p>
              </w:tc>
              <w:tc>
                <w:tcPr>
                  <w:tcW w:w="918" w:type="dxa"/>
                  <w:vAlign w:val="center"/>
                </w:tcPr>
                <w:p>
                  <w:pPr>
                    <w:widowControl/>
                    <w:jc w:val="center"/>
                    <w:rPr>
                      <w:rFonts w:hint="eastAsia"/>
                      <w:b/>
                      <w:bCs/>
                      <w:kern w:val="0"/>
                      <w:szCs w:val="21"/>
                      <w:highlight w:val="none"/>
                      <w:lang w:val="en-US" w:eastAsia="zh-CN"/>
                    </w:rPr>
                  </w:pPr>
                  <w:r>
                    <w:rPr>
                      <w:rFonts w:hint="eastAsia"/>
                      <w:b/>
                      <w:bCs/>
                      <w:kern w:val="0"/>
                      <w:szCs w:val="21"/>
                      <w:highlight w:val="none"/>
                      <w:lang w:val="en-US" w:eastAsia="zh-CN"/>
                    </w:rPr>
                    <w:t>危险物名称</w:t>
                  </w:r>
                </w:p>
              </w:tc>
              <w:tc>
                <w:tcPr>
                  <w:tcW w:w="815" w:type="dxa"/>
                  <w:vAlign w:val="center"/>
                </w:tcPr>
                <w:p>
                  <w:pPr>
                    <w:widowControl/>
                    <w:jc w:val="center"/>
                    <w:rPr>
                      <w:rFonts w:hint="eastAsia"/>
                      <w:b/>
                      <w:bCs/>
                      <w:kern w:val="0"/>
                      <w:szCs w:val="21"/>
                      <w:highlight w:val="none"/>
                      <w:lang w:val="en-US" w:eastAsia="zh-CN"/>
                    </w:rPr>
                  </w:pPr>
                  <w:r>
                    <w:rPr>
                      <w:rFonts w:hint="eastAsia"/>
                      <w:b/>
                      <w:bCs/>
                      <w:kern w:val="0"/>
                      <w:szCs w:val="21"/>
                      <w:highlight w:val="none"/>
                      <w:lang w:val="en-US" w:eastAsia="zh-CN"/>
                    </w:rPr>
                    <w:t>危险废物类别</w:t>
                  </w:r>
                </w:p>
              </w:tc>
              <w:tc>
                <w:tcPr>
                  <w:tcW w:w="940" w:type="dxa"/>
                  <w:vAlign w:val="center"/>
                </w:tcPr>
                <w:p>
                  <w:pPr>
                    <w:widowControl/>
                    <w:jc w:val="center"/>
                    <w:rPr>
                      <w:rFonts w:hint="eastAsia"/>
                      <w:b/>
                      <w:bCs/>
                      <w:kern w:val="0"/>
                      <w:szCs w:val="21"/>
                      <w:highlight w:val="none"/>
                      <w:lang w:val="en-US" w:eastAsia="zh-CN"/>
                    </w:rPr>
                  </w:pPr>
                  <w:r>
                    <w:rPr>
                      <w:rFonts w:hint="eastAsia"/>
                      <w:b/>
                      <w:bCs/>
                      <w:kern w:val="0"/>
                      <w:szCs w:val="21"/>
                      <w:highlight w:val="none"/>
                      <w:lang w:val="en-US" w:eastAsia="zh-CN"/>
                    </w:rPr>
                    <w:t>危险废物代码</w:t>
                  </w:r>
                </w:p>
              </w:tc>
              <w:tc>
                <w:tcPr>
                  <w:tcW w:w="575" w:type="dxa"/>
                  <w:vAlign w:val="center"/>
                </w:tcPr>
                <w:p>
                  <w:pPr>
                    <w:widowControl/>
                    <w:jc w:val="center"/>
                    <w:rPr>
                      <w:rFonts w:hint="eastAsia"/>
                      <w:b/>
                      <w:bCs/>
                      <w:kern w:val="0"/>
                      <w:szCs w:val="21"/>
                      <w:highlight w:val="none"/>
                      <w:lang w:val="en-US" w:eastAsia="zh-CN"/>
                    </w:rPr>
                  </w:pPr>
                  <w:r>
                    <w:rPr>
                      <w:rFonts w:hint="eastAsia"/>
                      <w:b/>
                      <w:bCs/>
                      <w:kern w:val="0"/>
                      <w:szCs w:val="21"/>
                      <w:highlight w:val="none"/>
                      <w:lang w:val="en-US" w:eastAsia="zh-CN"/>
                    </w:rPr>
                    <w:t>位置</w:t>
                  </w:r>
                </w:p>
              </w:tc>
              <w:tc>
                <w:tcPr>
                  <w:tcW w:w="817" w:type="dxa"/>
                  <w:vAlign w:val="center"/>
                </w:tcPr>
                <w:p>
                  <w:pPr>
                    <w:widowControl/>
                    <w:jc w:val="center"/>
                    <w:rPr>
                      <w:rFonts w:hint="eastAsia"/>
                      <w:b/>
                      <w:bCs/>
                      <w:kern w:val="0"/>
                      <w:szCs w:val="21"/>
                      <w:highlight w:val="none"/>
                      <w:lang w:val="en-US" w:eastAsia="zh-CN"/>
                    </w:rPr>
                  </w:pPr>
                  <w:r>
                    <w:rPr>
                      <w:rFonts w:hint="eastAsia"/>
                      <w:b/>
                      <w:bCs/>
                      <w:kern w:val="0"/>
                      <w:szCs w:val="21"/>
                      <w:highlight w:val="none"/>
                      <w:lang w:val="en-US" w:eastAsia="zh-CN"/>
                    </w:rPr>
                    <w:t>占地面积</w:t>
                  </w:r>
                </w:p>
              </w:tc>
              <w:tc>
                <w:tcPr>
                  <w:tcW w:w="1404" w:type="dxa"/>
                  <w:vAlign w:val="center"/>
                </w:tcPr>
                <w:p>
                  <w:pPr>
                    <w:widowControl/>
                    <w:jc w:val="center"/>
                    <w:rPr>
                      <w:rFonts w:hint="eastAsia"/>
                      <w:b/>
                      <w:bCs/>
                      <w:kern w:val="0"/>
                      <w:szCs w:val="21"/>
                      <w:highlight w:val="none"/>
                      <w:lang w:val="en-US" w:eastAsia="zh-CN"/>
                    </w:rPr>
                  </w:pPr>
                  <w:r>
                    <w:rPr>
                      <w:rFonts w:hint="eastAsia"/>
                      <w:b/>
                      <w:bCs/>
                      <w:kern w:val="0"/>
                      <w:szCs w:val="21"/>
                      <w:highlight w:val="none"/>
                      <w:lang w:val="en-US" w:eastAsia="zh-CN"/>
                    </w:rPr>
                    <w:t>贮存方式</w:t>
                  </w:r>
                </w:p>
              </w:tc>
              <w:tc>
                <w:tcPr>
                  <w:tcW w:w="754" w:type="dxa"/>
                  <w:vAlign w:val="center"/>
                </w:tcPr>
                <w:p>
                  <w:pPr>
                    <w:widowControl/>
                    <w:jc w:val="center"/>
                    <w:rPr>
                      <w:rFonts w:hint="eastAsia"/>
                      <w:b/>
                      <w:bCs/>
                      <w:kern w:val="0"/>
                      <w:szCs w:val="21"/>
                      <w:highlight w:val="none"/>
                      <w:lang w:val="en-US" w:eastAsia="zh-CN"/>
                    </w:rPr>
                  </w:pPr>
                  <w:r>
                    <w:rPr>
                      <w:rFonts w:hint="eastAsia"/>
                      <w:b/>
                      <w:bCs/>
                      <w:kern w:val="0"/>
                      <w:szCs w:val="21"/>
                      <w:highlight w:val="none"/>
                      <w:lang w:val="en-US" w:eastAsia="zh-CN"/>
                    </w:rPr>
                    <w:t>贮存能力</w:t>
                  </w:r>
                </w:p>
              </w:tc>
              <w:tc>
                <w:tcPr>
                  <w:tcW w:w="754" w:type="dxa"/>
                  <w:vAlign w:val="center"/>
                </w:tcPr>
                <w:p>
                  <w:pPr>
                    <w:widowControl/>
                    <w:jc w:val="center"/>
                    <w:rPr>
                      <w:rFonts w:hint="eastAsia"/>
                      <w:b/>
                      <w:bCs/>
                      <w:kern w:val="0"/>
                      <w:szCs w:val="21"/>
                      <w:highlight w:val="none"/>
                      <w:lang w:val="en-US" w:eastAsia="zh-CN"/>
                    </w:rPr>
                  </w:pPr>
                  <w:r>
                    <w:rPr>
                      <w:rFonts w:hint="eastAsia"/>
                      <w:b/>
                      <w:bCs/>
                      <w:kern w:val="0"/>
                      <w:szCs w:val="21"/>
                      <w:highlight w:val="none"/>
                      <w:lang w:val="en-US" w:eastAsia="zh-CN"/>
                    </w:rPr>
                    <w:t>贮存周期</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28" w:type="dxa"/>
                  <w:bottom w:w="0" w:type="dxa"/>
                  <w:right w:w="23" w:type="dxa"/>
                </w:tblCellMar>
              </w:tblPrEx>
              <w:trPr>
                <w:trHeight w:val="600" w:hRule="atLeast"/>
                <w:jc w:val="center"/>
              </w:trPr>
              <w:tc>
                <w:tcPr>
                  <w:tcW w:w="723" w:type="dxa"/>
                  <w:vMerge w:val="restart"/>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第1-1号</w:t>
                  </w:r>
                </w:p>
              </w:tc>
              <w:tc>
                <w:tcPr>
                  <w:tcW w:w="1404" w:type="dxa"/>
                  <w:vMerge w:val="restart"/>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危险废物贮存场所</w:t>
                  </w:r>
                </w:p>
              </w:tc>
              <w:tc>
                <w:tcPr>
                  <w:tcW w:w="918"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废活性炭</w:t>
                  </w:r>
                </w:p>
              </w:tc>
              <w:tc>
                <w:tcPr>
                  <w:tcW w:w="815"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HW49</w:t>
                  </w:r>
                </w:p>
              </w:tc>
              <w:tc>
                <w:tcPr>
                  <w:tcW w:w="940"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900-039-49</w:t>
                  </w:r>
                </w:p>
              </w:tc>
              <w:tc>
                <w:tcPr>
                  <w:tcW w:w="575" w:type="dxa"/>
                  <w:vMerge w:val="restart"/>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危废间</w:t>
                  </w:r>
                </w:p>
              </w:tc>
              <w:tc>
                <w:tcPr>
                  <w:tcW w:w="817" w:type="dxa"/>
                  <w:vMerge w:val="restart"/>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10m</w:t>
                  </w:r>
                  <w:r>
                    <w:rPr>
                      <w:rFonts w:hint="eastAsia"/>
                      <w:kern w:val="0"/>
                      <w:szCs w:val="21"/>
                      <w:highlight w:val="none"/>
                      <w:vertAlign w:val="superscript"/>
                      <w:lang w:val="en-US" w:eastAsia="zh-CN"/>
                    </w:rPr>
                    <w:t>2</w:t>
                  </w:r>
                </w:p>
              </w:tc>
              <w:tc>
                <w:tcPr>
                  <w:tcW w:w="1404" w:type="dxa"/>
                  <w:vMerge w:val="restart"/>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液体采用吨桶存放，固体采用防漏胶袋存放</w:t>
                  </w:r>
                </w:p>
              </w:tc>
              <w:tc>
                <w:tcPr>
                  <w:tcW w:w="754" w:type="dxa"/>
                  <w:vMerge w:val="restart"/>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3t</w:t>
                  </w:r>
                </w:p>
              </w:tc>
              <w:tc>
                <w:tcPr>
                  <w:tcW w:w="754" w:type="dxa"/>
                  <w:vMerge w:val="restart"/>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3个月</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28" w:type="dxa"/>
                  <w:bottom w:w="0" w:type="dxa"/>
                  <w:right w:w="23" w:type="dxa"/>
                </w:tblCellMar>
              </w:tblPrEx>
              <w:trPr>
                <w:trHeight w:val="600" w:hRule="atLeast"/>
                <w:jc w:val="center"/>
              </w:trPr>
              <w:tc>
                <w:tcPr>
                  <w:tcW w:w="723" w:type="dxa"/>
                  <w:vMerge w:val="continue"/>
                  <w:vAlign w:val="center"/>
                </w:tcPr>
                <w:p>
                  <w:pPr>
                    <w:widowControl/>
                    <w:adjustRightInd w:val="0"/>
                    <w:snapToGrid w:val="0"/>
                    <w:jc w:val="center"/>
                    <w:rPr>
                      <w:kern w:val="0"/>
                      <w:szCs w:val="21"/>
                      <w:highlight w:val="yellow"/>
                    </w:rPr>
                  </w:pPr>
                </w:p>
              </w:tc>
              <w:tc>
                <w:tcPr>
                  <w:tcW w:w="1404" w:type="dxa"/>
                  <w:vMerge w:val="continue"/>
                  <w:vAlign w:val="center"/>
                </w:tcPr>
                <w:p>
                  <w:pPr>
                    <w:widowControl/>
                    <w:snapToGrid w:val="0"/>
                    <w:jc w:val="center"/>
                    <w:rPr>
                      <w:kern w:val="0"/>
                      <w:szCs w:val="21"/>
                      <w:highlight w:val="yellow"/>
                    </w:rPr>
                  </w:pPr>
                </w:p>
              </w:tc>
              <w:tc>
                <w:tcPr>
                  <w:tcW w:w="918" w:type="dxa"/>
                  <w:vAlign w:val="center"/>
                </w:tcPr>
                <w:p>
                  <w:pPr>
                    <w:widowControl/>
                    <w:jc w:val="center"/>
                    <w:rPr>
                      <w:highlight w:val="yellow"/>
                    </w:rPr>
                  </w:pPr>
                  <w:r>
                    <w:rPr>
                      <w:rFonts w:hint="eastAsia"/>
                      <w:kern w:val="0"/>
                      <w:szCs w:val="21"/>
                      <w:highlight w:val="none"/>
                      <w:lang w:eastAsia="zh-CN"/>
                    </w:rPr>
                    <w:t>废切削液</w:t>
                  </w:r>
                </w:p>
              </w:tc>
              <w:tc>
                <w:tcPr>
                  <w:tcW w:w="815" w:type="dxa"/>
                  <w:vAlign w:val="center"/>
                </w:tcPr>
                <w:p>
                  <w:pPr>
                    <w:widowControl/>
                    <w:jc w:val="center"/>
                    <w:rPr>
                      <w:highlight w:val="yellow"/>
                    </w:rPr>
                  </w:pPr>
                  <w:r>
                    <w:rPr>
                      <w:rFonts w:hint="default"/>
                      <w:kern w:val="0"/>
                      <w:szCs w:val="21"/>
                      <w:highlight w:val="none"/>
                    </w:rPr>
                    <w:t>HW09</w:t>
                  </w:r>
                </w:p>
              </w:tc>
              <w:tc>
                <w:tcPr>
                  <w:tcW w:w="940" w:type="dxa"/>
                  <w:vAlign w:val="center"/>
                </w:tcPr>
                <w:p>
                  <w:pPr>
                    <w:widowControl/>
                    <w:jc w:val="center"/>
                    <w:rPr>
                      <w:highlight w:val="yellow"/>
                    </w:rPr>
                  </w:pPr>
                  <w:r>
                    <w:rPr>
                      <w:rFonts w:hint="default"/>
                      <w:kern w:val="0"/>
                      <w:szCs w:val="21"/>
                      <w:highlight w:val="none"/>
                    </w:rPr>
                    <w:t>900-006-09</w:t>
                  </w:r>
                </w:p>
              </w:tc>
              <w:tc>
                <w:tcPr>
                  <w:tcW w:w="575" w:type="dxa"/>
                  <w:vMerge w:val="continue"/>
                  <w:vAlign w:val="center"/>
                </w:tcPr>
                <w:p>
                  <w:pPr>
                    <w:widowControl/>
                    <w:snapToGrid w:val="0"/>
                    <w:jc w:val="center"/>
                    <w:rPr>
                      <w:kern w:val="0"/>
                      <w:szCs w:val="21"/>
                      <w:highlight w:val="yellow"/>
                    </w:rPr>
                  </w:pPr>
                </w:p>
              </w:tc>
              <w:tc>
                <w:tcPr>
                  <w:tcW w:w="817" w:type="dxa"/>
                  <w:vMerge w:val="continue"/>
                  <w:vAlign w:val="center"/>
                </w:tcPr>
                <w:p>
                  <w:pPr>
                    <w:widowControl/>
                    <w:snapToGrid w:val="0"/>
                    <w:jc w:val="center"/>
                    <w:rPr>
                      <w:kern w:val="0"/>
                      <w:szCs w:val="21"/>
                      <w:highlight w:val="yellow"/>
                    </w:rPr>
                  </w:pPr>
                </w:p>
              </w:tc>
              <w:tc>
                <w:tcPr>
                  <w:tcW w:w="1404" w:type="dxa"/>
                  <w:vMerge w:val="continue"/>
                  <w:vAlign w:val="center"/>
                </w:tcPr>
                <w:p>
                  <w:pPr>
                    <w:widowControl/>
                    <w:snapToGrid w:val="0"/>
                    <w:jc w:val="center"/>
                    <w:rPr>
                      <w:kern w:val="0"/>
                      <w:szCs w:val="21"/>
                      <w:highlight w:val="yellow"/>
                    </w:rPr>
                  </w:pPr>
                </w:p>
              </w:tc>
              <w:tc>
                <w:tcPr>
                  <w:tcW w:w="754" w:type="dxa"/>
                  <w:vMerge w:val="continue"/>
                  <w:vAlign w:val="center"/>
                </w:tcPr>
                <w:p>
                  <w:pPr>
                    <w:widowControl/>
                    <w:snapToGrid w:val="0"/>
                    <w:jc w:val="center"/>
                    <w:rPr>
                      <w:kern w:val="0"/>
                      <w:szCs w:val="21"/>
                      <w:highlight w:val="yellow"/>
                    </w:rPr>
                  </w:pPr>
                </w:p>
              </w:tc>
              <w:tc>
                <w:tcPr>
                  <w:tcW w:w="754" w:type="dxa"/>
                  <w:vMerge w:val="continue"/>
                  <w:vAlign w:val="center"/>
                </w:tcPr>
                <w:p>
                  <w:pPr>
                    <w:widowControl/>
                    <w:snapToGrid w:val="0"/>
                    <w:jc w:val="center"/>
                    <w:rPr>
                      <w:kern w:val="0"/>
                      <w:szCs w:val="21"/>
                      <w:highlight w:val="yellow"/>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28" w:type="dxa"/>
                  <w:bottom w:w="0" w:type="dxa"/>
                  <w:right w:w="23" w:type="dxa"/>
                </w:tblCellMar>
              </w:tblPrEx>
              <w:trPr>
                <w:trHeight w:val="600" w:hRule="atLeast"/>
                <w:jc w:val="center"/>
              </w:trPr>
              <w:tc>
                <w:tcPr>
                  <w:tcW w:w="723" w:type="dxa"/>
                  <w:vMerge w:val="continue"/>
                  <w:vAlign w:val="center"/>
                </w:tcPr>
                <w:p>
                  <w:pPr>
                    <w:widowControl/>
                    <w:adjustRightInd w:val="0"/>
                    <w:snapToGrid w:val="0"/>
                    <w:jc w:val="center"/>
                    <w:rPr>
                      <w:kern w:val="0"/>
                      <w:szCs w:val="21"/>
                      <w:highlight w:val="yellow"/>
                    </w:rPr>
                  </w:pPr>
                </w:p>
              </w:tc>
              <w:tc>
                <w:tcPr>
                  <w:tcW w:w="1404" w:type="dxa"/>
                  <w:vMerge w:val="continue"/>
                  <w:vAlign w:val="center"/>
                </w:tcPr>
                <w:p>
                  <w:pPr>
                    <w:widowControl/>
                    <w:snapToGrid w:val="0"/>
                    <w:jc w:val="center"/>
                    <w:rPr>
                      <w:kern w:val="0"/>
                      <w:szCs w:val="21"/>
                      <w:highlight w:val="yellow"/>
                    </w:rPr>
                  </w:pPr>
                </w:p>
              </w:tc>
              <w:tc>
                <w:tcPr>
                  <w:tcW w:w="918" w:type="dxa"/>
                  <w:vAlign w:val="center"/>
                </w:tcPr>
                <w:p>
                  <w:pPr>
                    <w:widowControl/>
                    <w:jc w:val="center"/>
                    <w:rPr>
                      <w:rFonts w:hint="eastAsia"/>
                      <w:highlight w:val="yellow"/>
                    </w:rPr>
                  </w:pPr>
                  <w:r>
                    <w:rPr>
                      <w:rFonts w:hint="eastAsia"/>
                      <w:kern w:val="0"/>
                      <w:szCs w:val="21"/>
                      <w:highlight w:val="none"/>
                      <w:lang w:eastAsia="zh-CN"/>
                    </w:rPr>
                    <w:t>废油墨</w:t>
                  </w:r>
                </w:p>
              </w:tc>
              <w:tc>
                <w:tcPr>
                  <w:tcW w:w="815" w:type="dxa"/>
                  <w:vAlign w:val="center"/>
                </w:tcPr>
                <w:p>
                  <w:pPr>
                    <w:widowControl/>
                    <w:jc w:val="center"/>
                    <w:rPr>
                      <w:highlight w:val="yellow"/>
                    </w:rPr>
                  </w:pPr>
                  <w:r>
                    <w:rPr>
                      <w:rFonts w:hint="eastAsia"/>
                      <w:kern w:val="0"/>
                      <w:szCs w:val="21"/>
                      <w:highlight w:val="none"/>
                    </w:rPr>
                    <w:t>HW12</w:t>
                  </w:r>
                </w:p>
              </w:tc>
              <w:tc>
                <w:tcPr>
                  <w:tcW w:w="940" w:type="dxa"/>
                  <w:vAlign w:val="center"/>
                </w:tcPr>
                <w:p>
                  <w:pPr>
                    <w:widowControl/>
                    <w:jc w:val="center"/>
                    <w:rPr>
                      <w:rFonts w:hint="eastAsia"/>
                      <w:highlight w:val="yellow"/>
                    </w:rPr>
                  </w:pPr>
                  <w:r>
                    <w:rPr>
                      <w:rFonts w:hint="eastAsia"/>
                      <w:kern w:val="0"/>
                      <w:szCs w:val="21"/>
                      <w:highlight w:val="none"/>
                    </w:rPr>
                    <w:t>900-253-12</w:t>
                  </w:r>
                </w:p>
              </w:tc>
              <w:tc>
                <w:tcPr>
                  <w:tcW w:w="575" w:type="dxa"/>
                  <w:vMerge w:val="continue"/>
                  <w:vAlign w:val="center"/>
                </w:tcPr>
                <w:p>
                  <w:pPr>
                    <w:widowControl/>
                    <w:snapToGrid w:val="0"/>
                    <w:jc w:val="center"/>
                    <w:rPr>
                      <w:kern w:val="0"/>
                      <w:szCs w:val="21"/>
                      <w:highlight w:val="yellow"/>
                    </w:rPr>
                  </w:pPr>
                </w:p>
              </w:tc>
              <w:tc>
                <w:tcPr>
                  <w:tcW w:w="817" w:type="dxa"/>
                  <w:vMerge w:val="continue"/>
                  <w:vAlign w:val="center"/>
                </w:tcPr>
                <w:p>
                  <w:pPr>
                    <w:widowControl/>
                    <w:snapToGrid w:val="0"/>
                    <w:jc w:val="center"/>
                    <w:rPr>
                      <w:kern w:val="0"/>
                      <w:szCs w:val="21"/>
                      <w:highlight w:val="yellow"/>
                    </w:rPr>
                  </w:pPr>
                </w:p>
              </w:tc>
              <w:tc>
                <w:tcPr>
                  <w:tcW w:w="1404" w:type="dxa"/>
                  <w:vMerge w:val="continue"/>
                  <w:vAlign w:val="center"/>
                </w:tcPr>
                <w:p>
                  <w:pPr>
                    <w:widowControl/>
                    <w:snapToGrid w:val="0"/>
                    <w:jc w:val="center"/>
                    <w:rPr>
                      <w:kern w:val="0"/>
                      <w:szCs w:val="21"/>
                      <w:highlight w:val="yellow"/>
                    </w:rPr>
                  </w:pPr>
                </w:p>
              </w:tc>
              <w:tc>
                <w:tcPr>
                  <w:tcW w:w="754" w:type="dxa"/>
                  <w:vMerge w:val="continue"/>
                  <w:vAlign w:val="center"/>
                </w:tcPr>
                <w:p>
                  <w:pPr>
                    <w:widowControl/>
                    <w:snapToGrid w:val="0"/>
                    <w:jc w:val="center"/>
                    <w:rPr>
                      <w:kern w:val="0"/>
                      <w:szCs w:val="21"/>
                      <w:highlight w:val="yellow"/>
                    </w:rPr>
                  </w:pPr>
                </w:p>
              </w:tc>
              <w:tc>
                <w:tcPr>
                  <w:tcW w:w="754" w:type="dxa"/>
                  <w:vMerge w:val="continue"/>
                  <w:vAlign w:val="center"/>
                </w:tcPr>
                <w:p>
                  <w:pPr>
                    <w:widowControl/>
                    <w:snapToGrid w:val="0"/>
                    <w:jc w:val="center"/>
                    <w:rPr>
                      <w:kern w:val="0"/>
                      <w:szCs w:val="21"/>
                      <w:highlight w:val="yellow"/>
                    </w:rPr>
                  </w:pPr>
                </w:p>
              </w:tc>
            </w:tr>
          </w:tbl>
          <w:p>
            <w:pPr>
              <w:spacing w:line="440" w:lineRule="exact"/>
              <w:ind w:firstLine="482" w:firstLineChars="200"/>
              <w:rPr>
                <w:rFonts w:hint="eastAsia"/>
                <w:b/>
                <w:bCs/>
                <w:sz w:val="24"/>
                <w:highlight w:val="none"/>
              </w:rPr>
            </w:pPr>
            <w:r>
              <w:rPr>
                <w:rFonts w:hint="eastAsia"/>
                <w:b/>
                <w:bCs/>
                <w:sz w:val="24"/>
                <w:highlight w:val="none"/>
              </w:rPr>
              <w:t>项目危险废物规范化管理要求：</w:t>
            </w:r>
          </w:p>
          <w:p>
            <w:pPr>
              <w:spacing w:line="440" w:lineRule="exact"/>
              <w:ind w:firstLine="480" w:firstLineChars="200"/>
              <w:rPr>
                <w:rFonts w:hint="eastAsia"/>
                <w:sz w:val="24"/>
                <w:highlight w:val="none"/>
              </w:rPr>
            </w:pPr>
            <w:r>
              <w:rPr>
                <w:rFonts w:hint="eastAsia"/>
                <w:sz w:val="24"/>
                <w:highlight w:val="none"/>
              </w:rPr>
              <w:t>企业须加强管理，危险废物在厂内收集和临时储存严格执行《省生态环境厅关于印发江苏省危险废物贮存规范化管理专项整治行动方案的通知》（苏环办[2019]149号）、《危险废物贮存污染控制标准》（GB18597-2001）和《危险废物收集、贮存、运输技术规范》（HJ2025-2012）等规范要求。主要要求如下：</w:t>
            </w:r>
          </w:p>
          <w:p>
            <w:pPr>
              <w:spacing w:line="440" w:lineRule="exact"/>
              <w:ind w:firstLine="480" w:firstLineChars="200"/>
              <w:rPr>
                <w:rFonts w:hint="eastAsia"/>
                <w:sz w:val="24"/>
                <w:highlight w:val="none"/>
              </w:rPr>
            </w:pPr>
            <w:r>
              <w:rPr>
                <w:rFonts w:hint="eastAsia"/>
                <w:sz w:val="24"/>
                <w:highlight w:val="none"/>
              </w:rPr>
              <w:t>①危险废物贮存设施应依法履行环评手续，作为污染防治设施纳入建设项目“三同时”验收，并应符合规划、建设、安全生产、消防等相关职能部门的相关要求。</w:t>
            </w:r>
          </w:p>
          <w:p>
            <w:pPr>
              <w:spacing w:line="440" w:lineRule="exact"/>
              <w:ind w:firstLine="480" w:firstLineChars="200"/>
              <w:rPr>
                <w:rFonts w:hint="eastAsia"/>
                <w:sz w:val="24"/>
                <w:highlight w:val="none"/>
              </w:rPr>
            </w:pPr>
            <w:r>
              <w:rPr>
                <w:rFonts w:hint="eastAsia"/>
                <w:sz w:val="24"/>
                <w:highlight w:val="none"/>
              </w:rPr>
              <w:t>②企业应按规定申报危险废物产生、贮存、转移、利用处置等信息，制定危险废物年度管理计划，并在“江苏省危险废物动态管理信息系统”中备案。危险废物产生企业应结合自身实际，建立危险废物台账，如实记载危险废物的种类、数量、性质、产生环节、流向、贮存、利用处置等信息，并在“江苏省危险废物动态管理信息系统”中进行如实规范申报，申报数据应与台账、管理计划数据相一致。</w:t>
            </w:r>
          </w:p>
          <w:p>
            <w:pPr>
              <w:spacing w:line="440" w:lineRule="exact"/>
              <w:ind w:firstLine="480" w:firstLineChars="200"/>
              <w:rPr>
                <w:rFonts w:hint="eastAsia"/>
                <w:sz w:val="24"/>
                <w:highlight w:val="none"/>
              </w:rPr>
            </w:pPr>
            <w:r>
              <w:rPr>
                <w:rFonts w:hint="eastAsia"/>
                <w:sz w:val="24"/>
                <w:highlight w:val="none"/>
              </w:rPr>
              <w:t>③企业应落实信息公开力度，在厂门口显著位置设置危险废物信息公开栏，主动公开危险废物产生、利用处置情况。</w:t>
            </w:r>
          </w:p>
          <w:p>
            <w:pPr>
              <w:spacing w:line="440" w:lineRule="exact"/>
              <w:ind w:firstLine="480" w:firstLineChars="200"/>
              <w:rPr>
                <w:rFonts w:hint="eastAsia"/>
                <w:sz w:val="24"/>
                <w:highlight w:val="none"/>
              </w:rPr>
            </w:pPr>
            <w:r>
              <w:rPr>
                <w:rFonts w:hint="eastAsia"/>
                <w:sz w:val="24"/>
                <w:highlight w:val="none"/>
              </w:rPr>
              <w:t>④加强环保业务培训，经营单位负责人、相关管理人员、环保技术人员及相关操作人员等应了解国家相关法律法规、规范性文件要领，熟悉本单位规章制度、操作流程和应急预案等要求，掌握危险废物分类收集、运输、贮存、利用和处置的正确方法和操作程序。严格按照技术规范、行业管理要求和经批准的环评、验收、经营许可条件规定的各类技术要求、操作规程，规范开展处置利用活动。按要求建立健全经营记录薄，如实记载危险废物经营情况。严格落实污染防治要求，妥善运行污染防治设施，严防二次污染。要对处置利用设施、污染防治设施设备等，定期进行检测检验，严防老化、破损导致事故性排放。</w:t>
            </w:r>
          </w:p>
          <w:p>
            <w:pPr>
              <w:spacing w:line="440" w:lineRule="exact"/>
              <w:ind w:firstLine="480" w:firstLineChars="200"/>
              <w:rPr>
                <w:rFonts w:hint="eastAsia"/>
                <w:sz w:val="24"/>
                <w:highlight w:val="none"/>
              </w:rPr>
            </w:pPr>
            <w:r>
              <w:rPr>
                <w:rFonts w:hint="eastAsia"/>
                <w:sz w:val="24"/>
                <w:highlight w:val="none"/>
              </w:rPr>
              <w:t>综上所述，建设项目产生的固废均安全妥善的处置，固废实现“零”排放，对环境不会产生二次污染。</w:t>
            </w:r>
          </w:p>
          <w:p>
            <w:pPr>
              <w:spacing w:line="360" w:lineRule="auto"/>
              <w:ind w:firstLine="482" w:firstLineChars="200"/>
              <w:rPr>
                <w:b/>
                <w:bCs/>
                <w:sz w:val="24"/>
                <w:highlight w:val="none"/>
              </w:rPr>
            </w:pPr>
            <w:r>
              <w:rPr>
                <w:b/>
                <w:bCs/>
                <w:sz w:val="24"/>
                <w:highlight w:val="none"/>
              </w:rPr>
              <w:t>5、地下水、土壤</w:t>
            </w:r>
          </w:p>
          <w:p>
            <w:pPr>
              <w:spacing w:line="360" w:lineRule="auto"/>
              <w:ind w:firstLine="480" w:firstLineChars="200"/>
              <w:rPr>
                <w:sz w:val="24"/>
                <w:highlight w:val="none"/>
              </w:rPr>
            </w:pPr>
            <w:r>
              <w:rPr>
                <w:rFonts w:hint="eastAsia"/>
                <w:sz w:val="24"/>
                <w:highlight w:val="none"/>
              </w:rPr>
              <w:t>根据《环境影响评价技术导则土壤环境（试行）》（HJ964-2018）附录A“土壤环境影响评价技术类别”，项目属于附录A中“</w:t>
            </w:r>
            <w:r>
              <w:rPr>
                <w:rFonts w:hint="eastAsia"/>
                <w:sz w:val="24"/>
                <w:highlight w:val="none"/>
                <w:lang w:eastAsia="zh-CN"/>
              </w:rPr>
              <w:t>制造业</w:t>
            </w:r>
            <w:r>
              <w:rPr>
                <w:rFonts w:hint="eastAsia"/>
                <w:sz w:val="24"/>
                <w:highlight w:val="none"/>
              </w:rPr>
              <w:t>”，项目类别为III类。本项目可不开展土壤环境影响评价。</w:t>
            </w:r>
          </w:p>
          <w:p>
            <w:pPr>
              <w:spacing w:line="360" w:lineRule="auto"/>
              <w:ind w:firstLine="480" w:firstLineChars="200"/>
              <w:rPr>
                <w:sz w:val="24"/>
                <w:highlight w:val="none"/>
              </w:rPr>
            </w:pPr>
            <w:r>
              <w:rPr>
                <w:rFonts w:hint="eastAsia"/>
                <w:sz w:val="24"/>
                <w:highlight w:val="none"/>
              </w:rPr>
              <w:t>根据《环境影响评价技术导则地下水环境》（HJ610-2016）附录A“地下水环境影响评价行业分类表”，本项目属于III类项目；根据导则要求，III类建设项目不开展地下水环境影响评价。</w:t>
            </w:r>
          </w:p>
          <w:p>
            <w:pPr>
              <w:spacing w:line="360" w:lineRule="auto"/>
              <w:ind w:firstLine="482" w:firstLineChars="200"/>
              <w:rPr>
                <w:b/>
                <w:bCs/>
                <w:sz w:val="24"/>
                <w:highlight w:val="none"/>
              </w:rPr>
            </w:pPr>
            <w:r>
              <w:rPr>
                <w:b/>
                <w:bCs/>
                <w:sz w:val="24"/>
                <w:highlight w:val="none"/>
              </w:rPr>
              <w:t>6、生态</w:t>
            </w:r>
          </w:p>
          <w:p>
            <w:pPr>
              <w:spacing w:line="360" w:lineRule="auto"/>
              <w:ind w:firstLine="480" w:firstLineChars="200"/>
              <w:rPr>
                <w:sz w:val="24"/>
                <w:highlight w:val="none"/>
              </w:rPr>
            </w:pPr>
            <w:r>
              <w:rPr>
                <w:sz w:val="24"/>
                <w:highlight w:val="none"/>
              </w:rPr>
              <w:t>本项目不新增用地，租赁现有厂房内进行生产，对生态环境影响较小。</w:t>
            </w:r>
          </w:p>
          <w:p>
            <w:pPr>
              <w:spacing w:line="360" w:lineRule="auto"/>
              <w:ind w:firstLine="482" w:firstLineChars="200"/>
              <w:rPr>
                <w:b/>
                <w:bCs/>
                <w:sz w:val="24"/>
                <w:highlight w:val="none"/>
              </w:rPr>
            </w:pPr>
            <w:r>
              <w:rPr>
                <w:b/>
                <w:bCs/>
                <w:sz w:val="24"/>
                <w:highlight w:val="none"/>
              </w:rPr>
              <w:t>7、环境风险</w:t>
            </w:r>
          </w:p>
          <w:p>
            <w:pPr>
              <w:spacing w:line="360" w:lineRule="auto"/>
              <w:ind w:firstLine="480" w:firstLineChars="200"/>
              <w:rPr>
                <w:sz w:val="24"/>
                <w:highlight w:val="none"/>
              </w:rPr>
            </w:pPr>
            <w:r>
              <w:rPr>
                <w:sz w:val="24"/>
                <w:highlight w:val="none"/>
              </w:rPr>
              <w:t>根据与建设单位核实，公司自成立以来未出现任何环境事故。</w:t>
            </w:r>
          </w:p>
          <w:p>
            <w:pPr>
              <w:tabs>
                <w:tab w:val="left" w:pos="360"/>
              </w:tabs>
              <w:autoSpaceDE w:val="0"/>
              <w:autoSpaceDN w:val="0"/>
              <w:adjustRightInd w:val="0"/>
              <w:spacing w:line="360" w:lineRule="auto"/>
              <w:ind w:firstLine="482" w:firstLineChars="200"/>
              <w:rPr>
                <w:b/>
                <w:bCs/>
                <w:kern w:val="0"/>
                <w:sz w:val="24"/>
                <w:highlight w:val="none"/>
              </w:rPr>
            </w:pPr>
            <w:r>
              <w:rPr>
                <w:b/>
                <w:bCs/>
                <w:kern w:val="0"/>
                <w:sz w:val="24"/>
                <w:highlight w:val="none"/>
              </w:rPr>
              <w:t>（1）Q值计算</w:t>
            </w:r>
          </w:p>
          <w:p>
            <w:pPr>
              <w:autoSpaceDE w:val="0"/>
              <w:autoSpaceDN w:val="0"/>
              <w:adjustRightInd w:val="0"/>
              <w:spacing w:line="360" w:lineRule="auto"/>
              <w:ind w:firstLine="480" w:firstLineChars="200"/>
              <w:jc w:val="left"/>
              <w:rPr>
                <w:kern w:val="0"/>
                <w:sz w:val="24"/>
                <w:highlight w:val="none"/>
              </w:rPr>
            </w:pPr>
            <w:r>
              <w:rPr>
                <w:kern w:val="0"/>
                <w:sz w:val="24"/>
                <w:highlight w:val="none"/>
              </w:rPr>
              <w:t>计算所涉及的每种危险物质在厂内的最大储存总量与其在附录B中对应临界量的比值Q。在不同厂区的同一种物质，按其在边界内的最大储存总量计算。</w:t>
            </w:r>
          </w:p>
          <w:p>
            <w:pPr>
              <w:autoSpaceDE w:val="0"/>
              <w:autoSpaceDN w:val="0"/>
              <w:adjustRightInd w:val="0"/>
              <w:spacing w:line="360" w:lineRule="auto"/>
              <w:ind w:firstLine="480" w:firstLineChars="200"/>
              <w:jc w:val="left"/>
              <w:rPr>
                <w:kern w:val="0"/>
                <w:sz w:val="24"/>
                <w:highlight w:val="none"/>
              </w:rPr>
            </w:pPr>
            <w:r>
              <w:rPr>
                <w:kern w:val="0"/>
                <w:sz w:val="24"/>
                <w:highlight w:val="none"/>
              </w:rPr>
              <w:t>当只涉及一种危险物质时，计算该物质的总量与其临界量比值，即为Q；</w:t>
            </w:r>
          </w:p>
          <w:p>
            <w:pPr>
              <w:autoSpaceDE w:val="0"/>
              <w:autoSpaceDN w:val="0"/>
              <w:adjustRightInd w:val="0"/>
              <w:spacing w:line="360" w:lineRule="auto"/>
              <w:ind w:firstLine="480" w:firstLineChars="200"/>
              <w:jc w:val="left"/>
              <w:rPr>
                <w:kern w:val="0"/>
                <w:sz w:val="24"/>
                <w:highlight w:val="none"/>
              </w:rPr>
            </w:pPr>
            <w:r>
              <w:rPr>
                <w:kern w:val="0"/>
                <w:sz w:val="24"/>
                <w:highlight w:val="none"/>
              </w:rPr>
              <w:t>当存在多种危险物质时，则按式(C.1)计算物质总量与其临界量比值(Q)：</w:t>
            </w:r>
          </w:p>
          <w:p>
            <w:pPr>
              <w:tabs>
                <w:tab w:val="left" w:pos="360"/>
              </w:tabs>
              <w:autoSpaceDE w:val="0"/>
              <w:autoSpaceDN w:val="0"/>
              <w:adjustRightInd w:val="0"/>
              <w:snapToGrid w:val="0"/>
              <w:spacing w:line="360" w:lineRule="auto"/>
              <w:ind w:firstLine="480" w:firstLineChars="200"/>
              <w:jc w:val="center"/>
              <w:rPr>
                <w:kern w:val="0"/>
                <w:sz w:val="24"/>
                <w:highlight w:val="none"/>
              </w:rPr>
            </w:pPr>
            <w:r>
              <w:rPr>
                <w:kern w:val="0"/>
                <w:sz w:val="24"/>
                <w:highlight w:val="none"/>
              </w:rPr>
              <w:drawing>
                <wp:inline distT="0" distB="0" distL="0" distR="0">
                  <wp:extent cx="2832100" cy="419100"/>
                  <wp:effectExtent l="0" t="0" r="0" b="0"/>
                  <wp:docPr id="1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832100" cy="419100"/>
                          </a:xfrm>
                          <a:prstGeom prst="rect">
                            <a:avLst/>
                          </a:prstGeom>
                          <a:noFill/>
                          <a:ln>
                            <a:noFill/>
                          </a:ln>
                          <a:effectLst/>
                        </pic:spPr>
                      </pic:pic>
                    </a:graphicData>
                  </a:graphic>
                </wp:inline>
              </w:drawing>
            </w:r>
          </w:p>
          <w:p>
            <w:pPr>
              <w:tabs>
                <w:tab w:val="left" w:pos="360"/>
              </w:tabs>
              <w:autoSpaceDE w:val="0"/>
              <w:autoSpaceDN w:val="0"/>
              <w:adjustRightInd w:val="0"/>
              <w:spacing w:line="360" w:lineRule="auto"/>
              <w:ind w:firstLine="480" w:firstLineChars="200"/>
              <w:rPr>
                <w:kern w:val="0"/>
                <w:sz w:val="24"/>
                <w:highlight w:val="none"/>
              </w:rPr>
            </w:pPr>
            <w:r>
              <w:rPr>
                <w:kern w:val="0"/>
                <w:sz w:val="24"/>
                <w:highlight w:val="none"/>
              </w:rPr>
              <w:t>式中：q1,q2…,qn--每种危险物质的最大存在总量，t。</w:t>
            </w:r>
          </w:p>
          <w:p>
            <w:pPr>
              <w:tabs>
                <w:tab w:val="left" w:pos="360"/>
              </w:tabs>
              <w:autoSpaceDE w:val="0"/>
              <w:autoSpaceDN w:val="0"/>
              <w:adjustRightInd w:val="0"/>
              <w:spacing w:line="360" w:lineRule="auto"/>
              <w:ind w:firstLine="480" w:firstLineChars="200"/>
              <w:rPr>
                <w:kern w:val="0"/>
                <w:sz w:val="24"/>
                <w:highlight w:val="none"/>
              </w:rPr>
            </w:pPr>
            <w:r>
              <w:rPr>
                <w:kern w:val="0"/>
                <w:sz w:val="24"/>
                <w:highlight w:val="none"/>
              </w:rPr>
              <w:tab/>
            </w:r>
            <w:r>
              <w:rPr>
                <w:kern w:val="0"/>
                <w:sz w:val="24"/>
                <w:highlight w:val="none"/>
              </w:rPr>
              <w:tab/>
            </w:r>
            <w:r>
              <w:rPr>
                <w:kern w:val="0"/>
                <w:sz w:val="24"/>
                <w:highlight w:val="none"/>
              </w:rPr>
              <w:t>Q1，Q2…Qn—每种危险物质的临界量，t。</w:t>
            </w:r>
          </w:p>
          <w:p>
            <w:pPr>
              <w:tabs>
                <w:tab w:val="left" w:pos="360"/>
              </w:tabs>
              <w:autoSpaceDE w:val="0"/>
              <w:autoSpaceDN w:val="0"/>
              <w:adjustRightInd w:val="0"/>
              <w:spacing w:line="360" w:lineRule="auto"/>
              <w:ind w:firstLine="480" w:firstLineChars="200"/>
              <w:rPr>
                <w:kern w:val="0"/>
                <w:sz w:val="24"/>
                <w:highlight w:val="none"/>
              </w:rPr>
            </w:pPr>
            <w:r>
              <w:rPr>
                <w:kern w:val="0"/>
                <w:sz w:val="24"/>
                <w:highlight w:val="none"/>
              </w:rPr>
              <w:t>当Q＜1时，该项目环境风险潜势为Ⅰ。</w:t>
            </w:r>
          </w:p>
          <w:p>
            <w:pPr>
              <w:tabs>
                <w:tab w:val="left" w:pos="360"/>
              </w:tabs>
              <w:autoSpaceDE w:val="0"/>
              <w:autoSpaceDN w:val="0"/>
              <w:adjustRightInd w:val="0"/>
              <w:spacing w:line="360" w:lineRule="auto"/>
              <w:ind w:firstLine="480" w:firstLineChars="200"/>
              <w:rPr>
                <w:kern w:val="0"/>
                <w:sz w:val="24"/>
                <w:highlight w:val="none"/>
              </w:rPr>
            </w:pPr>
            <w:r>
              <w:rPr>
                <w:kern w:val="0"/>
                <w:sz w:val="24"/>
                <w:highlight w:val="none"/>
              </w:rPr>
              <w:t>当Q≥1时，将Q值划分为：（1）1≤Q＜10；（2）10≤Q＜100；（3）Q≥100。</w:t>
            </w:r>
          </w:p>
          <w:p>
            <w:pPr>
              <w:tabs>
                <w:tab w:val="left" w:pos="360"/>
              </w:tabs>
              <w:autoSpaceDE w:val="0"/>
              <w:autoSpaceDN w:val="0"/>
              <w:adjustRightInd w:val="0"/>
              <w:spacing w:line="360" w:lineRule="auto"/>
              <w:ind w:firstLine="480" w:firstLineChars="200"/>
              <w:rPr>
                <w:kern w:val="0"/>
                <w:sz w:val="24"/>
                <w:highlight w:val="none"/>
              </w:rPr>
            </w:pPr>
            <w:r>
              <w:rPr>
                <w:kern w:val="0"/>
                <w:sz w:val="24"/>
                <w:highlight w:val="none"/>
              </w:rPr>
              <w:t>涉及危险物质q/Q值计算见下表。</w:t>
            </w:r>
          </w:p>
          <w:p>
            <w:pPr>
              <w:jc w:val="center"/>
              <w:rPr>
                <w:b/>
                <w:sz w:val="24"/>
                <w:highlight w:val="none"/>
              </w:rPr>
            </w:pPr>
            <w:r>
              <w:rPr>
                <w:b/>
                <w:sz w:val="24"/>
                <w:highlight w:val="none"/>
              </w:rPr>
              <w:t>表4-12  项目涉及危险物质q/Q值计算  （单位：t）</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769"/>
              <w:gridCol w:w="1592"/>
              <w:gridCol w:w="2865"/>
              <w:gridCol w:w="2153"/>
              <w:gridCol w:w="14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434" w:type="pct"/>
                  <w:vAlign w:val="center"/>
                </w:tcPr>
                <w:p>
                  <w:pPr>
                    <w:jc w:val="center"/>
                    <w:rPr>
                      <w:b/>
                      <w:bCs/>
                      <w:szCs w:val="21"/>
                      <w:highlight w:val="none"/>
                    </w:rPr>
                  </w:pPr>
                  <w:r>
                    <w:rPr>
                      <w:b/>
                      <w:bCs/>
                      <w:szCs w:val="21"/>
                      <w:highlight w:val="none"/>
                    </w:rPr>
                    <w:t>序号</w:t>
                  </w:r>
                </w:p>
              </w:tc>
              <w:tc>
                <w:tcPr>
                  <w:tcW w:w="900" w:type="pct"/>
                  <w:vAlign w:val="center"/>
                </w:tcPr>
                <w:p>
                  <w:pPr>
                    <w:jc w:val="center"/>
                    <w:rPr>
                      <w:b/>
                      <w:bCs/>
                      <w:szCs w:val="21"/>
                      <w:highlight w:val="none"/>
                    </w:rPr>
                  </w:pPr>
                  <w:r>
                    <w:rPr>
                      <w:b/>
                      <w:bCs/>
                      <w:szCs w:val="21"/>
                      <w:highlight w:val="none"/>
                    </w:rPr>
                    <w:t>物质名称</w:t>
                  </w:r>
                </w:p>
              </w:tc>
              <w:tc>
                <w:tcPr>
                  <w:tcW w:w="1619" w:type="pct"/>
                  <w:vAlign w:val="center"/>
                </w:tcPr>
                <w:p>
                  <w:pPr>
                    <w:jc w:val="center"/>
                    <w:rPr>
                      <w:b/>
                      <w:bCs/>
                      <w:szCs w:val="21"/>
                      <w:highlight w:val="none"/>
                    </w:rPr>
                  </w:pPr>
                  <w:r>
                    <w:rPr>
                      <w:b/>
                      <w:bCs/>
                      <w:szCs w:val="21"/>
                      <w:highlight w:val="none"/>
                    </w:rPr>
                    <w:t>储存区临界量</w:t>
                  </w:r>
                </w:p>
              </w:tc>
              <w:tc>
                <w:tcPr>
                  <w:tcW w:w="1217" w:type="pct"/>
                  <w:vAlign w:val="center"/>
                </w:tcPr>
                <w:p>
                  <w:pPr>
                    <w:jc w:val="center"/>
                    <w:rPr>
                      <w:b/>
                      <w:bCs/>
                      <w:szCs w:val="21"/>
                      <w:highlight w:val="none"/>
                    </w:rPr>
                  </w:pPr>
                  <w:r>
                    <w:rPr>
                      <w:b/>
                      <w:bCs/>
                      <w:szCs w:val="21"/>
                      <w:highlight w:val="none"/>
                    </w:rPr>
                    <w:t>最大储存量</w:t>
                  </w:r>
                </w:p>
              </w:tc>
              <w:tc>
                <w:tcPr>
                  <w:tcW w:w="828" w:type="pct"/>
                  <w:vAlign w:val="center"/>
                </w:tcPr>
                <w:p>
                  <w:pPr>
                    <w:jc w:val="center"/>
                    <w:rPr>
                      <w:b/>
                      <w:bCs/>
                      <w:szCs w:val="21"/>
                      <w:highlight w:val="none"/>
                    </w:rPr>
                  </w:pPr>
                  <w:r>
                    <w:rPr>
                      <w:b/>
                      <w:bCs/>
                      <w:szCs w:val="21"/>
                      <w:highlight w:val="none"/>
                    </w:rPr>
                    <w:t>q/Q</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34" w:type="pct"/>
                  <w:vAlign w:val="center"/>
                </w:tcPr>
                <w:p>
                  <w:pPr>
                    <w:jc w:val="center"/>
                    <w:rPr>
                      <w:szCs w:val="21"/>
                      <w:highlight w:val="none"/>
                    </w:rPr>
                  </w:pPr>
                  <w:r>
                    <w:rPr>
                      <w:szCs w:val="21"/>
                      <w:highlight w:val="none"/>
                    </w:rPr>
                    <w:t>1</w:t>
                  </w:r>
                </w:p>
              </w:tc>
              <w:tc>
                <w:tcPr>
                  <w:tcW w:w="900" w:type="pct"/>
                  <w:vAlign w:val="center"/>
                </w:tcPr>
                <w:p>
                  <w:pPr>
                    <w:jc w:val="center"/>
                    <w:rPr>
                      <w:rFonts w:hint="eastAsia" w:eastAsia="宋体"/>
                      <w:szCs w:val="21"/>
                      <w:highlight w:val="none"/>
                      <w:lang w:eastAsia="zh-CN"/>
                    </w:rPr>
                  </w:pPr>
                  <w:r>
                    <w:rPr>
                      <w:rFonts w:hint="eastAsia"/>
                      <w:szCs w:val="21"/>
                      <w:highlight w:val="none"/>
                      <w:lang w:eastAsia="zh-CN"/>
                    </w:rPr>
                    <w:t>切削液</w:t>
                  </w:r>
                </w:p>
              </w:tc>
              <w:tc>
                <w:tcPr>
                  <w:tcW w:w="1619" w:type="pct"/>
                  <w:vAlign w:val="center"/>
                </w:tcPr>
                <w:p>
                  <w:pPr>
                    <w:jc w:val="center"/>
                    <w:rPr>
                      <w:szCs w:val="21"/>
                      <w:highlight w:val="none"/>
                    </w:rPr>
                  </w:pPr>
                  <w:r>
                    <w:rPr>
                      <w:rFonts w:hint="default" w:ascii="Times New Roman" w:hAnsi="Times New Roman" w:cs="Times New Roman"/>
                      <w:sz w:val="21"/>
                      <w:szCs w:val="21"/>
                      <w:highlight w:val="none"/>
                    </w:rPr>
                    <w:t>2500</w:t>
                  </w:r>
                </w:p>
              </w:tc>
              <w:tc>
                <w:tcPr>
                  <w:tcW w:w="1217" w:type="pct"/>
                  <w:vAlign w:val="center"/>
                </w:tcPr>
                <w:p>
                  <w:pPr>
                    <w:jc w:val="center"/>
                    <w:rPr>
                      <w:rFonts w:hint="default" w:eastAsia="宋体"/>
                      <w:szCs w:val="21"/>
                      <w:highlight w:val="none"/>
                      <w:lang w:val="en-US" w:eastAsia="zh-CN"/>
                    </w:rPr>
                  </w:pPr>
                  <w:r>
                    <w:rPr>
                      <w:rFonts w:hint="eastAsia"/>
                      <w:szCs w:val="21"/>
                      <w:highlight w:val="none"/>
                      <w:lang w:val="en-US" w:eastAsia="zh-CN"/>
                    </w:rPr>
                    <w:t>0.02</w:t>
                  </w:r>
                </w:p>
              </w:tc>
              <w:tc>
                <w:tcPr>
                  <w:tcW w:w="828" w:type="pct"/>
                  <w:vAlign w:val="center"/>
                </w:tcPr>
                <w:p>
                  <w:pPr>
                    <w:jc w:val="center"/>
                    <w:rPr>
                      <w:rFonts w:hint="default" w:eastAsia="宋体"/>
                      <w:szCs w:val="21"/>
                      <w:highlight w:val="none"/>
                      <w:lang w:val="en-US" w:eastAsia="zh-CN"/>
                    </w:rPr>
                  </w:pPr>
                  <w:r>
                    <w:rPr>
                      <w:rFonts w:hint="eastAsia"/>
                      <w:szCs w:val="21"/>
                      <w:highlight w:val="none"/>
                      <w:lang w:val="en-US" w:eastAsia="zh-CN"/>
                    </w:rPr>
                    <w:t>0.00008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34" w:type="pct"/>
                  <w:vAlign w:val="center"/>
                </w:tcPr>
                <w:p>
                  <w:pPr>
                    <w:jc w:val="center"/>
                    <w:rPr>
                      <w:rFonts w:hint="eastAsia" w:eastAsia="宋体"/>
                      <w:szCs w:val="21"/>
                      <w:highlight w:val="none"/>
                      <w:lang w:val="en-US" w:eastAsia="zh-CN"/>
                    </w:rPr>
                  </w:pPr>
                  <w:r>
                    <w:rPr>
                      <w:rFonts w:hint="eastAsia"/>
                      <w:szCs w:val="21"/>
                      <w:highlight w:val="none"/>
                      <w:lang w:val="en-US" w:eastAsia="zh-CN"/>
                    </w:rPr>
                    <w:t>2</w:t>
                  </w:r>
                </w:p>
              </w:tc>
              <w:tc>
                <w:tcPr>
                  <w:tcW w:w="900" w:type="pct"/>
                  <w:vAlign w:val="center"/>
                </w:tcPr>
                <w:p>
                  <w:pPr>
                    <w:jc w:val="center"/>
                    <w:rPr>
                      <w:rFonts w:hint="eastAsia" w:eastAsia="宋体"/>
                      <w:szCs w:val="21"/>
                      <w:highlight w:val="none"/>
                      <w:lang w:eastAsia="zh-CN"/>
                    </w:rPr>
                  </w:pPr>
                  <w:r>
                    <w:rPr>
                      <w:rFonts w:hint="eastAsia"/>
                      <w:szCs w:val="21"/>
                      <w:highlight w:val="none"/>
                      <w:lang w:eastAsia="zh-CN"/>
                    </w:rPr>
                    <w:t>废切削液</w:t>
                  </w:r>
                </w:p>
              </w:tc>
              <w:tc>
                <w:tcPr>
                  <w:tcW w:w="1619" w:type="pct"/>
                  <w:vAlign w:val="center"/>
                </w:tcPr>
                <w:p>
                  <w:pPr>
                    <w:jc w:val="center"/>
                    <w:rPr>
                      <w:rFonts w:hint="eastAsia"/>
                      <w:szCs w:val="21"/>
                      <w:highlight w:val="none"/>
                    </w:rPr>
                  </w:pPr>
                  <w:r>
                    <w:rPr>
                      <w:rFonts w:hint="default" w:ascii="Times New Roman" w:hAnsi="Times New Roman" w:cs="Times New Roman"/>
                      <w:sz w:val="21"/>
                      <w:szCs w:val="21"/>
                      <w:highlight w:val="none"/>
                    </w:rPr>
                    <w:t>2500</w:t>
                  </w:r>
                </w:p>
              </w:tc>
              <w:tc>
                <w:tcPr>
                  <w:tcW w:w="1217" w:type="pct"/>
                  <w:vAlign w:val="center"/>
                </w:tcPr>
                <w:p>
                  <w:pPr>
                    <w:jc w:val="center"/>
                    <w:rPr>
                      <w:rFonts w:hint="default" w:eastAsia="宋体"/>
                      <w:szCs w:val="21"/>
                      <w:highlight w:val="none"/>
                      <w:lang w:val="en-US" w:eastAsia="zh-CN"/>
                    </w:rPr>
                  </w:pPr>
                  <w:r>
                    <w:rPr>
                      <w:rFonts w:hint="eastAsia"/>
                      <w:szCs w:val="21"/>
                      <w:highlight w:val="none"/>
                      <w:lang w:val="en-US" w:eastAsia="zh-CN"/>
                    </w:rPr>
                    <w:t>0.02</w:t>
                  </w:r>
                </w:p>
              </w:tc>
              <w:tc>
                <w:tcPr>
                  <w:tcW w:w="828" w:type="pct"/>
                  <w:vAlign w:val="center"/>
                </w:tcPr>
                <w:p>
                  <w:pPr>
                    <w:jc w:val="center"/>
                    <w:rPr>
                      <w:rFonts w:hint="eastAsia"/>
                      <w:szCs w:val="21"/>
                      <w:highlight w:val="none"/>
                    </w:rPr>
                  </w:pPr>
                  <w:r>
                    <w:rPr>
                      <w:rFonts w:hint="eastAsia"/>
                      <w:szCs w:val="21"/>
                      <w:highlight w:val="none"/>
                      <w:lang w:val="en-US" w:eastAsia="zh-CN"/>
                    </w:rPr>
                    <w:t>0.00008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171" w:type="pct"/>
                  <w:gridSpan w:val="4"/>
                  <w:vAlign w:val="center"/>
                </w:tcPr>
                <w:p>
                  <w:pPr>
                    <w:jc w:val="center"/>
                    <w:rPr>
                      <w:szCs w:val="21"/>
                      <w:highlight w:val="none"/>
                    </w:rPr>
                  </w:pPr>
                  <w:r>
                    <w:rPr>
                      <w:szCs w:val="21"/>
                      <w:highlight w:val="none"/>
                    </w:rPr>
                    <w:t>合计（Σq/Q）</w:t>
                  </w:r>
                </w:p>
              </w:tc>
              <w:tc>
                <w:tcPr>
                  <w:tcW w:w="828" w:type="pct"/>
                  <w:vAlign w:val="center"/>
                </w:tcPr>
                <w:p>
                  <w:pPr>
                    <w:jc w:val="center"/>
                    <w:rPr>
                      <w:rFonts w:hint="default" w:eastAsia="宋体"/>
                      <w:szCs w:val="21"/>
                      <w:highlight w:val="none"/>
                      <w:lang w:val="en-US" w:eastAsia="zh-CN"/>
                    </w:rPr>
                  </w:pPr>
                  <w:r>
                    <w:rPr>
                      <w:rFonts w:hint="eastAsia"/>
                      <w:szCs w:val="21"/>
                      <w:highlight w:val="none"/>
                      <w:lang w:val="en-US" w:eastAsia="zh-CN"/>
                    </w:rPr>
                    <w:t>0.00016</w:t>
                  </w:r>
                </w:p>
              </w:tc>
            </w:tr>
          </w:tbl>
          <w:p>
            <w:pPr>
              <w:tabs>
                <w:tab w:val="left" w:pos="360"/>
              </w:tabs>
              <w:autoSpaceDE w:val="0"/>
              <w:autoSpaceDN w:val="0"/>
              <w:adjustRightInd w:val="0"/>
              <w:spacing w:line="360" w:lineRule="auto"/>
              <w:ind w:firstLine="480" w:firstLineChars="200"/>
              <w:rPr>
                <w:kern w:val="0"/>
                <w:sz w:val="24"/>
                <w:highlight w:val="none"/>
              </w:rPr>
            </w:pPr>
            <w:r>
              <w:rPr>
                <w:kern w:val="0"/>
                <w:sz w:val="24"/>
                <w:highlight w:val="none"/>
              </w:rPr>
              <w:t>由上表计算可知，项目Q＜1，该项目环境风险潜势为Ⅰ，进行简单分析。</w:t>
            </w:r>
          </w:p>
          <w:p>
            <w:pPr>
              <w:tabs>
                <w:tab w:val="left" w:pos="360"/>
              </w:tabs>
              <w:autoSpaceDE w:val="0"/>
              <w:autoSpaceDN w:val="0"/>
              <w:adjustRightInd w:val="0"/>
              <w:spacing w:line="360" w:lineRule="auto"/>
              <w:ind w:firstLine="482" w:firstLineChars="200"/>
              <w:rPr>
                <w:b/>
                <w:bCs/>
                <w:kern w:val="0"/>
                <w:sz w:val="24"/>
                <w:highlight w:val="none"/>
              </w:rPr>
            </w:pPr>
            <w:r>
              <w:rPr>
                <w:b/>
                <w:bCs/>
                <w:kern w:val="0"/>
                <w:sz w:val="24"/>
                <w:highlight w:val="none"/>
              </w:rPr>
              <w:t>（2）环境敏感目标概况</w:t>
            </w:r>
          </w:p>
          <w:p>
            <w:pPr>
              <w:tabs>
                <w:tab w:val="left" w:pos="360"/>
              </w:tabs>
              <w:autoSpaceDE w:val="0"/>
              <w:autoSpaceDN w:val="0"/>
              <w:adjustRightInd w:val="0"/>
              <w:spacing w:line="360" w:lineRule="auto"/>
              <w:ind w:firstLine="480" w:firstLineChars="200"/>
              <w:rPr>
                <w:rFonts w:hint="eastAsia"/>
                <w:sz w:val="24"/>
                <w:highlight w:val="none"/>
              </w:rPr>
            </w:pPr>
            <w:r>
              <w:rPr>
                <w:rFonts w:hint="eastAsia"/>
                <w:sz w:val="24"/>
                <w:highlight w:val="none"/>
              </w:rPr>
              <w:t>项目</w:t>
            </w:r>
            <w:r>
              <w:rPr>
                <w:rFonts w:hint="eastAsia"/>
                <w:sz w:val="24"/>
                <w:highlight w:val="none"/>
                <w:lang w:eastAsia="zh-CN"/>
              </w:rPr>
              <w:t>东面</w:t>
            </w:r>
            <w:r>
              <w:rPr>
                <w:rFonts w:hint="eastAsia"/>
                <w:sz w:val="24"/>
                <w:highlight w:val="none"/>
              </w:rPr>
              <w:t>为</w:t>
            </w:r>
            <w:r>
              <w:rPr>
                <w:rFonts w:hint="eastAsia"/>
                <w:sz w:val="24"/>
                <w:highlight w:val="none"/>
                <w:lang w:eastAsia="zh-CN"/>
              </w:rPr>
              <w:t>锦峰路</w:t>
            </w:r>
            <w:r>
              <w:rPr>
                <w:rFonts w:hint="eastAsia"/>
                <w:sz w:val="24"/>
                <w:highlight w:val="none"/>
              </w:rPr>
              <w:t>，</w:t>
            </w:r>
            <w:r>
              <w:rPr>
                <w:rFonts w:hint="eastAsia"/>
                <w:sz w:val="24"/>
                <w:highlight w:val="none"/>
                <w:lang w:eastAsia="zh-CN"/>
              </w:rPr>
              <w:t>南面</w:t>
            </w:r>
            <w:r>
              <w:rPr>
                <w:rFonts w:hint="eastAsia"/>
                <w:sz w:val="24"/>
                <w:highlight w:val="none"/>
              </w:rPr>
              <w:t>为</w:t>
            </w:r>
            <w:r>
              <w:rPr>
                <w:rFonts w:hint="eastAsia"/>
                <w:sz w:val="24"/>
                <w:highlight w:val="none"/>
                <w:lang w:eastAsia="zh-CN"/>
              </w:rPr>
              <w:t>弘景路</w:t>
            </w:r>
            <w:r>
              <w:rPr>
                <w:rFonts w:hint="eastAsia"/>
                <w:sz w:val="24"/>
                <w:highlight w:val="none"/>
              </w:rPr>
              <w:t>，</w:t>
            </w:r>
            <w:r>
              <w:rPr>
                <w:rFonts w:hint="eastAsia"/>
                <w:sz w:val="24"/>
                <w:highlight w:val="none"/>
                <w:lang w:eastAsia="zh-CN"/>
              </w:rPr>
              <w:t>西面</w:t>
            </w:r>
            <w:r>
              <w:rPr>
                <w:rFonts w:hint="eastAsia"/>
                <w:sz w:val="24"/>
                <w:highlight w:val="none"/>
              </w:rPr>
              <w:t>为</w:t>
            </w:r>
            <w:r>
              <w:rPr>
                <w:rFonts w:hint="eastAsia"/>
                <w:sz w:val="24"/>
                <w:highlight w:val="none"/>
                <w:lang w:eastAsia="zh-CN"/>
              </w:rPr>
              <w:t>华佗路</w:t>
            </w:r>
            <w:r>
              <w:rPr>
                <w:rFonts w:hint="eastAsia"/>
                <w:sz w:val="24"/>
                <w:highlight w:val="none"/>
              </w:rPr>
              <w:t>，</w:t>
            </w:r>
            <w:r>
              <w:rPr>
                <w:rFonts w:hint="eastAsia"/>
                <w:sz w:val="24"/>
                <w:highlight w:val="none"/>
                <w:lang w:eastAsia="zh-CN"/>
              </w:rPr>
              <w:t>北面</w:t>
            </w:r>
            <w:r>
              <w:rPr>
                <w:rFonts w:hint="eastAsia"/>
                <w:sz w:val="24"/>
                <w:highlight w:val="none"/>
              </w:rPr>
              <w:t>为</w:t>
            </w:r>
            <w:r>
              <w:rPr>
                <w:rFonts w:hint="eastAsia"/>
                <w:sz w:val="24"/>
                <w:highlight w:val="none"/>
                <w:lang w:eastAsia="zh-CN"/>
              </w:rPr>
              <w:t>丹溪路</w:t>
            </w:r>
            <w:r>
              <w:rPr>
                <w:rFonts w:hint="eastAsia"/>
                <w:sz w:val="24"/>
                <w:highlight w:val="none"/>
              </w:rPr>
              <w:t>。距离本项目最近的敏感点为项目</w:t>
            </w:r>
            <w:r>
              <w:rPr>
                <w:rFonts w:hint="eastAsia"/>
                <w:sz w:val="24"/>
                <w:highlight w:val="none"/>
                <w:lang w:eastAsia="zh-CN"/>
              </w:rPr>
              <w:t>西</w:t>
            </w:r>
            <w:r>
              <w:rPr>
                <w:rFonts w:hint="eastAsia"/>
                <w:sz w:val="24"/>
                <w:highlight w:val="none"/>
              </w:rPr>
              <w:t>方向约</w:t>
            </w:r>
            <w:r>
              <w:rPr>
                <w:rFonts w:hint="eastAsia"/>
                <w:sz w:val="24"/>
                <w:highlight w:val="none"/>
                <w:lang w:val="en-US" w:eastAsia="zh-CN"/>
              </w:rPr>
              <w:t>56</w:t>
            </w:r>
            <w:r>
              <w:rPr>
                <w:rFonts w:hint="eastAsia"/>
                <w:sz w:val="24"/>
                <w:highlight w:val="none"/>
              </w:rPr>
              <w:t>m的</w:t>
            </w:r>
            <w:r>
              <w:rPr>
                <w:rFonts w:hint="eastAsia"/>
                <w:sz w:val="24"/>
                <w:highlight w:val="none"/>
                <w:lang w:eastAsia="zh-CN"/>
              </w:rPr>
              <w:t>前山澜庭</w:t>
            </w:r>
            <w:r>
              <w:rPr>
                <w:rFonts w:hint="eastAsia"/>
                <w:sz w:val="24"/>
                <w:highlight w:val="none"/>
              </w:rPr>
              <w:t>。</w:t>
            </w:r>
          </w:p>
          <w:p>
            <w:pPr>
              <w:tabs>
                <w:tab w:val="left" w:pos="360"/>
              </w:tabs>
              <w:autoSpaceDE w:val="0"/>
              <w:autoSpaceDN w:val="0"/>
              <w:adjustRightInd w:val="0"/>
              <w:spacing w:line="360" w:lineRule="auto"/>
              <w:ind w:firstLine="482" w:firstLineChars="200"/>
              <w:rPr>
                <w:b/>
                <w:bCs/>
                <w:kern w:val="0"/>
                <w:sz w:val="24"/>
                <w:highlight w:val="none"/>
              </w:rPr>
            </w:pPr>
            <w:r>
              <w:rPr>
                <w:b/>
                <w:bCs/>
                <w:kern w:val="0"/>
                <w:sz w:val="24"/>
                <w:highlight w:val="none"/>
              </w:rPr>
              <w:t>（3）环境风险识别</w:t>
            </w:r>
          </w:p>
          <w:p>
            <w:pPr>
              <w:tabs>
                <w:tab w:val="left" w:pos="360"/>
              </w:tabs>
              <w:autoSpaceDE w:val="0"/>
              <w:autoSpaceDN w:val="0"/>
              <w:adjustRightInd w:val="0"/>
              <w:spacing w:line="360" w:lineRule="auto"/>
              <w:ind w:firstLine="480" w:firstLineChars="200"/>
              <w:rPr>
                <w:b/>
                <w:sz w:val="24"/>
                <w:highlight w:val="none"/>
              </w:rPr>
            </w:pPr>
            <w:r>
              <w:rPr>
                <w:kern w:val="0"/>
                <w:sz w:val="24"/>
                <w:highlight w:val="none"/>
              </w:rPr>
              <w:t>本项目危险物质主要是原辅料，原料在储存及转运过程中，存在泄漏风险。废气处理设施异常导致废气未经处理直接排放。</w:t>
            </w:r>
          </w:p>
          <w:p>
            <w:pPr>
              <w:jc w:val="center"/>
              <w:rPr>
                <w:b/>
                <w:sz w:val="24"/>
                <w:highlight w:val="none"/>
              </w:rPr>
            </w:pPr>
            <w:r>
              <w:rPr>
                <w:b/>
                <w:sz w:val="24"/>
                <w:highlight w:val="none"/>
              </w:rPr>
              <w:t>表4-13  环境风险识别结果</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318"/>
              <w:gridCol w:w="1557"/>
              <w:gridCol w:w="1839"/>
              <w:gridCol w:w="906"/>
              <w:gridCol w:w="1607"/>
              <w:gridCol w:w="16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5" w:type="pct"/>
                  <w:vAlign w:val="center"/>
                </w:tcPr>
                <w:p>
                  <w:pPr>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危险单元</w:t>
                  </w:r>
                </w:p>
              </w:tc>
              <w:tc>
                <w:tcPr>
                  <w:tcW w:w="880" w:type="pct"/>
                  <w:vAlign w:val="center"/>
                </w:tcPr>
                <w:p>
                  <w:pPr>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潜在风险源</w:t>
                  </w:r>
                </w:p>
              </w:tc>
              <w:tc>
                <w:tcPr>
                  <w:tcW w:w="1040" w:type="pct"/>
                  <w:vAlign w:val="center"/>
                </w:tcPr>
                <w:p>
                  <w:pPr>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危险物质</w:t>
                  </w:r>
                </w:p>
              </w:tc>
              <w:tc>
                <w:tcPr>
                  <w:tcW w:w="512" w:type="pct"/>
                  <w:vAlign w:val="center"/>
                </w:tcPr>
                <w:p>
                  <w:pPr>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环境风险类型</w:t>
                  </w:r>
                </w:p>
              </w:tc>
              <w:tc>
                <w:tcPr>
                  <w:tcW w:w="908" w:type="pct"/>
                  <w:vAlign w:val="center"/>
                </w:tcPr>
                <w:p>
                  <w:pPr>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环境影响途径</w:t>
                  </w:r>
                </w:p>
              </w:tc>
              <w:tc>
                <w:tcPr>
                  <w:tcW w:w="914" w:type="pct"/>
                  <w:vAlign w:val="center"/>
                </w:tcPr>
                <w:p>
                  <w:pPr>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可能受影响的环境敏感目标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72" w:hRule="atLeast"/>
                <w:jc w:val="center"/>
              </w:trPr>
              <w:tc>
                <w:tcPr>
                  <w:tcW w:w="745" w:type="pct"/>
                  <w:vAlign w:val="center"/>
                </w:tcPr>
                <w:p>
                  <w:pPr>
                    <w:jc w:val="center"/>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车间</w:t>
                  </w:r>
                </w:p>
              </w:tc>
              <w:tc>
                <w:tcPr>
                  <w:tcW w:w="880" w:type="pct"/>
                  <w:vAlign w:val="center"/>
                </w:tcPr>
                <w:p>
                  <w:pPr>
                    <w:jc w:val="center"/>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原料</w:t>
                  </w:r>
                  <w:r>
                    <w:rPr>
                      <w:rFonts w:hint="default" w:ascii="Times New Roman" w:hAnsi="Times New Roman" w:cs="Times New Roman"/>
                      <w:sz w:val="21"/>
                      <w:szCs w:val="21"/>
                      <w:highlight w:val="none"/>
                    </w:rPr>
                    <w:t>仓库</w:t>
                  </w:r>
                </w:p>
              </w:tc>
              <w:tc>
                <w:tcPr>
                  <w:tcW w:w="1040" w:type="pct"/>
                  <w:vAlign w:val="center"/>
                </w:tcPr>
                <w:p>
                  <w:pPr>
                    <w:jc w:val="center"/>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原辅料</w:t>
                  </w:r>
                </w:p>
              </w:tc>
              <w:tc>
                <w:tcPr>
                  <w:tcW w:w="512" w:type="pct"/>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泄漏</w:t>
                  </w:r>
                </w:p>
              </w:tc>
              <w:tc>
                <w:tcPr>
                  <w:tcW w:w="908" w:type="pct"/>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漫流、渗透、吸收</w:t>
                  </w:r>
                </w:p>
              </w:tc>
              <w:tc>
                <w:tcPr>
                  <w:tcW w:w="914" w:type="pct"/>
                  <w:vAlign w:val="center"/>
                </w:tcPr>
                <w:p>
                  <w:pPr>
                    <w:jc w:val="center"/>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土壤、</w:t>
                  </w:r>
                  <w:r>
                    <w:rPr>
                      <w:rFonts w:hint="default" w:ascii="Times New Roman" w:hAnsi="Times New Roman" w:cs="Times New Roman"/>
                      <w:sz w:val="21"/>
                      <w:szCs w:val="21"/>
                      <w:highlight w:val="none"/>
                    </w:rPr>
                    <w:t>地下水、地表水、大气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33" w:hRule="atLeast"/>
                <w:jc w:val="center"/>
              </w:trPr>
              <w:tc>
                <w:tcPr>
                  <w:tcW w:w="745" w:type="pct"/>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废气处理设施</w:t>
                  </w:r>
                </w:p>
              </w:tc>
              <w:tc>
                <w:tcPr>
                  <w:tcW w:w="880" w:type="pct"/>
                  <w:vAlign w:val="center"/>
                </w:tcPr>
                <w:p>
                  <w:pPr>
                    <w:jc w:val="center"/>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二级活性炭吸附装置</w:t>
                  </w:r>
                </w:p>
              </w:tc>
              <w:tc>
                <w:tcPr>
                  <w:tcW w:w="1040" w:type="pct"/>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非甲烷总烃</w:t>
                  </w:r>
                </w:p>
              </w:tc>
              <w:tc>
                <w:tcPr>
                  <w:tcW w:w="512" w:type="pct"/>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故障直排</w:t>
                  </w:r>
                </w:p>
              </w:tc>
              <w:tc>
                <w:tcPr>
                  <w:tcW w:w="908" w:type="pct"/>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扩散</w:t>
                  </w:r>
                </w:p>
              </w:tc>
              <w:tc>
                <w:tcPr>
                  <w:tcW w:w="914" w:type="pct"/>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周边</w:t>
                  </w:r>
                  <w:r>
                    <w:rPr>
                      <w:rFonts w:hint="eastAsia" w:ascii="Times New Roman" w:hAnsi="Times New Roman" w:cs="Times New Roman"/>
                      <w:sz w:val="21"/>
                      <w:szCs w:val="21"/>
                      <w:highlight w:val="none"/>
                    </w:rPr>
                    <w:t>大气</w:t>
                  </w:r>
                </w:p>
              </w:tc>
            </w:tr>
          </w:tbl>
          <w:p>
            <w:pPr>
              <w:tabs>
                <w:tab w:val="left" w:pos="360"/>
              </w:tabs>
              <w:autoSpaceDE w:val="0"/>
              <w:autoSpaceDN w:val="0"/>
              <w:adjustRightInd w:val="0"/>
              <w:spacing w:line="360" w:lineRule="auto"/>
              <w:ind w:firstLine="482" w:firstLineChars="200"/>
              <w:rPr>
                <w:b/>
                <w:bCs/>
                <w:kern w:val="0"/>
                <w:sz w:val="24"/>
                <w:highlight w:val="none"/>
              </w:rPr>
            </w:pPr>
            <w:r>
              <w:rPr>
                <w:b/>
                <w:bCs/>
                <w:kern w:val="0"/>
                <w:sz w:val="24"/>
                <w:highlight w:val="none"/>
              </w:rPr>
              <w:t>（4）环境风险分析</w:t>
            </w:r>
          </w:p>
          <w:p>
            <w:pPr>
              <w:tabs>
                <w:tab w:val="left" w:pos="360"/>
              </w:tabs>
              <w:autoSpaceDE w:val="0"/>
              <w:autoSpaceDN w:val="0"/>
              <w:adjustRightInd w:val="0"/>
              <w:spacing w:line="360" w:lineRule="auto"/>
              <w:ind w:firstLine="480" w:firstLineChars="200"/>
              <w:rPr>
                <w:kern w:val="0"/>
                <w:sz w:val="24"/>
                <w:highlight w:val="none"/>
              </w:rPr>
            </w:pPr>
            <w:r>
              <w:rPr>
                <w:rFonts w:hint="eastAsia" w:ascii="宋体" w:hAnsi="宋体" w:cs="宋体"/>
                <w:kern w:val="0"/>
                <w:sz w:val="24"/>
                <w:highlight w:val="none"/>
              </w:rPr>
              <w:t>①</w:t>
            </w:r>
            <w:r>
              <w:rPr>
                <w:kern w:val="0"/>
                <w:sz w:val="24"/>
                <w:highlight w:val="none"/>
              </w:rPr>
              <w:t>原料储存过程中发生泄漏事故：原辅材料在储存过程中如果发生泄漏，对周围环境有一定的不利影响。</w:t>
            </w:r>
          </w:p>
          <w:p>
            <w:pPr>
              <w:tabs>
                <w:tab w:val="left" w:pos="360"/>
              </w:tabs>
              <w:autoSpaceDE w:val="0"/>
              <w:autoSpaceDN w:val="0"/>
              <w:adjustRightInd w:val="0"/>
              <w:spacing w:line="360" w:lineRule="auto"/>
              <w:ind w:firstLine="480" w:firstLineChars="200"/>
              <w:rPr>
                <w:kern w:val="0"/>
                <w:sz w:val="24"/>
                <w:highlight w:val="none"/>
              </w:rPr>
            </w:pPr>
            <w:r>
              <w:rPr>
                <w:rFonts w:hint="eastAsia" w:ascii="宋体" w:hAnsi="宋体" w:cs="宋体"/>
                <w:kern w:val="0"/>
                <w:sz w:val="24"/>
                <w:highlight w:val="none"/>
              </w:rPr>
              <w:t>②</w:t>
            </w:r>
            <w:r>
              <w:rPr>
                <w:kern w:val="0"/>
                <w:sz w:val="24"/>
                <w:highlight w:val="none"/>
              </w:rPr>
              <w:t>原辅料在运输过程中可能会因操作不当导致物料散落，容器破损造成污染事故，甚至引起起火、爆炸等事故，危及环境及车辆、人身安全。</w:t>
            </w:r>
          </w:p>
          <w:p>
            <w:pPr>
              <w:tabs>
                <w:tab w:val="left" w:pos="360"/>
              </w:tabs>
              <w:autoSpaceDE w:val="0"/>
              <w:autoSpaceDN w:val="0"/>
              <w:adjustRightInd w:val="0"/>
              <w:spacing w:line="360" w:lineRule="auto"/>
              <w:ind w:firstLine="480" w:firstLineChars="200"/>
              <w:rPr>
                <w:kern w:val="0"/>
                <w:sz w:val="24"/>
                <w:highlight w:val="none"/>
              </w:rPr>
            </w:pPr>
            <w:r>
              <w:rPr>
                <w:rFonts w:hint="eastAsia"/>
                <w:kern w:val="0"/>
                <w:sz w:val="24"/>
                <w:highlight w:val="none"/>
              </w:rPr>
              <w:t>③厂区废水处理设施异常，导致诊疗废水泄漏，污染地表水及地下水。</w:t>
            </w:r>
          </w:p>
          <w:p>
            <w:pPr>
              <w:tabs>
                <w:tab w:val="left" w:pos="360"/>
              </w:tabs>
              <w:autoSpaceDE w:val="0"/>
              <w:autoSpaceDN w:val="0"/>
              <w:adjustRightInd w:val="0"/>
              <w:spacing w:line="360" w:lineRule="auto"/>
              <w:ind w:firstLine="482" w:firstLineChars="200"/>
              <w:rPr>
                <w:b/>
                <w:bCs/>
                <w:kern w:val="0"/>
                <w:sz w:val="24"/>
                <w:highlight w:val="none"/>
              </w:rPr>
            </w:pPr>
            <w:r>
              <w:rPr>
                <w:b/>
                <w:bCs/>
                <w:kern w:val="0"/>
                <w:sz w:val="24"/>
                <w:highlight w:val="none"/>
              </w:rPr>
              <w:t>（5）环境风险防范措施及应急措施</w:t>
            </w:r>
          </w:p>
          <w:p>
            <w:pPr>
              <w:tabs>
                <w:tab w:val="left" w:pos="360"/>
              </w:tabs>
              <w:autoSpaceDE w:val="0"/>
              <w:autoSpaceDN w:val="0"/>
              <w:adjustRightInd w:val="0"/>
              <w:spacing w:line="360" w:lineRule="auto"/>
              <w:ind w:firstLine="480" w:firstLineChars="200"/>
              <w:rPr>
                <w:kern w:val="0"/>
                <w:sz w:val="24"/>
                <w:highlight w:val="none"/>
              </w:rPr>
            </w:pPr>
            <w:r>
              <w:rPr>
                <w:rFonts w:hint="eastAsia" w:ascii="宋体" w:hAnsi="宋体" w:cs="宋体"/>
                <w:kern w:val="0"/>
                <w:sz w:val="24"/>
                <w:highlight w:val="none"/>
              </w:rPr>
              <w:t>①</w:t>
            </w:r>
            <w:r>
              <w:rPr>
                <w:kern w:val="0"/>
                <w:sz w:val="24"/>
                <w:highlight w:val="none"/>
              </w:rPr>
              <w:t>风险防范措施</w:t>
            </w:r>
          </w:p>
          <w:p>
            <w:pPr>
              <w:tabs>
                <w:tab w:val="left" w:pos="360"/>
              </w:tabs>
              <w:autoSpaceDE w:val="0"/>
              <w:autoSpaceDN w:val="0"/>
              <w:adjustRightInd w:val="0"/>
              <w:spacing w:line="360" w:lineRule="auto"/>
              <w:ind w:firstLine="480" w:firstLineChars="200"/>
              <w:rPr>
                <w:kern w:val="0"/>
                <w:sz w:val="24"/>
                <w:highlight w:val="none"/>
              </w:rPr>
            </w:pPr>
            <w:r>
              <w:rPr>
                <w:kern w:val="0"/>
                <w:sz w:val="24"/>
                <w:highlight w:val="none"/>
              </w:rPr>
              <w:t>生产区与办公区分离，并保持适当距离，此外，厂区应配备完善的消防系统，制定安全生产制度，严格按照程序生产，确保安全生产；加强员工规范操作培训，提高操作人员的防范意识，非操作人员禁止进入生产区域。</w:t>
            </w:r>
          </w:p>
          <w:p>
            <w:pPr>
              <w:tabs>
                <w:tab w:val="left" w:pos="360"/>
              </w:tabs>
              <w:autoSpaceDE w:val="0"/>
              <w:autoSpaceDN w:val="0"/>
              <w:adjustRightInd w:val="0"/>
              <w:spacing w:line="360" w:lineRule="auto"/>
              <w:ind w:firstLine="480" w:firstLineChars="200"/>
              <w:rPr>
                <w:kern w:val="0"/>
                <w:sz w:val="24"/>
                <w:highlight w:val="none"/>
              </w:rPr>
            </w:pPr>
            <w:r>
              <w:rPr>
                <w:kern w:val="0"/>
                <w:sz w:val="24"/>
                <w:highlight w:val="none"/>
              </w:rPr>
              <w:t>按照《危险化学品事故应急救援预案编制导则（单位版）》和《江苏省突发环境事件应急预案编制导则（试行）（企业事业单位版）》，针对事故发生情况制定详细的环境应急救援预案，建立完整的管理和操作制度，报</w:t>
            </w:r>
            <w:r>
              <w:rPr>
                <w:rFonts w:hint="eastAsia"/>
                <w:kern w:val="0"/>
                <w:sz w:val="24"/>
                <w:highlight w:val="none"/>
              </w:rPr>
              <w:t>区生态环境</w:t>
            </w:r>
            <w:r>
              <w:rPr>
                <w:kern w:val="0"/>
                <w:sz w:val="24"/>
                <w:highlight w:val="none"/>
              </w:rPr>
              <w:t>局备案，并定期进行演练和检查应急设施器具的良好度。</w:t>
            </w:r>
          </w:p>
          <w:p>
            <w:pPr>
              <w:tabs>
                <w:tab w:val="left" w:pos="360"/>
              </w:tabs>
              <w:autoSpaceDE w:val="0"/>
              <w:autoSpaceDN w:val="0"/>
              <w:adjustRightInd w:val="0"/>
              <w:spacing w:line="360" w:lineRule="auto"/>
              <w:ind w:firstLine="480" w:firstLineChars="200"/>
              <w:rPr>
                <w:kern w:val="0"/>
                <w:sz w:val="24"/>
                <w:highlight w:val="none"/>
              </w:rPr>
            </w:pPr>
            <w:r>
              <w:rPr>
                <w:kern w:val="0"/>
                <w:sz w:val="24"/>
                <w:highlight w:val="none"/>
              </w:rPr>
              <w:t>加强培训和教育，使得操作人员熟悉相应的业务知识并且具有练操技能，化学品和危废泄漏、污染物事故排放等紧急情况下能采取正确的应急措施。</w:t>
            </w:r>
          </w:p>
          <w:p>
            <w:pPr>
              <w:tabs>
                <w:tab w:val="left" w:pos="360"/>
              </w:tabs>
              <w:autoSpaceDE w:val="0"/>
              <w:autoSpaceDN w:val="0"/>
              <w:adjustRightInd w:val="0"/>
              <w:spacing w:line="360" w:lineRule="auto"/>
              <w:ind w:firstLine="480" w:firstLineChars="200"/>
              <w:rPr>
                <w:kern w:val="0"/>
                <w:sz w:val="24"/>
                <w:highlight w:val="none"/>
              </w:rPr>
            </w:pPr>
            <w:r>
              <w:rPr>
                <w:kern w:val="0"/>
                <w:sz w:val="24"/>
                <w:highlight w:val="none"/>
              </w:rPr>
              <w:t>化学品、危废存放地严禁烟火，并配备环境应急物资、消防灭火器材和灾报警系统。与相邻的车间之间的隔墙应为非燃烧体的实墙，隔墙上的门应是非燃烧体。根据火灾危险性等级和防爆要求，建筑物的火等级均应采用国家现行规范。凡禁区应设置明显标志牌。安全出口及疏散距离应符合《建筑设计防火规范》的要求。</w:t>
            </w:r>
          </w:p>
          <w:p>
            <w:pPr>
              <w:tabs>
                <w:tab w:val="left" w:pos="360"/>
              </w:tabs>
              <w:autoSpaceDE w:val="0"/>
              <w:autoSpaceDN w:val="0"/>
              <w:adjustRightInd w:val="0"/>
              <w:spacing w:line="360" w:lineRule="auto"/>
              <w:ind w:firstLine="480" w:firstLineChars="200"/>
              <w:rPr>
                <w:kern w:val="0"/>
                <w:sz w:val="24"/>
                <w:highlight w:val="none"/>
              </w:rPr>
            </w:pPr>
            <w:r>
              <w:rPr>
                <w:kern w:val="0"/>
                <w:sz w:val="24"/>
                <w:highlight w:val="none"/>
              </w:rPr>
              <w:t>化学品原料存放区和危险废物暂存区，地面耐腐蚀硬化且表无缝隙设置泄漏收集沟和收集池或者防泄露托盘。</w:t>
            </w:r>
          </w:p>
          <w:p>
            <w:pPr>
              <w:tabs>
                <w:tab w:val="left" w:pos="360"/>
              </w:tabs>
              <w:autoSpaceDE w:val="0"/>
              <w:autoSpaceDN w:val="0"/>
              <w:adjustRightInd w:val="0"/>
              <w:spacing w:line="360" w:lineRule="auto"/>
              <w:ind w:firstLine="480" w:firstLineChars="200"/>
              <w:rPr>
                <w:kern w:val="0"/>
                <w:sz w:val="24"/>
                <w:highlight w:val="none"/>
              </w:rPr>
            </w:pPr>
            <w:r>
              <w:rPr>
                <w:kern w:val="0"/>
                <w:sz w:val="24"/>
                <w:highlight w:val="none"/>
              </w:rPr>
              <w:t>根据</w:t>
            </w:r>
            <w:r>
              <w:rPr>
                <w:sz w:val="24"/>
                <w:highlight w:val="none"/>
              </w:rPr>
              <w:t>《关于做好生态环境和应急管理部门联动工作的意见》（苏环办〔2020〕101号）以及《关于印发苏州市生态环境和应急管理部门联动工作实施方案的通知》（苏环办字〔2020〕94号），企业应制定危险废物管理计划并报属地生态环境管理部门备案，生态环境部门予以备案，应纳入危险废物管理，生态环境和应急管理部门要共同加强对被列入危险废物管理的安全监管，生态环境部门对日常环境监管过程中发现的安全隐患线索，及时移送属地应急管理部门。根据文件要求，企业应对废气处理设施开展安全风险辨识管控，确保废气处理设施安全、稳定、有效运行，发现安全隐患及时报属地应急管理部门。</w:t>
            </w:r>
          </w:p>
          <w:p>
            <w:pPr>
              <w:tabs>
                <w:tab w:val="left" w:pos="360"/>
              </w:tabs>
              <w:autoSpaceDE w:val="0"/>
              <w:autoSpaceDN w:val="0"/>
              <w:adjustRightInd w:val="0"/>
              <w:spacing w:line="360" w:lineRule="auto"/>
              <w:ind w:firstLine="480" w:firstLineChars="200"/>
              <w:rPr>
                <w:kern w:val="0"/>
                <w:sz w:val="24"/>
                <w:highlight w:val="none"/>
              </w:rPr>
            </w:pPr>
            <w:r>
              <w:rPr>
                <w:rFonts w:hint="eastAsia" w:ascii="宋体" w:hAnsi="宋体" w:cs="宋体"/>
                <w:kern w:val="0"/>
                <w:sz w:val="24"/>
                <w:highlight w:val="none"/>
              </w:rPr>
              <w:t>②</w:t>
            </w:r>
            <w:r>
              <w:rPr>
                <w:kern w:val="0"/>
                <w:sz w:val="24"/>
                <w:highlight w:val="none"/>
              </w:rPr>
              <w:t>企业环境风险及拟采取应急措施：</w:t>
            </w:r>
          </w:p>
          <w:p>
            <w:pPr>
              <w:tabs>
                <w:tab w:val="left" w:pos="360"/>
              </w:tabs>
              <w:autoSpaceDE w:val="0"/>
              <w:autoSpaceDN w:val="0"/>
              <w:adjustRightInd w:val="0"/>
              <w:spacing w:line="360" w:lineRule="auto"/>
              <w:ind w:firstLine="480" w:firstLineChars="200"/>
              <w:rPr>
                <w:rFonts w:hint="eastAsia"/>
                <w:sz w:val="24"/>
                <w:highlight w:val="none"/>
              </w:rPr>
            </w:pPr>
            <w:r>
              <w:rPr>
                <w:rFonts w:hint="eastAsia"/>
                <w:sz w:val="24"/>
                <w:highlight w:val="none"/>
              </w:rPr>
              <w:t>1）建设项目的工程设计应严格遵守我国现行环保安全方面的法规和技术标准。工程设计、施工过程及施工验收各环节要严格把好“三同时”审查关。</w:t>
            </w:r>
          </w:p>
          <w:p>
            <w:pPr>
              <w:tabs>
                <w:tab w:val="left" w:pos="360"/>
              </w:tabs>
              <w:autoSpaceDE w:val="0"/>
              <w:autoSpaceDN w:val="0"/>
              <w:adjustRightInd w:val="0"/>
              <w:spacing w:line="360" w:lineRule="auto"/>
              <w:ind w:firstLine="480" w:firstLineChars="200"/>
              <w:rPr>
                <w:rFonts w:hint="eastAsia"/>
                <w:sz w:val="24"/>
                <w:highlight w:val="none"/>
              </w:rPr>
            </w:pPr>
            <w:r>
              <w:rPr>
                <w:rFonts w:hint="eastAsia"/>
                <w:sz w:val="24"/>
                <w:highlight w:val="none"/>
              </w:rPr>
              <w:t>2）切实加强对工艺操作的完全管理，确保工艺操作规程和安全操作规程的贯彻执行。</w:t>
            </w:r>
          </w:p>
          <w:p>
            <w:pPr>
              <w:tabs>
                <w:tab w:val="left" w:pos="360"/>
              </w:tabs>
              <w:autoSpaceDE w:val="0"/>
              <w:autoSpaceDN w:val="0"/>
              <w:adjustRightInd w:val="0"/>
              <w:spacing w:line="360" w:lineRule="auto"/>
              <w:ind w:firstLine="480" w:firstLineChars="200"/>
              <w:rPr>
                <w:rFonts w:hint="eastAsia"/>
                <w:sz w:val="24"/>
                <w:highlight w:val="none"/>
              </w:rPr>
            </w:pPr>
            <w:r>
              <w:rPr>
                <w:rFonts w:hint="eastAsia"/>
                <w:sz w:val="24"/>
                <w:highlight w:val="none"/>
              </w:rPr>
              <w:t>3）加强对职工环保安全教育，专业培训和考核，使职工具有高度的安全责任心，熟练的操作技能，增强事故情况应急处理能力。</w:t>
            </w:r>
          </w:p>
          <w:p>
            <w:pPr>
              <w:tabs>
                <w:tab w:val="left" w:pos="360"/>
              </w:tabs>
              <w:autoSpaceDE w:val="0"/>
              <w:autoSpaceDN w:val="0"/>
              <w:adjustRightInd w:val="0"/>
              <w:spacing w:line="360" w:lineRule="auto"/>
              <w:ind w:firstLine="480" w:firstLineChars="200"/>
              <w:rPr>
                <w:rFonts w:hint="eastAsia"/>
                <w:sz w:val="24"/>
                <w:highlight w:val="none"/>
              </w:rPr>
            </w:pPr>
            <w:r>
              <w:rPr>
                <w:rFonts w:hint="eastAsia"/>
                <w:sz w:val="24"/>
                <w:highlight w:val="none"/>
                <w:lang w:val="en-US" w:eastAsia="zh-CN"/>
              </w:rPr>
              <w:t>4</w:t>
            </w:r>
            <w:r>
              <w:rPr>
                <w:rFonts w:hint="eastAsia"/>
                <w:sz w:val="24"/>
                <w:highlight w:val="none"/>
              </w:rPr>
              <w:t>）制定风险事故的应急预案并落实到人，一旦发生事故，就能迅速采取防范措施进行控制，把事故所造成的影响降低到最小程度。</w:t>
            </w:r>
          </w:p>
          <w:p>
            <w:pPr>
              <w:tabs>
                <w:tab w:val="left" w:pos="360"/>
              </w:tabs>
              <w:autoSpaceDE w:val="0"/>
              <w:autoSpaceDN w:val="0"/>
              <w:adjustRightInd w:val="0"/>
              <w:spacing w:line="360" w:lineRule="auto"/>
              <w:ind w:firstLine="480" w:firstLineChars="200"/>
              <w:rPr>
                <w:rFonts w:hint="eastAsia"/>
                <w:sz w:val="24"/>
                <w:highlight w:val="none"/>
              </w:rPr>
            </w:pPr>
            <w:r>
              <w:rPr>
                <w:rFonts w:hint="eastAsia"/>
                <w:sz w:val="24"/>
                <w:highlight w:val="none"/>
                <w:lang w:val="en-US" w:eastAsia="zh-CN"/>
              </w:rPr>
              <w:t>5</w:t>
            </w:r>
            <w:r>
              <w:rPr>
                <w:rFonts w:hint="eastAsia"/>
                <w:sz w:val="24"/>
                <w:highlight w:val="none"/>
              </w:rPr>
              <w:t>）建立健全各种生产及环保设备的管理制度、管理台账和技术档案，尤其要完善设备的检维修管理制度。</w:t>
            </w:r>
          </w:p>
          <w:p>
            <w:pPr>
              <w:tabs>
                <w:tab w:val="left" w:pos="360"/>
              </w:tabs>
              <w:autoSpaceDE w:val="0"/>
              <w:autoSpaceDN w:val="0"/>
              <w:adjustRightInd w:val="0"/>
              <w:spacing w:line="360" w:lineRule="auto"/>
              <w:ind w:firstLine="480" w:firstLineChars="200"/>
              <w:rPr>
                <w:rFonts w:hint="eastAsia"/>
                <w:sz w:val="24"/>
                <w:highlight w:val="none"/>
              </w:rPr>
            </w:pPr>
            <w:r>
              <w:rPr>
                <w:rFonts w:hint="eastAsia"/>
                <w:sz w:val="24"/>
                <w:highlight w:val="none"/>
                <w:lang w:val="en-US" w:eastAsia="zh-CN"/>
              </w:rPr>
              <w:t>6</w:t>
            </w:r>
            <w:r>
              <w:rPr>
                <w:rFonts w:hint="eastAsia"/>
                <w:sz w:val="24"/>
                <w:highlight w:val="none"/>
              </w:rPr>
              <w:t>）制订原辅材料贮存、保管、领用、操作的严格的规章制度。</w:t>
            </w:r>
          </w:p>
          <w:p>
            <w:pPr>
              <w:tabs>
                <w:tab w:val="left" w:pos="360"/>
              </w:tabs>
              <w:autoSpaceDE w:val="0"/>
              <w:autoSpaceDN w:val="0"/>
              <w:adjustRightInd w:val="0"/>
              <w:spacing w:line="360" w:lineRule="auto"/>
              <w:ind w:firstLine="480" w:firstLineChars="200"/>
              <w:rPr>
                <w:rFonts w:hint="eastAsia"/>
                <w:sz w:val="24"/>
                <w:highlight w:val="none"/>
              </w:rPr>
            </w:pPr>
            <w:r>
              <w:rPr>
                <w:rFonts w:hint="eastAsia"/>
                <w:sz w:val="24"/>
                <w:highlight w:val="none"/>
                <w:lang w:val="en-US" w:eastAsia="zh-CN"/>
              </w:rPr>
              <w:t>7</w:t>
            </w:r>
            <w:r>
              <w:rPr>
                <w:rFonts w:hint="eastAsia"/>
                <w:sz w:val="24"/>
                <w:highlight w:val="none"/>
              </w:rPr>
              <w:t>）事故的应急计划是根据工程风险源风险分析，制定的防止事故发生和减少事故发生后的损失的计划。</w:t>
            </w:r>
          </w:p>
          <w:p>
            <w:pPr>
              <w:tabs>
                <w:tab w:val="left" w:pos="360"/>
              </w:tabs>
              <w:autoSpaceDE w:val="0"/>
              <w:autoSpaceDN w:val="0"/>
              <w:adjustRightInd w:val="0"/>
              <w:spacing w:line="360" w:lineRule="auto"/>
              <w:ind w:firstLine="480" w:firstLineChars="200"/>
              <w:rPr>
                <w:rFonts w:hint="eastAsia"/>
                <w:sz w:val="24"/>
                <w:highlight w:val="none"/>
              </w:rPr>
            </w:pPr>
            <w:r>
              <w:rPr>
                <w:rFonts w:hint="eastAsia"/>
                <w:sz w:val="24"/>
                <w:highlight w:val="none"/>
              </w:rPr>
              <w:t>本项目须加强事故防范措施，严格遵守事故防范措施及安全法律法规的要求开展项目的生产建设，并根据实际生产情况对安全事故隐患进行登记，结合已建工程、全场统一考虑，根据《中华人民共和国安全生产法》等法律法规，重新完善、制定防止重大环境污染事故发生的工作计划及应急预案，将本项目风险事故发生概率控制在最小范围内。</w:t>
            </w:r>
          </w:p>
          <w:p>
            <w:pPr>
              <w:tabs>
                <w:tab w:val="left" w:pos="360"/>
              </w:tabs>
              <w:autoSpaceDE w:val="0"/>
              <w:autoSpaceDN w:val="0"/>
              <w:adjustRightInd w:val="0"/>
              <w:spacing w:line="360" w:lineRule="auto"/>
              <w:ind w:firstLine="480" w:firstLineChars="200"/>
              <w:rPr>
                <w:rFonts w:hint="eastAsia"/>
                <w:sz w:val="24"/>
                <w:highlight w:val="none"/>
              </w:rPr>
            </w:pPr>
            <w:r>
              <w:rPr>
                <w:rFonts w:hint="eastAsia"/>
                <w:sz w:val="24"/>
                <w:highlight w:val="none"/>
                <w:lang w:eastAsia="zh-CN"/>
              </w:rPr>
              <w:t>③应急预案要求</w:t>
            </w:r>
            <w:r>
              <w:rPr>
                <w:rFonts w:hint="eastAsia"/>
                <w:sz w:val="24"/>
                <w:highlight w:val="none"/>
              </w:rPr>
              <w:t>：</w:t>
            </w:r>
          </w:p>
          <w:p>
            <w:pPr>
              <w:tabs>
                <w:tab w:val="left" w:pos="360"/>
              </w:tabs>
              <w:autoSpaceDE w:val="0"/>
              <w:autoSpaceDN w:val="0"/>
              <w:adjustRightInd w:val="0"/>
              <w:spacing w:line="360" w:lineRule="auto"/>
              <w:ind w:firstLine="480" w:firstLineChars="200"/>
              <w:rPr>
                <w:rFonts w:hint="eastAsia"/>
                <w:sz w:val="24"/>
                <w:highlight w:val="none"/>
                <w:lang w:val="en-US" w:eastAsia="zh-CN"/>
              </w:rPr>
            </w:pPr>
            <w:r>
              <w:rPr>
                <w:rFonts w:hint="eastAsia"/>
                <w:sz w:val="24"/>
                <w:highlight w:val="none"/>
                <w:lang w:val="en-US" w:eastAsia="zh-CN"/>
              </w:rPr>
              <w:t>企业应针对其特点制定相对应的应急预案，组织演练，并从中发现问题，以不断完善预案，并定期组织学习事故应急预案和演练，根据演习情况结合实际情况进行适当修改。应急队伍要进行专业培训，并要有培训记录和档案。同时，加强各应急专业队伍的建设，配有相应器材并确保设备性能完好，保证企业与区域应急预案衔接与联动有效。</w:t>
            </w:r>
          </w:p>
          <w:p>
            <w:pPr>
              <w:tabs>
                <w:tab w:val="left" w:pos="360"/>
              </w:tabs>
              <w:autoSpaceDE w:val="0"/>
              <w:autoSpaceDN w:val="0"/>
              <w:adjustRightInd w:val="0"/>
              <w:spacing w:line="360" w:lineRule="auto"/>
              <w:ind w:firstLine="480" w:firstLineChars="200"/>
              <w:rPr>
                <w:rFonts w:hint="eastAsia"/>
                <w:sz w:val="24"/>
                <w:highlight w:val="none"/>
                <w:lang w:val="en-US" w:eastAsia="zh-CN"/>
              </w:rPr>
            </w:pPr>
            <w:r>
              <w:rPr>
                <w:rFonts w:hint="eastAsia"/>
                <w:sz w:val="24"/>
                <w:highlight w:val="none"/>
                <w:lang w:val="en-US" w:eastAsia="zh-CN"/>
              </w:rPr>
              <w:t>环境污染事故的发生主要是由于对风险事故警惕性不高，管理和防范意识欠缺所造成的。因此，本项目运行后，须加强事故防范措施的宣传教育，严格遵守事故防范措施及安全法律法规的要求开展项目的生产建设，并根据实际生产情况对安全事故隐患进行调查登记，将本项目风险事故发生概率控制在最小范围内。</w:t>
            </w:r>
          </w:p>
          <w:p>
            <w:pPr>
              <w:tabs>
                <w:tab w:val="left" w:pos="360"/>
              </w:tabs>
              <w:autoSpaceDE w:val="0"/>
              <w:autoSpaceDN w:val="0"/>
              <w:adjustRightInd w:val="0"/>
              <w:spacing w:line="360" w:lineRule="auto"/>
              <w:ind w:firstLine="480" w:firstLineChars="200"/>
              <w:rPr>
                <w:rFonts w:hint="eastAsia"/>
                <w:sz w:val="24"/>
                <w:highlight w:val="none"/>
                <w:lang w:val="en-US" w:eastAsia="zh-CN"/>
              </w:rPr>
            </w:pPr>
            <w:r>
              <w:rPr>
                <w:rFonts w:hint="eastAsia"/>
                <w:sz w:val="24"/>
                <w:highlight w:val="none"/>
                <w:lang w:val="en-US" w:eastAsia="zh-CN"/>
              </w:rPr>
              <w:t>针对应急救援，企业应配备相应的应急救援物资，如防化服、灭火器、紧急喷淋装置等，当有事故发生时，能协助参与应急救援。当有事故发生后，应急救援程序应按以下所提：</w:t>
            </w:r>
          </w:p>
          <w:p>
            <w:pPr>
              <w:tabs>
                <w:tab w:val="left" w:pos="360"/>
              </w:tabs>
              <w:autoSpaceDE w:val="0"/>
              <w:autoSpaceDN w:val="0"/>
              <w:adjustRightInd w:val="0"/>
              <w:spacing w:line="360" w:lineRule="auto"/>
              <w:ind w:firstLine="480" w:firstLineChars="200"/>
              <w:rPr>
                <w:rFonts w:hint="eastAsia"/>
                <w:sz w:val="24"/>
                <w:highlight w:val="none"/>
                <w:lang w:val="en-US" w:eastAsia="zh-CN"/>
              </w:rPr>
            </w:pPr>
            <w:r>
              <w:rPr>
                <w:rFonts w:hint="eastAsia"/>
                <w:sz w:val="24"/>
                <w:highlight w:val="none"/>
                <w:lang w:val="en-US" w:eastAsia="zh-CN"/>
              </w:rPr>
              <w:t>1）事故发生后，应根据具体情况采取应急措施，切断泄漏源、火源，控制事故</w:t>
            </w:r>
          </w:p>
          <w:p>
            <w:pPr>
              <w:tabs>
                <w:tab w:val="left" w:pos="360"/>
              </w:tabs>
              <w:autoSpaceDE w:val="0"/>
              <w:autoSpaceDN w:val="0"/>
              <w:adjustRightInd w:val="0"/>
              <w:spacing w:line="360" w:lineRule="auto"/>
              <w:ind w:firstLine="480" w:firstLineChars="200"/>
              <w:rPr>
                <w:rFonts w:hint="eastAsia"/>
                <w:sz w:val="24"/>
                <w:highlight w:val="none"/>
                <w:lang w:val="en-US" w:eastAsia="zh-CN"/>
              </w:rPr>
            </w:pPr>
            <w:r>
              <w:rPr>
                <w:rFonts w:hint="eastAsia"/>
                <w:sz w:val="24"/>
                <w:highlight w:val="none"/>
                <w:lang w:val="en-US" w:eastAsia="zh-CN"/>
              </w:rPr>
              <w:t>扩大，同时通知中央控制室，根据事故类型、大小启动相应的应急预案；</w:t>
            </w:r>
          </w:p>
          <w:p>
            <w:pPr>
              <w:tabs>
                <w:tab w:val="left" w:pos="360"/>
              </w:tabs>
              <w:autoSpaceDE w:val="0"/>
              <w:autoSpaceDN w:val="0"/>
              <w:adjustRightInd w:val="0"/>
              <w:spacing w:line="360" w:lineRule="auto"/>
              <w:ind w:firstLine="480" w:firstLineChars="200"/>
              <w:rPr>
                <w:rFonts w:hint="eastAsia"/>
                <w:sz w:val="24"/>
                <w:highlight w:val="none"/>
                <w:lang w:val="en-US" w:eastAsia="zh-CN"/>
              </w:rPr>
            </w:pPr>
            <w:r>
              <w:rPr>
                <w:rFonts w:hint="eastAsia"/>
                <w:sz w:val="24"/>
                <w:highlight w:val="none"/>
                <w:lang w:val="en-US" w:eastAsia="zh-CN"/>
              </w:rPr>
              <w:t>2）当发生重大事故，应立即上报相关部门，启动社会救援系统，就近地区调拨</w:t>
            </w:r>
          </w:p>
          <w:p>
            <w:pPr>
              <w:tabs>
                <w:tab w:val="left" w:pos="360"/>
              </w:tabs>
              <w:autoSpaceDE w:val="0"/>
              <w:autoSpaceDN w:val="0"/>
              <w:adjustRightInd w:val="0"/>
              <w:spacing w:line="360" w:lineRule="auto"/>
              <w:ind w:firstLine="480" w:firstLineChars="200"/>
              <w:rPr>
                <w:rFonts w:hint="eastAsia"/>
                <w:sz w:val="24"/>
                <w:highlight w:val="none"/>
                <w:lang w:val="en-US" w:eastAsia="zh-CN"/>
              </w:rPr>
            </w:pPr>
            <w:r>
              <w:rPr>
                <w:rFonts w:hint="eastAsia"/>
                <w:sz w:val="24"/>
                <w:highlight w:val="none"/>
                <w:lang w:val="en-US" w:eastAsia="zh-CN"/>
              </w:rPr>
              <w:t>到专业救援队伍协助处理；</w:t>
            </w:r>
          </w:p>
          <w:p>
            <w:pPr>
              <w:tabs>
                <w:tab w:val="left" w:pos="360"/>
              </w:tabs>
              <w:autoSpaceDE w:val="0"/>
              <w:autoSpaceDN w:val="0"/>
              <w:adjustRightInd w:val="0"/>
              <w:spacing w:line="360" w:lineRule="auto"/>
              <w:ind w:firstLine="480" w:firstLineChars="200"/>
              <w:rPr>
                <w:rFonts w:hint="eastAsia"/>
                <w:sz w:val="24"/>
                <w:highlight w:val="none"/>
                <w:lang w:val="en-US" w:eastAsia="zh-CN"/>
              </w:rPr>
            </w:pPr>
            <w:r>
              <w:rPr>
                <w:rFonts w:hint="eastAsia"/>
                <w:sz w:val="24"/>
                <w:highlight w:val="none"/>
                <w:lang w:val="en-US" w:eastAsia="zh-CN"/>
              </w:rPr>
              <w:t>3）事故发生后应立即通知当地生态环境局、医院、自来水公司等部门，协同事</w:t>
            </w:r>
          </w:p>
          <w:p>
            <w:pPr>
              <w:tabs>
                <w:tab w:val="left" w:pos="360"/>
              </w:tabs>
              <w:autoSpaceDE w:val="0"/>
              <w:autoSpaceDN w:val="0"/>
              <w:adjustRightInd w:val="0"/>
              <w:spacing w:line="360" w:lineRule="auto"/>
              <w:ind w:firstLine="480" w:firstLineChars="200"/>
              <w:rPr>
                <w:rFonts w:hint="eastAsia"/>
                <w:sz w:val="24"/>
                <w:highlight w:val="none"/>
                <w:lang w:val="en-US" w:eastAsia="zh-CN"/>
              </w:rPr>
            </w:pPr>
            <w:r>
              <w:rPr>
                <w:rFonts w:hint="eastAsia"/>
                <w:sz w:val="24"/>
                <w:highlight w:val="none"/>
                <w:lang w:val="en-US" w:eastAsia="zh-CN"/>
              </w:rPr>
              <w:t>故救援与监控。</w:t>
            </w:r>
          </w:p>
          <w:p>
            <w:pPr>
              <w:tabs>
                <w:tab w:val="left" w:pos="360"/>
              </w:tabs>
              <w:autoSpaceDE w:val="0"/>
              <w:autoSpaceDN w:val="0"/>
              <w:adjustRightInd w:val="0"/>
              <w:spacing w:line="360" w:lineRule="auto"/>
              <w:ind w:firstLine="482" w:firstLineChars="200"/>
              <w:rPr>
                <w:b/>
                <w:bCs/>
                <w:kern w:val="0"/>
                <w:sz w:val="24"/>
                <w:highlight w:val="none"/>
              </w:rPr>
            </w:pPr>
            <w:r>
              <w:rPr>
                <w:b/>
                <w:bCs/>
                <w:kern w:val="0"/>
                <w:sz w:val="24"/>
                <w:highlight w:val="none"/>
              </w:rPr>
              <w:t>（6）分析结论</w:t>
            </w:r>
          </w:p>
          <w:p>
            <w:pPr>
              <w:tabs>
                <w:tab w:val="left" w:pos="360"/>
              </w:tabs>
              <w:autoSpaceDE w:val="0"/>
              <w:autoSpaceDN w:val="0"/>
              <w:adjustRightInd w:val="0"/>
              <w:spacing w:line="360" w:lineRule="auto"/>
              <w:ind w:firstLine="480" w:firstLineChars="200"/>
              <w:rPr>
                <w:kern w:val="0"/>
                <w:sz w:val="24"/>
                <w:highlight w:val="none"/>
              </w:rPr>
            </w:pPr>
            <w:r>
              <w:rPr>
                <w:kern w:val="0"/>
                <w:sz w:val="24"/>
                <w:highlight w:val="none"/>
              </w:rPr>
              <w:t>经过上述措施有效实施，现有项目环境风险较小。经过以上防范措施的落实，本次项目环境风险是可接受的。</w:t>
            </w:r>
          </w:p>
          <w:p>
            <w:pPr>
              <w:jc w:val="center"/>
              <w:rPr>
                <w:b/>
                <w:sz w:val="24"/>
                <w:highlight w:val="none"/>
              </w:rPr>
            </w:pPr>
            <w:r>
              <w:rPr>
                <w:b/>
                <w:sz w:val="24"/>
                <w:highlight w:val="none"/>
              </w:rPr>
              <w:t>表4-14  项目环境风险简单分析内容表</w:t>
            </w:r>
          </w:p>
          <w:tbl>
            <w:tblPr>
              <w:tblStyle w:val="22"/>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082"/>
              <w:gridCol w:w="1484"/>
              <w:gridCol w:w="1781"/>
              <w:gridCol w:w="1373"/>
              <w:gridCol w:w="2124"/>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177" w:type="pct"/>
                  <w:tcBorders>
                    <w:tl2br w:val="nil"/>
                    <w:tr2bl w:val="nil"/>
                  </w:tcBorders>
                </w:tcPr>
                <w:p>
                  <w:pPr>
                    <w:adjustRightInd w:val="0"/>
                    <w:snapToGrid w:val="0"/>
                    <w:jc w:val="center"/>
                    <w:rPr>
                      <w:rFonts w:hint="eastAsia"/>
                      <w:b/>
                      <w:bCs/>
                      <w:sz w:val="24"/>
                      <w:highlight w:val="none"/>
                    </w:rPr>
                  </w:pPr>
                  <w:r>
                    <w:rPr>
                      <w:rFonts w:hint="eastAsia"/>
                      <w:b/>
                      <w:bCs/>
                      <w:sz w:val="24"/>
                      <w:highlight w:val="none"/>
                    </w:rPr>
                    <w:t>建设项目名称</w:t>
                  </w:r>
                </w:p>
              </w:tc>
              <w:tc>
                <w:tcPr>
                  <w:tcW w:w="3823" w:type="pct"/>
                  <w:gridSpan w:val="4"/>
                  <w:tcBorders>
                    <w:tl2br w:val="nil"/>
                    <w:tr2bl w:val="nil"/>
                  </w:tcBorders>
                </w:tcPr>
                <w:p>
                  <w:pPr>
                    <w:adjustRightInd w:val="0"/>
                    <w:snapToGrid w:val="0"/>
                    <w:jc w:val="center"/>
                    <w:rPr>
                      <w:rFonts w:hint="eastAsia"/>
                      <w:sz w:val="24"/>
                      <w:highlight w:val="none"/>
                    </w:rPr>
                  </w:pPr>
                  <w:r>
                    <w:rPr>
                      <w:rFonts w:hint="eastAsia"/>
                      <w:sz w:val="24"/>
                      <w:highlight w:val="none"/>
                    </w:rPr>
                    <w:t>苏州格瑞林达医疗科技有限公司新建器械部件生产项目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77" w:type="pct"/>
                  <w:tcBorders>
                    <w:tl2br w:val="nil"/>
                    <w:tr2bl w:val="nil"/>
                  </w:tcBorders>
                  <w:vAlign w:val="center"/>
                </w:tcPr>
                <w:p>
                  <w:pPr>
                    <w:adjustRightInd w:val="0"/>
                    <w:snapToGrid w:val="0"/>
                    <w:jc w:val="center"/>
                    <w:rPr>
                      <w:rFonts w:hint="eastAsia"/>
                      <w:b/>
                      <w:bCs/>
                      <w:sz w:val="24"/>
                      <w:highlight w:val="none"/>
                    </w:rPr>
                  </w:pPr>
                  <w:r>
                    <w:rPr>
                      <w:rFonts w:hint="eastAsia"/>
                      <w:b/>
                      <w:bCs/>
                      <w:sz w:val="24"/>
                      <w:highlight w:val="none"/>
                    </w:rPr>
                    <w:t>建设地点</w:t>
                  </w:r>
                </w:p>
              </w:tc>
              <w:tc>
                <w:tcPr>
                  <w:tcW w:w="839" w:type="pct"/>
                  <w:tcBorders>
                    <w:tl2br w:val="nil"/>
                    <w:tr2bl w:val="nil"/>
                  </w:tcBorders>
                  <w:vAlign w:val="center"/>
                </w:tcPr>
                <w:p>
                  <w:pPr>
                    <w:adjustRightInd w:val="0"/>
                    <w:snapToGrid w:val="0"/>
                    <w:jc w:val="center"/>
                    <w:rPr>
                      <w:rFonts w:hint="eastAsia"/>
                      <w:sz w:val="24"/>
                      <w:highlight w:val="none"/>
                    </w:rPr>
                  </w:pPr>
                  <w:r>
                    <w:rPr>
                      <w:rFonts w:hint="eastAsia"/>
                      <w:sz w:val="24"/>
                      <w:highlight w:val="none"/>
                    </w:rPr>
                    <w:t>江苏省</w:t>
                  </w:r>
                </w:p>
              </w:tc>
              <w:tc>
                <w:tcPr>
                  <w:tcW w:w="1007" w:type="pct"/>
                  <w:tcBorders>
                    <w:tl2br w:val="nil"/>
                    <w:tr2bl w:val="nil"/>
                  </w:tcBorders>
                  <w:vAlign w:val="center"/>
                </w:tcPr>
                <w:p>
                  <w:pPr>
                    <w:adjustRightInd w:val="0"/>
                    <w:snapToGrid w:val="0"/>
                    <w:jc w:val="center"/>
                    <w:rPr>
                      <w:rFonts w:hint="eastAsia"/>
                      <w:sz w:val="24"/>
                      <w:highlight w:val="none"/>
                    </w:rPr>
                  </w:pPr>
                  <w:r>
                    <w:rPr>
                      <w:rFonts w:hint="eastAsia"/>
                      <w:sz w:val="24"/>
                      <w:highlight w:val="none"/>
                    </w:rPr>
                    <w:t>苏州市</w:t>
                  </w:r>
                </w:p>
              </w:tc>
              <w:tc>
                <w:tcPr>
                  <w:tcW w:w="776" w:type="pct"/>
                  <w:tcBorders>
                    <w:tl2br w:val="nil"/>
                    <w:tr2bl w:val="nil"/>
                  </w:tcBorders>
                  <w:vAlign w:val="center"/>
                </w:tcPr>
                <w:p>
                  <w:pPr>
                    <w:adjustRightInd w:val="0"/>
                    <w:snapToGrid w:val="0"/>
                    <w:jc w:val="center"/>
                    <w:rPr>
                      <w:rFonts w:hint="eastAsia"/>
                      <w:sz w:val="24"/>
                      <w:highlight w:val="none"/>
                    </w:rPr>
                  </w:pPr>
                  <w:r>
                    <w:rPr>
                      <w:rFonts w:hint="eastAsia"/>
                      <w:sz w:val="24"/>
                      <w:highlight w:val="none"/>
                    </w:rPr>
                    <w:t>高新区</w:t>
                  </w:r>
                </w:p>
              </w:tc>
              <w:tc>
                <w:tcPr>
                  <w:tcW w:w="1200" w:type="pct"/>
                  <w:tcBorders>
                    <w:tl2br w:val="nil"/>
                    <w:tr2bl w:val="nil"/>
                  </w:tcBorders>
                </w:tcPr>
                <w:p>
                  <w:pPr>
                    <w:adjustRightInd w:val="0"/>
                    <w:snapToGrid w:val="0"/>
                    <w:jc w:val="center"/>
                    <w:rPr>
                      <w:rFonts w:hint="eastAsia"/>
                      <w:sz w:val="24"/>
                      <w:highlight w:val="none"/>
                    </w:rPr>
                  </w:pPr>
                  <w:r>
                    <w:rPr>
                      <w:rFonts w:hint="eastAsia"/>
                      <w:sz w:val="24"/>
                      <w:highlight w:val="none"/>
                    </w:rPr>
                    <w:t>科技城华佗路12号2号楼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177" w:type="pct"/>
                  <w:tcBorders>
                    <w:tl2br w:val="nil"/>
                    <w:tr2bl w:val="nil"/>
                  </w:tcBorders>
                </w:tcPr>
                <w:p>
                  <w:pPr>
                    <w:adjustRightInd w:val="0"/>
                    <w:snapToGrid w:val="0"/>
                    <w:jc w:val="center"/>
                    <w:rPr>
                      <w:rFonts w:hint="eastAsia"/>
                      <w:b/>
                      <w:bCs/>
                      <w:sz w:val="24"/>
                      <w:highlight w:val="none"/>
                    </w:rPr>
                  </w:pPr>
                  <w:r>
                    <w:rPr>
                      <w:rFonts w:hint="eastAsia"/>
                      <w:b/>
                      <w:bCs/>
                      <w:sz w:val="24"/>
                      <w:highlight w:val="none"/>
                    </w:rPr>
                    <w:t>地理坐标</w:t>
                  </w:r>
                </w:p>
              </w:tc>
              <w:tc>
                <w:tcPr>
                  <w:tcW w:w="839" w:type="pct"/>
                  <w:tcBorders>
                    <w:tl2br w:val="nil"/>
                    <w:tr2bl w:val="nil"/>
                  </w:tcBorders>
                </w:tcPr>
                <w:p>
                  <w:pPr>
                    <w:adjustRightInd w:val="0"/>
                    <w:snapToGrid w:val="0"/>
                    <w:jc w:val="center"/>
                    <w:rPr>
                      <w:rFonts w:hint="eastAsia"/>
                      <w:sz w:val="24"/>
                      <w:highlight w:val="none"/>
                    </w:rPr>
                  </w:pPr>
                  <w:r>
                    <w:rPr>
                      <w:rFonts w:hint="eastAsia"/>
                      <w:sz w:val="24"/>
                      <w:highlight w:val="none"/>
                    </w:rPr>
                    <w:t>经度</w:t>
                  </w:r>
                </w:p>
              </w:tc>
              <w:tc>
                <w:tcPr>
                  <w:tcW w:w="1007" w:type="pct"/>
                  <w:tcBorders>
                    <w:tl2br w:val="nil"/>
                    <w:tr2bl w:val="nil"/>
                  </w:tcBorders>
                </w:tcPr>
                <w:p>
                  <w:pPr>
                    <w:adjustRightInd w:val="0"/>
                    <w:snapToGrid w:val="0"/>
                    <w:jc w:val="center"/>
                    <w:rPr>
                      <w:rFonts w:hint="eastAsia"/>
                      <w:sz w:val="24"/>
                      <w:highlight w:val="none"/>
                    </w:rPr>
                  </w:pPr>
                  <w:r>
                    <w:rPr>
                      <w:rFonts w:hint="eastAsia"/>
                      <w:sz w:val="24"/>
                      <w:highlight w:val="none"/>
                    </w:rPr>
                    <w:t>120°43′91</w:t>
                  </w:r>
                  <w:r>
                    <w:rPr>
                      <w:rFonts w:hint="eastAsia"/>
                      <w:sz w:val="24"/>
                      <w:highlight w:val="none"/>
                      <w:lang w:val="en-US" w:eastAsia="zh-CN"/>
                    </w:rPr>
                    <w:t>.</w:t>
                  </w:r>
                  <w:r>
                    <w:rPr>
                      <w:rFonts w:hint="eastAsia"/>
                      <w:sz w:val="24"/>
                      <w:highlight w:val="none"/>
                    </w:rPr>
                    <w:t>62″</w:t>
                  </w:r>
                </w:p>
              </w:tc>
              <w:tc>
                <w:tcPr>
                  <w:tcW w:w="776" w:type="pct"/>
                  <w:tcBorders>
                    <w:tl2br w:val="nil"/>
                    <w:tr2bl w:val="nil"/>
                  </w:tcBorders>
                </w:tcPr>
                <w:p>
                  <w:pPr>
                    <w:adjustRightInd w:val="0"/>
                    <w:snapToGrid w:val="0"/>
                    <w:jc w:val="center"/>
                    <w:rPr>
                      <w:rFonts w:hint="eastAsia"/>
                      <w:sz w:val="24"/>
                      <w:highlight w:val="none"/>
                    </w:rPr>
                  </w:pPr>
                  <w:r>
                    <w:rPr>
                      <w:rFonts w:hint="eastAsia"/>
                      <w:sz w:val="24"/>
                      <w:highlight w:val="none"/>
                    </w:rPr>
                    <w:t>纬度</w:t>
                  </w:r>
                </w:p>
              </w:tc>
              <w:tc>
                <w:tcPr>
                  <w:tcW w:w="1200" w:type="pct"/>
                  <w:tcBorders>
                    <w:tl2br w:val="nil"/>
                    <w:tr2bl w:val="nil"/>
                  </w:tcBorders>
                </w:tcPr>
                <w:p>
                  <w:pPr>
                    <w:adjustRightInd w:val="0"/>
                    <w:snapToGrid w:val="0"/>
                    <w:jc w:val="center"/>
                    <w:rPr>
                      <w:rFonts w:hint="eastAsia"/>
                      <w:sz w:val="24"/>
                      <w:highlight w:val="none"/>
                    </w:rPr>
                  </w:pPr>
                  <w:r>
                    <w:rPr>
                      <w:rFonts w:hint="eastAsia"/>
                      <w:sz w:val="24"/>
                      <w:highlight w:val="none"/>
                    </w:rPr>
                    <w:t>31°</w:t>
                  </w:r>
                  <w:r>
                    <w:rPr>
                      <w:rFonts w:hint="eastAsia"/>
                      <w:sz w:val="24"/>
                      <w:highlight w:val="none"/>
                      <w:lang w:val="en-US" w:eastAsia="zh-CN"/>
                    </w:rPr>
                    <w:t>31</w:t>
                  </w:r>
                  <w:r>
                    <w:rPr>
                      <w:rFonts w:hint="eastAsia"/>
                      <w:sz w:val="24"/>
                      <w:highlight w:val="none"/>
                    </w:rPr>
                    <w:t>′</w:t>
                  </w:r>
                  <w:r>
                    <w:rPr>
                      <w:rFonts w:hint="eastAsia"/>
                      <w:sz w:val="24"/>
                      <w:highlight w:val="none"/>
                      <w:lang w:val="en-US" w:eastAsia="zh-CN"/>
                    </w:rPr>
                    <w:t>50</w:t>
                  </w:r>
                  <w:r>
                    <w:rPr>
                      <w:rFonts w:hint="eastAsia"/>
                      <w:sz w:val="24"/>
                      <w:highlight w:val="none"/>
                    </w:rPr>
                    <w:t>.</w:t>
                  </w:r>
                  <w:r>
                    <w:rPr>
                      <w:rFonts w:hint="eastAsia"/>
                      <w:sz w:val="24"/>
                      <w:highlight w:val="none"/>
                      <w:lang w:val="en-US" w:eastAsia="zh-CN"/>
                    </w:rPr>
                    <w:t>37</w:t>
                  </w:r>
                  <w:r>
                    <w:rPr>
                      <w:rFonts w:hint="eastAsia"/>
                      <w:sz w:val="24"/>
                      <w:highlight w:val="none"/>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177" w:type="pct"/>
                  <w:tcBorders>
                    <w:tl2br w:val="nil"/>
                    <w:tr2bl w:val="nil"/>
                  </w:tcBorders>
                  <w:vAlign w:val="center"/>
                </w:tcPr>
                <w:p>
                  <w:pPr>
                    <w:adjustRightInd w:val="0"/>
                    <w:snapToGrid w:val="0"/>
                    <w:jc w:val="center"/>
                    <w:rPr>
                      <w:rFonts w:hint="eastAsia"/>
                      <w:b/>
                      <w:bCs/>
                      <w:sz w:val="24"/>
                      <w:highlight w:val="none"/>
                    </w:rPr>
                  </w:pPr>
                  <w:r>
                    <w:rPr>
                      <w:rFonts w:hint="eastAsia"/>
                      <w:b/>
                      <w:bCs/>
                      <w:sz w:val="24"/>
                      <w:highlight w:val="none"/>
                    </w:rPr>
                    <w:t>主要危险物质及分布</w:t>
                  </w:r>
                </w:p>
              </w:tc>
              <w:tc>
                <w:tcPr>
                  <w:tcW w:w="3823" w:type="pct"/>
                  <w:gridSpan w:val="4"/>
                  <w:tcBorders>
                    <w:tl2br w:val="nil"/>
                    <w:tr2bl w:val="nil"/>
                  </w:tcBorders>
                </w:tcPr>
                <w:p>
                  <w:pPr>
                    <w:adjustRightInd w:val="0"/>
                    <w:snapToGrid w:val="0"/>
                    <w:jc w:val="center"/>
                    <w:rPr>
                      <w:rFonts w:hint="eastAsia"/>
                      <w:sz w:val="24"/>
                      <w:highlight w:val="none"/>
                    </w:rPr>
                  </w:pPr>
                  <w:r>
                    <w:rPr>
                      <w:rFonts w:hint="eastAsia"/>
                      <w:sz w:val="24"/>
                      <w:highlight w:val="none"/>
                    </w:rPr>
                    <w:t>项目原辅材料储存于原料仓库，危废贮存于危险废物贮存场所。</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177" w:type="pct"/>
                  <w:tcBorders>
                    <w:tl2br w:val="nil"/>
                    <w:tr2bl w:val="nil"/>
                  </w:tcBorders>
                  <w:vAlign w:val="center"/>
                </w:tcPr>
                <w:p>
                  <w:pPr>
                    <w:adjustRightInd w:val="0"/>
                    <w:snapToGrid w:val="0"/>
                    <w:jc w:val="center"/>
                    <w:rPr>
                      <w:rFonts w:hint="eastAsia"/>
                      <w:b/>
                      <w:bCs/>
                      <w:sz w:val="24"/>
                      <w:highlight w:val="none"/>
                    </w:rPr>
                  </w:pPr>
                  <w:r>
                    <w:rPr>
                      <w:rFonts w:hint="eastAsia"/>
                      <w:b/>
                      <w:bCs/>
                      <w:sz w:val="24"/>
                      <w:highlight w:val="none"/>
                    </w:rPr>
                    <w:t>环境影响途径及分布</w:t>
                  </w:r>
                </w:p>
              </w:tc>
              <w:tc>
                <w:tcPr>
                  <w:tcW w:w="3823" w:type="pct"/>
                  <w:gridSpan w:val="4"/>
                  <w:tcBorders>
                    <w:tl2br w:val="nil"/>
                    <w:tr2bl w:val="nil"/>
                  </w:tcBorders>
                </w:tcPr>
                <w:p>
                  <w:pPr>
                    <w:adjustRightInd w:val="0"/>
                    <w:snapToGrid w:val="0"/>
                    <w:jc w:val="center"/>
                    <w:rPr>
                      <w:rFonts w:hint="eastAsia"/>
                      <w:sz w:val="24"/>
                      <w:highlight w:val="none"/>
                    </w:rPr>
                  </w:pPr>
                  <w:r>
                    <w:rPr>
                      <w:rFonts w:hint="eastAsia"/>
                      <w:sz w:val="24"/>
                      <w:highlight w:val="none"/>
                    </w:rPr>
                    <w:t>原料储存及转运过程中发生泄漏。废水处理系统出现故障可能导致废水超标排放。</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177" w:type="pct"/>
                  <w:tcBorders>
                    <w:tl2br w:val="nil"/>
                    <w:tr2bl w:val="nil"/>
                  </w:tcBorders>
                  <w:vAlign w:val="center"/>
                </w:tcPr>
                <w:p>
                  <w:pPr>
                    <w:adjustRightInd w:val="0"/>
                    <w:snapToGrid w:val="0"/>
                    <w:jc w:val="center"/>
                    <w:rPr>
                      <w:rFonts w:hint="eastAsia"/>
                      <w:b/>
                      <w:bCs/>
                      <w:sz w:val="24"/>
                      <w:highlight w:val="none"/>
                    </w:rPr>
                  </w:pPr>
                  <w:r>
                    <w:rPr>
                      <w:rFonts w:hint="eastAsia"/>
                      <w:b/>
                      <w:bCs/>
                      <w:sz w:val="24"/>
                      <w:highlight w:val="none"/>
                    </w:rPr>
                    <w:t>风险防范措施要求</w:t>
                  </w:r>
                </w:p>
              </w:tc>
              <w:tc>
                <w:tcPr>
                  <w:tcW w:w="3823" w:type="pct"/>
                  <w:gridSpan w:val="4"/>
                  <w:tcBorders>
                    <w:tl2br w:val="nil"/>
                    <w:tr2bl w:val="nil"/>
                  </w:tcBorders>
                </w:tcPr>
                <w:p>
                  <w:pPr>
                    <w:adjustRightInd w:val="0"/>
                    <w:snapToGrid w:val="0"/>
                    <w:jc w:val="center"/>
                    <w:rPr>
                      <w:rFonts w:hint="eastAsia"/>
                      <w:sz w:val="24"/>
                      <w:highlight w:val="none"/>
                    </w:rPr>
                  </w:pPr>
                  <w:r>
                    <w:rPr>
                      <w:rFonts w:hint="eastAsia"/>
                      <w:sz w:val="24"/>
                      <w:highlight w:val="none"/>
                    </w:rPr>
                    <w:t>原料置于原料仓库中，定期检查；</w:t>
                  </w:r>
                </w:p>
                <w:p>
                  <w:pPr>
                    <w:adjustRightInd w:val="0"/>
                    <w:snapToGrid w:val="0"/>
                    <w:jc w:val="center"/>
                    <w:rPr>
                      <w:rFonts w:hint="eastAsia"/>
                      <w:sz w:val="24"/>
                      <w:highlight w:val="none"/>
                    </w:rPr>
                  </w:pPr>
                  <w:r>
                    <w:rPr>
                      <w:rFonts w:hint="eastAsia"/>
                      <w:sz w:val="24"/>
                      <w:highlight w:val="none"/>
                    </w:rPr>
                    <w:t>危废暂存场所严格按照《危险废物贮存污染控制标准》进行建设，做到防风、防雨、防扬洒、防渗漏等；</w:t>
                  </w:r>
                </w:p>
                <w:p>
                  <w:pPr>
                    <w:adjustRightInd w:val="0"/>
                    <w:snapToGrid w:val="0"/>
                    <w:jc w:val="center"/>
                    <w:rPr>
                      <w:rFonts w:hint="eastAsia"/>
                      <w:sz w:val="24"/>
                      <w:highlight w:val="none"/>
                    </w:rPr>
                  </w:pPr>
                  <w:r>
                    <w:rPr>
                      <w:rFonts w:hint="eastAsia"/>
                      <w:sz w:val="24"/>
                      <w:highlight w:val="none"/>
                    </w:rPr>
                    <w:t>配备各类应急物资和装备；</w:t>
                  </w:r>
                </w:p>
                <w:p>
                  <w:pPr>
                    <w:adjustRightInd w:val="0"/>
                    <w:snapToGrid w:val="0"/>
                    <w:jc w:val="center"/>
                    <w:rPr>
                      <w:rFonts w:hint="eastAsia"/>
                      <w:sz w:val="24"/>
                      <w:highlight w:val="none"/>
                    </w:rPr>
                  </w:pPr>
                  <w:r>
                    <w:rPr>
                      <w:rFonts w:hint="eastAsia"/>
                      <w:sz w:val="24"/>
                      <w:highlight w:val="none"/>
                    </w:rPr>
                    <w:t>制订应急预案，防范事故发生。</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000" w:type="pct"/>
                  <w:gridSpan w:val="5"/>
                  <w:tcBorders>
                    <w:tl2br w:val="nil"/>
                    <w:tr2bl w:val="nil"/>
                  </w:tcBorders>
                </w:tcPr>
                <w:p>
                  <w:pPr>
                    <w:jc w:val="left"/>
                    <w:rPr>
                      <w:bCs/>
                      <w:szCs w:val="21"/>
                      <w:highlight w:val="yellow"/>
                    </w:rPr>
                  </w:pPr>
                  <w:r>
                    <w:rPr>
                      <w:rFonts w:hint="eastAsia"/>
                      <w:sz w:val="24"/>
                      <w:highlight w:val="none"/>
                    </w:rPr>
                    <w:t>填表说明：苏州格瑞林达医疗科技有限公司新建器械部件生产项目位于苏州高新区科技城华佗路12号2号楼，投资</w:t>
                  </w:r>
                  <w:r>
                    <w:rPr>
                      <w:rFonts w:hint="eastAsia"/>
                      <w:sz w:val="24"/>
                      <w:highlight w:val="none"/>
                      <w:lang w:val="en-US" w:eastAsia="zh-CN"/>
                    </w:rPr>
                    <w:t>2000</w:t>
                  </w:r>
                  <w:r>
                    <w:rPr>
                      <w:rFonts w:hint="eastAsia"/>
                      <w:sz w:val="24"/>
                      <w:highlight w:val="none"/>
                    </w:rPr>
                    <w:t>万元，其中环保投资</w:t>
                  </w:r>
                  <w:r>
                    <w:rPr>
                      <w:rFonts w:hint="eastAsia"/>
                      <w:sz w:val="24"/>
                      <w:highlight w:val="none"/>
                      <w:lang w:val="en-US" w:eastAsia="zh-CN"/>
                    </w:rPr>
                    <w:t>50</w:t>
                  </w:r>
                  <w:r>
                    <w:rPr>
                      <w:rFonts w:hint="eastAsia"/>
                      <w:sz w:val="24"/>
                      <w:highlight w:val="none"/>
                    </w:rPr>
                    <w:t>万元。危险物质数量与临界量比值（Q）值＜1，项目环境风险潜势为Ⅰ，仅需对项目环境风险开展简单分析。落实提出的环境风险防范和应急措施后，项目环境风险可以接受。</w:t>
                  </w:r>
                </w:p>
              </w:tc>
            </w:tr>
          </w:tbl>
          <w:p>
            <w:pPr>
              <w:spacing w:line="360" w:lineRule="auto"/>
              <w:rPr>
                <w:rFonts w:hint="eastAsia"/>
                <w:sz w:val="24"/>
                <w:highlight w:val="yellow"/>
              </w:rPr>
            </w:pPr>
          </w:p>
        </w:tc>
      </w:tr>
    </w:tbl>
    <w:p>
      <w:pPr>
        <w:adjustRightInd w:val="0"/>
        <w:snapToGrid w:val="0"/>
        <w:spacing w:line="360" w:lineRule="auto"/>
        <w:rPr>
          <w:b/>
          <w:kern w:val="0"/>
          <w:sz w:val="28"/>
          <w:szCs w:val="28"/>
          <w:highlight w:val="yellow"/>
        </w:rPr>
        <w:sectPr>
          <w:pgSz w:w="11907" w:h="16840"/>
          <w:pgMar w:top="1701" w:right="1531" w:bottom="2127" w:left="1531" w:header="851" w:footer="851" w:gutter="0"/>
          <w:cols w:space="720" w:num="1"/>
          <w:docGrid w:linePitch="312" w:charSpace="0"/>
        </w:sectPr>
      </w:pPr>
    </w:p>
    <w:p>
      <w:pPr>
        <w:pStyle w:val="19"/>
        <w:spacing w:before="0" w:beforeAutospacing="0" w:after="0" w:afterAutospacing="0"/>
        <w:jc w:val="center"/>
        <w:outlineLvl w:val="0"/>
        <w:rPr>
          <w:rFonts w:ascii="Times New Roman" w:hAnsi="Times New Roman" w:eastAsia="黑体"/>
          <w:snapToGrid w:val="0"/>
          <w:sz w:val="30"/>
          <w:szCs w:val="30"/>
          <w:highlight w:val="none"/>
        </w:rPr>
      </w:pPr>
      <w:bookmarkStart w:id="14" w:name="_Toc86311619"/>
      <w:r>
        <w:rPr>
          <w:rFonts w:ascii="Times New Roman" w:hAnsi="Times New Roman" w:eastAsia="黑体"/>
          <w:snapToGrid w:val="0"/>
          <w:sz w:val="30"/>
          <w:szCs w:val="30"/>
          <w:highlight w:val="none"/>
        </w:rPr>
        <w:t>五、</w:t>
      </w:r>
      <w:bookmarkStart w:id="15" w:name="_Hlk54167917"/>
      <w:r>
        <w:rPr>
          <w:rFonts w:ascii="Times New Roman" w:hAnsi="Times New Roman" w:eastAsia="黑体"/>
          <w:snapToGrid w:val="0"/>
          <w:sz w:val="30"/>
          <w:szCs w:val="30"/>
          <w:highlight w:val="none"/>
        </w:rPr>
        <w:t>环境保护措施监督检查清单</w:t>
      </w:r>
      <w:bookmarkEnd w:id="14"/>
      <w:bookmarkEnd w:id="15"/>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701"/>
        <w:gridCol w:w="1788"/>
        <w:gridCol w:w="1756"/>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1" w:type="dxa"/>
            <w:tcBorders>
              <w:tl2br w:val="single" w:color="auto" w:sz="4" w:space="0"/>
            </w:tcBorders>
          </w:tcPr>
          <w:p>
            <w:pPr>
              <w:adjustRightInd w:val="0"/>
              <w:snapToGrid w:val="0"/>
              <w:jc w:val="center"/>
              <w:rPr>
                <w:rFonts w:hint="eastAsia"/>
                <w:b/>
                <w:bCs/>
                <w:sz w:val="24"/>
                <w:highlight w:val="none"/>
                <w:lang w:eastAsia="zh-CN"/>
              </w:rPr>
            </w:pPr>
            <w:r>
              <w:rPr>
                <w:rFonts w:hint="eastAsia"/>
                <w:b/>
                <w:bCs/>
                <w:sz w:val="24"/>
                <w:highlight w:val="none"/>
                <w:lang w:eastAsia="zh-CN"/>
              </w:rPr>
              <w:t>内容</w:t>
            </w:r>
          </w:p>
          <w:p>
            <w:pPr>
              <w:adjustRightInd w:val="0"/>
              <w:snapToGrid w:val="0"/>
              <w:jc w:val="center"/>
              <w:rPr>
                <w:rFonts w:hint="eastAsia"/>
                <w:b/>
                <w:bCs/>
                <w:sz w:val="24"/>
                <w:highlight w:val="none"/>
                <w:lang w:eastAsia="zh-CN"/>
              </w:rPr>
            </w:pPr>
            <w:r>
              <w:rPr>
                <w:rFonts w:hint="eastAsia"/>
                <w:b/>
                <w:bCs/>
                <w:sz w:val="24"/>
                <w:highlight w:val="none"/>
                <w:lang w:eastAsia="zh-CN"/>
              </w:rPr>
              <w:t>要素</w:t>
            </w:r>
          </w:p>
        </w:tc>
        <w:tc>
          <w:tcPr>
            <w:tcW w:w="1701" w:type="dxa"/>
            <w:vAlign w:val="center"/>
          </w:tcPr>
          <w:p>
            <w:pPr>
              <w:adjustRightInd w:val="0"/>
              <w:snapToGrid w:val="0"/>
              <w:jc w:val="center"/>
              <w:rPr>
                <w:rFonts w:hint="eastAsia"/>
                <w:b/>
                <w:bCs/>
                <w:sz w:val="24"/>
                <w:highlight w:val="none"/>
                <w:lang w:eastAsia="zh-CN"/>
              </w:rPr>
            </w:pPr>
            <w:r>
              <w:rPr>
                <w:rFonts w:hint="eastAsia"/>
                <w:b/>
                <w:bCs/>
                <w:sz w:val="24"/>
                <w:highlight w:val="none"/>
                <w:lang w:eastAsia="zh-CN"/>
              </w:rPr>
              <w:t>排放口(编号、名称)/污染源</w:t>
            </w:r>
          </w:p>
        </w:tc>
        <w:tc>
          <w:tcPr>
            <w:tcW w:w="1788" w:type="dxa"/>
            <w:vAlign w:val="center"/>
          </w:tcPr>
          <w:p>
            <w:pPr>
              <w:adjustRightInd w:val="0"/>
              <w:snapToGrid w:val="0"/>
              <w:jc w:val="center"/>
              <w:rPr>
                <w:rFonts w:hint="eastAsia"/>
                <w:b/>
                <w:bCs/>
                <w:sz w:val="24"/>
                <w:highlight w:val="none"/>
                <w:lang w:eastAsia="zh-CN"/>
              </w:rPr>
            </w:pPr>
            <w:r>
              <w:rPr>
                <w:rFonts w:hint="eastAsia"/>
                <w:b/>
                <w:bCs/>
                <w:sz w:val="24"/>
                <w:highlight w:val="none"/>
                <w:lang w:eastAsia="zh-CN"/>
              </w:rPr>
              <w:t>污染物项目</w:t>
            </w:r>
          </w:p>
        </w:tc>
        <w:tc>
          <w:tcPr>
            <w:tcW w:w="1756" w:type="dxa"/>
            <w:vAlign w:val="center"/>
          </w:tcPr>
          <w:p>
            <w:pPr>
              <w:adjustRightInd w:val="0"/>
              <w:snapToGrid w:val="0"/>
              <w:jc w:val="center"/>
              <w:rPr>
                <w:rFonts w:hint="eastAsia"/>
                <w:b/>
                <w:bCs/>
                <w:sz w:val="24"/>
                <w:highlight w:val="none"/>
                <w:lang w:eastAsia="zh-CN"/>
              </w:rPr>
            </w:pPr>
            <w:r>
              <w:rPr>
                <w:rFonts w:hint="eastAsia"/>
                <w:b/>
                <w:bCs/>
                <w:sz w:val="24"/>
                <w:highlight w:val="none"/>
                <w:lang w:eastAsia="zh-CN"/>
              </w:rPr>
              <w:t>环境保护措施</w:t>
            </w:r>
          </w:p>
        </w:tc>
        <w:tc>
          <w:tcPr>
            <w:tcW w:w="1864" w:type="dxa"/>
            <w:vAlign w:val="center"/>
          </w:tcPr>
          <w:p>
            <w:pPr>
              <w:adjustRightInd w:val="0"/>
              <w:snapToGrid w:val="0"/>
              <w:jc w:val="center"/>
              <w:rPr>
                <w:rFonts w:hint="eastAsia"/>
                <w:b/>
                <w:bCs/>
                <w:sz w:val="24"/>
                <w:highlight w:val="none"/>
                <w:lang w:eastAsia="zh-CN"/>
              </w:rPr>
            </w:pPr>
            <w:r>
              <w:rPr>
                <w:rFonts w:hint="eastAsia"/>
                <w:b/>
                <w:bCs/>
                <w:sz w:val="24"/>
                <w:highlight w:val="none"/>
                <w:lang w:eastAsia="zh-CN"/>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1" w:type="dxa"/>
            <w:vAlign w:val="center"/>
          </w:tcPr>
          <w:p>
            <w:pPr>
              <w:adjustRightInd w:val="0"/>
              <w:snapToGrid w:val="0"/>
              <w:jc w:val="center"/>
              <w:rPr>
                <w:rFonts w:hint="eastAsia"/>
                <w:sz w:val="24"/>
                <w:highlight w:val="none"/>
                <w:lang w:eastAsia="zh-CN"/>
              </w:rPr>
            </w:pPr>
            <w:r>
              <w:rPr>
                <w:rFonts w:hint="eastAsia"/>
                <w:sz w:val="24"/>
                <w:highlight w:val="none"/>
                <w:lang w:eastAsia="zh-CN"/>
              </w:rPr>
              <w:t>大气环境</w:t>
            </w:r>
          </w:p>
        </w:tc>
        <w:tc>
          <w:tcPr>
            <w:tcW w:w="1701" w:type="dxa"/>
            <w:vAlign w:val="center"/>
          </w:tcPr>
          <w:p>
            <w:pPr>
              <w:adjustRightInd w:val="0"/>
              <w:snapToGrid w:val="0"/>
              <w:jc w:val="center"/>
              <w:rPr>
                <w:rFonts w:hint="default"/>
                <w:sz w:val="24"/>
                <w:highlight w:val="none"/>
                <w:lang w:val="en-US" w:eastAsia="zh-CN"/>
              </w:rPr>
            </w:pPr>
            <w:r>
              <w:rPr>
                <w:rFonts w:hint="eastAsia"/>
                <w:sz w:val="24"/>
                <w:highlight w:val="none"/>
                <w:lang w:val="en-US" w:eastAsia="zh-CN"/>
              </w:rPr>
              <w:t>1#排气筒</w:t>
            </w:r>
          </w:p>
        </w:tc>
        <w:tc>
          <w:tcPr>
            <w:tcW w:w="1788" w:type="dxa"/>
            <w:vAlign w:val="center"/>
          </w:tcPr>
          <w:p>
            <w:pPr>
              <w:adjustRightInd w:val="0"/>
              <w:snapToGrid w:val="0"/>
              <w:jc w:val="center"/>
              <w:rPr>
                <w:rFonts w:hint="eastAsia"/>
                <w:sz w:val="24"/>
                <w:highlight w:val="none"/>
                <w:lang w:eastAsia="zh-CN"/>
              </w:rPr>
            </w:pPr>
            <w:r>
              <w:rPr>
                <w:rFonts w:hint="eastAsia"/>
                <w:sz w:val="24"/>
                <w:highlight w:val="none"/>
                <w:lang w:val="en-US" w:eastAsia="zh-CN"/>
              </w:rPr>
              <w:t>非甲烷总烃、颗粒物、苯乙烯、丙烯腈</w:t>
            </w:r>
          </w:p>
        </w:tc>
        <w:tc>
          <w:tcPr>
            <w:tcW w:w="1756" w:type="dxa"/>
            <w:vAlign w:val="center"/>
          </w:tcPr>
          <w:p>
            <w:pPr>
              <w:adjustRightInd w:val="0"/>
              <w:snapToGrid w:val="0"/>
              <w:jc w:val="center"/>
              <w:rPr>
                <w:rFonts w:hint="eastAsia"/>
                <w:sz w:val="24"/>
                <w:highlight w:val="none"/>
                <w:lang w:eastAsia="zh-CN"/>
              </w:rPr>
            </w:pPr>
            <w:r>
              <w:rPr>
                <w:rFonts w:hint="eastAsia"/>
                <w:sz w:val="24"/>
                <w:highlight w:val="none"/>
                <w:lang w:eastAsia="zh-CN"/>
              </w:rPr>
              <w:t>二级活性炭吸附</w:t>
            </w:r>
          </w:p>
        </w:tc>
        <w:tc>
          <w:tcPr>
            <w:tcW w:w="1864" w:type="dxa"/>
            <w:vAlign w:val="center"/>
          </w:tcPr>
          <w:p>
            <w:pPr>
              <w:adjustRightInd w:val="0"/>
              <w:snapToGrid w:val="0"/>
              <w:jc w:val="center"/>
              <w:rPr>
                <w:rFonts w:hint="eastAsia"/>
                <w:sz w:val="24"/>
                <w:highlight w:val="none"/>
                <w:lang w:eastAsia="zh-CN"/>
              </w:rPr>
            </w:pPr>
            <w:r>
              <w:rPr>
                <w:rFonts w:hint="default"/>
                <w:sz w:val="24"/>
                <w:highlight w:val="none"/>
                <w:lang w:eastAsia="zh-CN"/>
              </w:rPr>
              <w:t>《大气污染物综合排放标准》（DB32/4041-2021）表1标准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1" w:type="dxa"/>
            <w:vMerge w:val="restart"/>
            <w:vAlign w:val="center"/>
          </w:tcPr>
          <w:p>
            <w:pPr>
              <w:adjustRightInd w:val="0"/>
              <w:snapToGrid w:val="0"/>
              <w:jc w:val="center"/>
              <w:rPr>
                <w:rFonts w:hint="eastAsia"/>
                <w:sz w:val="24"/>
                <w:highlight w:val="none"/>
                <w:lang w:eastAsia="zh-CN"/>
              </w:rPr>
            </w:pPr>
            <w:r>
              <w:rPr>
                <w:rFonts w:hint="eastAsia"/>
                <w:sz w:val="24"/>
                <w:highlight w:val="none"/>
                <w:lang w:eastAsia="zh-CN"/>
              </w:rPr>
              <w:t>地表水环境</w:t>
            </w:r>
          </w:p>
        </w:tc>
        <w:tc>
          <w:tcPr>
            <w:tcW w:w="1701" w:type="dxa"/>
            <w:vAlign w:val="center"/>
          </w:tcPr>
          <w:p>
            <w:pPr>
              <w:adjustRightInd w:val="0"/>
              <w:snapToGrid w:val="0"/>
              <w:jc w:val="center"/>
              <w:rPr>
                <w:rFonts w:hint="eastAsia"/>
                <w:sz w:val="24"/>
                <w:highlight w:val="none"/>
                <w:lang w:eastAsia="zh-CN"/>
              </w:rPr>
            </w:pPr>
            <w:r>
              <w:rPr>
                <w:rFonts w:hint="eastAsia"/>
                <w:sz w:val="24"/>
                <w:highlight w:val="none"/>
                <w:lang w:eastAsia="zh-CN"/>
              </w:rPr>
              <w:t>生活污水</w:t>
            </w:r>
          </w:p>
        </w:tc>
        <w:tc>
          <w:tcPr>
            <w:tcW w:w="1788" w:type="dxa"/>
            <w:vAlign w:val="center"/>
          </w:tcPr>
          <w:p>
            <w:pPr>
              <w:adjustRightInd w:val="0"/>
              <w:snapToGrid w:val="0"/>
              <w:jc w:val="center"/>
              <w:rPr>
                <w:rFonts w:hint="eastAsia"/>
                <w:sz w:val="24"/>
                <w:highlight w:val="none"/>
                <w:lang w:eastAsia="zh-CN"/>
              </w:rPr>
            </w:pPr>
            <w:r>
              <w:rPr>
                <w:rFonts w:hint="eastAsia"/>
                <w:sz w:val="24"/>
                <w:highlight w:val="none"/>
                <w:lang w:eastAsia="zh-CN"/>
              </w:rPr>
              <w:t>pH、COD、SS、NH3-N、TP</w:t>
            </w:r>
          </w:p>
        </w:tc>
        <w:tc>
          <w:tcPr>
            <w:tcW w:w="1756" w:type="dxa"/>
            <w:vAlign w:val="center"/>
          </w:tcPr>
          <w:p>
            <w:pPr>
              <w:adjustRightInd w:val="0"/>
              <w:snapToGrid w:val="0"/>
              <w:jc w:val="center"/>
              <w:rPr>
                <w:rFonts w:hint="eastAsia"/>
                <w:sz w:val="24"/>
                <w:highlight w:val="none"/>
                <w:lang w:eastAsia="zh-CN"/>
              </w:rPr>
            </w:pPr>
            <w:r>
              <w:rPr>
                <w:rFonts w:hint="eastAsia"/>
                <w:sz w:val="24"/>
                <w:highlight w:val="none"/>
                <w:lang w:eastAsia="zh-CN"/>
              </w:rPr>
              <w:t>生活污水接管科技城水质净化厂进行处理</w:t>
            </w:r>
          </w:p>
        </w:tc>
        <w:tc>
          <w:tcPr>
            <w:tcW w:w="1864" w:type="dxa"/>
            <w:vAlign w:val="center"/>
          </w:tcPr>
          <w:p>
            <w:pPr>
              <w:adjustRightInd w:val="0"/>
              <w:snapToGrid w:val="0"/>
              <w:jc w:val="center"/>
              <w:rPr>
                <w:rFonts w:hint="eastAsia"/>
                <w:sz w:val="24"/>
                <w:highlight w:val="none"/>
                <w:lang w:val="en-US" w:eastAsia="zh-CN"/>
              </w:rPr>
            </w:pPr>
            <w:r>
              <w:rPr>
                <w:rFonts w:hint="default"/>
                <w:sz w:val="24"/>
                <w:highlight w:val="none"/>
                <w:lang w:eastAsia="zh-CN"/>
              </w:rPr>
              <w:t>《污水综合排放标准》（GB8978-1996）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1" w:type="dxa"/>
            <w:vMerge w:val="continue"/>
            <w:vAlign w:val="center"/>
          </w:tcPr>
          <w:p>
            <w:pPr>
              <w:adjustRightInd w:val="0"/>
              <w:snapToGrid w:val="0"/>
              <w:jc w:val="center"/>
              <w:rPr>
                <w:rFonts w:hint="eastAsia"/>
                <w:sz w:val="24"/>
                <w:highlight w:val="none"/>
                <w:lang w:eastAsia="zh-CN"/>
              </w:rPr>
            </w:pPr>
          </w:p>
        </w:tc>
        <w:tc>
          <w:tcPr>
            <w:tcW w:w="1701" w:type="dxa"/>
            <w:vAlign w:val="center"/>
          </w:tcPr>
          <w:p>
            <w:pPr>
              <w:adjustRightInd w:val="0"/>
              <w:snapToGrid w:val="0"/>
              <w:jc w:val="center"/>
              <w:rPr>
                <w:rFonts w:hint="eastAsia"/>
                <w:sz w:val="24"/>
                <w:highlight w:val="none"/>
                <w:lang w:eastAsia="zh-CN"/>
              </w:rPr>
            </w:pPr>
            <w:r>
              <w:rPr>
                <w:rFonts w:hint="eastAsia"/>
                <w:sz w:val="24"/>
                <w:highlight w:val="none"/>
                <w:lang w:eastAsia="zh-CN"/>
              </w:rPr>
              <w:t>冷却废水</w:t>
            </w:r>
          </w:p>
        </w:tc>
        <w:tc>
          <w:tcPr>
            <w:tcW w:w="1788" w:type="dxa"/>
            <w:vAlign w:val="center"/>
          </w:tcPr>
          <w:p>
            <w:pPr>
              <w:adjustRightInd w:val="0"/>
              <w:snapToGrid w:val="0"/>
              <w:jc w:val="center"/>
              <w:rPr>
                <w:rFonts w:hint="eastAsia"/>
                <w:sz w:val="24"/>
                <w:highlight w:val="none"/>
                <w:lang w:eastAsia="zh-CN"/>
              </w:rPr>
            </w:pPr>
            <w:r>
              <w:rPr>
                <w:rFonts w:hint="eastAsia"/>
                <w:sz w:val="24"/>
                <w:highlight w:val="none"/>
                <w:lang w:eastAsia="zh-CN"/>
              </w:rPr>
              <w:t>COD、SS</w:t>
            </w:r>
          </w:p>
        </w:tc>
        <w:tc>
          <w:tcPr>
            <w:tcW w:w="1756" w:type="dxa"/>
            <w:vAlign w:val="center"/>
          </w:tcPr>
          <w:p>
            <w:pPr>
              <w:adjustRightInd w:val="0"/>
              <w:snapToGrid w:val="0"/>
              <w:jc w:val="center"/>
              <w:rPr>
                <w:rFonts w:hint="eastAsia"/>
                <w:sz w:val="24"/>
                <w:highlight w:val="none"/>
                <w:lang w:eastAsia="zh-CN"/>
              </w:rPr>
            </w:pPr>
            <w:r>
              <w:rPr>
                <w:rFonts w:hint="eastAsia"/>
                <w:sz w:val="24"/>
                <w:highlight w:val="none"/>
                <w:lang w:eastAsia="zh-CN"/>
              </w:rPr>
              <w:t>冷却废水接管科技城水质净化厂进行处理</w:t>
            </w:r>
          </w:p>
        </w:tc>
        <w:tc>
          <w:tcPr>
            <w:tcW w:w="1864" w:type="dxa"/>
            <w:vAlign w:val="center"/>
          </w:tcPr>
          <w:p>
            <w:pPr>
              <w:adjustRightInd w:val="0"/>
              <w:snapToGrid w:val="0"/>
              <w:jc w:val="center"/>
              <w:rPr>
                <w:rFonts w:hint="eastAsia"/>
                <w:sz w:val="24"/>
                <w:highlight w:val="none"/>
                <w:lang w:eastAsia="zh-CN"/>
              </w:rPr>
            </w:pPr>
            <w:r>
              <w:rPr>
                <w:rFonts w:hint="default"/>
                <w:sz w:val="24"/>
                <w:highlight w:val="none"/>
                <w:lang w:eastAsia="zh-CN"/>
              </w:rPr>
              <w:t>《污水综合排放标准》（GB8978-1996）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1" w:type="dxa"/>
            <w:vAlign w:val="center"/>
          </w:tcPr>
          <w:p>
            <w:pPr>
              <w:adjustRightInd w:val="0"/>
              <w:snapToGrid w:val="0"/>
              <w:jc w:val="center"/>
              <w:rPr>
                <w:rFonts w:hint="eastAsia"/>
                <w:sz w:val="24"/>
                <w:highlight w:val="none"/>
                <w:lang w:eastAsia="zh-CN"/>
              </w:rPr>
            </w:pPr>
            <w:r>
              <w:rPr>
                <w:rFonts w:hint="eastAsia"/>
                <w:sz w:val="24"/>
                <w:highlight w:val="none"/>
                <w:lang w:eastAsia="zh-CN"/>
              </w:rPr>
              <w:t>声环境</w:t>
            </w:r>
          </w:p>
        </w:tc>
        <w:tc>
          <w:tcPr>
            <w:tcW w:w="1701" w:type="dxa"/>
            <w:vAlign w:val="center"/>
          </w:tcPr>
          <w:p>
            <w:pPr>
              <w:adjustRightInd w:val="0"/>
              <w:snapToGrid w:val="0"/>
              <w:jc w:val="center"/>
              <w:rPr>
                <w:rFonts w:hint="eastAsia"/>
                <w:sz w:val="24"/>
                <w:highlight w:val="none"/>
                <w:lang w:eastAsia="zh-CN"/>
              </w:rPr>
            </w:pPr>
            <w:r>
              <w:rPr>
                <w:rFonts w:hint="eastAsia"/>
                <w:sz w:val="24"/>
                <w:highlight w:val="none"/>
                <w:lang w:eastAsia="zh-CN"/>
              </w:rPr>
              <w:t>边界</w:t>
            </w:r>
          </w:p>
        </w:tc>
        <w:tc>
          <w:tcPr>
            <w:tcW w:w="1788" w:type="dxa"/>
            <w:vAlign w:val="center"/>
          </w:tcPr>
          <w:p>
            <w:pPr>
              <w:adjustRightInd w:val="0"/>
              <w:snapToGrid w:val="0"/>
              <w:jc w:val="center"/>
              <w:rPr>
                <w:rFonts w:hint="eastAsia"/>
                <w:sz w:val="24"/>
                <w:highlight w:val="none"/>
                <w:lang w:eastAsia="zh-CN"/>
              </w:rPr>
            </w:pPr>
            <w:r>
              <w:rPr>
                <w:rFonts w:hint="eastAsia"/>
                <w:sz w:val="24"/>
                <w:highlight w:val="none"/>
                <w:lang w:eastAsia="zh-CN"/>
              </w:rPr>
              <w:t>等效A声级</w:t>
            </w:r>
          </w:p>
        </w:tc>
        <w:tc>
          <w:tcPr>
            <w:tcW w:w="1756" w:type="dxa"/>
            <w:vAlign w:val="center"/>
          </w:tcPr>
          <w:p>
            <w:pPr>
              <w:adjustRightInd w:val="0"/>
              <w:snapToGrid w:val="0"/>
              <w:jc w:val="center"/>
              <w:rPr>
                <w:rFonts w:hint="eastAsia"/>
                <w:sz w:val="24"/>
                <w:highlight w:val="none"/>
                <w:lang w:eastAsia="zh-CN"/>
              </w:rPr>
            </w:pPr>
            <w:r>
              <w:rPr>
                <w:rFonts w:hint="eastAsia"/>
                <w:sz w:val="24"/>
                <w:highlight w:val="none"/>
                <w:lang w:eastAsia="zh-CN"/>
              </w:rPr>
              <w:t>隔声减震</w:t>
            </w:r>
          </w:p>
        </w:tc>
        <w:tc>
          <w:tcPr>
            <w:tcW w:w="1864" w:type="dxa"/>
            <w:vAlign w:val="center"/>
          </w:tcPr>
          <w:p>
            <w:pPr>
              <w:adjustRightInd w:val="0"/>
              <w:snapToGrid w:val="0"/>
              <w:jc w:val="center"/>
              <w:rPr>
                <w:rFonts w:hint="eastAsia"/>
                <w:sz w:val="24"/>
                <w:highlight w:val="none"/>
                <w:lang w:eastAsia="zh-CN"/>
              </w:rPr>
            </w:pPr>
            <w:r>
              <w:rPr>
                <w:rFonts w:hint="eastAsia"/>
                <w:sz w:val="24"/>
                <w:highlight w:val="none"/>
                <w:lang w:eastAsia="zh-CN"/>
              </w:rPr>
              <w:t>《社会生活环境噪声排放标准》（GB22337-2008）</w:t>
            </w:r>
            <w:r>
              <w:rPr>
                <w:rFonts w:hint="eastAsia"/>
                <w:sz w:val="24"/>
                <w:highlight w:val="none"/>
                <w:lang w:val="en-US" w:eastAsia="zh-CN"/>
              </w:rPr>
              <w:t>3</w:t>
            </w:r>
            <w:r>
              <w:rPr>
                <w:rFonts w:hint="eastAsia"/>
                <w:sz w:val="24"/>
                <w:highlight w:val="none"/>
                <w:lang w:eastAsia="zh-CN"/>
              </w:rPr>
              <w:t>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1" w:type="dxa"/>
            <w:vAlign w:val="center"/>
          </w:tcPr>
          <w:p>
            <w:pPr>
              <w:adjustRightInd w:val="0"/>
              <w:snapToGrid w:val="0"/>
              <w:jc w:val="center"/>
              <w:rPr>
                <w:rFonts w:hint="eastAsia"/>
                <w:sz w:val="24"/>
                <w:highlight w:val="none"/>
                <w:lang w:eastAsia="zh-CN"/>
              </w:rPr>
            </w:pPr>
            <w:r>
              <w:rPr>
                <w:rFonts w:hint="eastAsia"/>
                <w:sz w:val="24"/>
                <w:highlight w:val="none"/>
                <w:lang w:eastAsia="zh-CN"/>
              </w:rPr>
              <w:t>电磁辐射</w:t>
            </w:r>
          </w:p>
        </w:tc>
        <w:tc>
          <w:tcPr>
            <w:tcW w:w="7109" w:type="dxa"/>
            <w:gridSpan w:val="4"/>
            <w:vAlign w:val="center"/>
          </w:tcPr>
          <w:p>
            <w:pPr>
              <w:adjustRightInd w:val="0"/>
              <w:snapToGrid w:val="0"/>
              <w:jc w:val="center"/>
              <w:rPr>
                <w:rFonts w:hint="eastAsia"/>
                <w:sz w:val="24"/>
                <w:highlight w:val="none"/>
                <w:lang w:eastAsia="zh-CN"/>
              </w:rPr>
            </w:pPr>
            <w:r>
              <w:rPr>
                <w:rFonts w:hint="eastAsia"/>
                <w:sz w:val="24"/>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1" w:type="dxa"/>
            <w:vAlign w:val="center"/>
          </w:tcPr>
          <w:p>
            <w:pPr>
              <w:adjustRightInd w:val="0"/>
              <w:snapToGrid w:val="0"/>
              <w:jc w:val="center"/>
              <w:rPr>
                <w:rFonts w:hint="eastAsia"/>
                <w:sz w:val="24"/>
                <w:highlight w:val="none"/>
                <w:lang w:eastAsia="zh-CN"/>
              </w:rPr>
            </w:pPr>
            <w:r>
              <w:rPr>
                <w:rFonts w:hint="eastAsia"/>
                <w:sz w:val="24"/>
                <w:highlight w:val="none"/>
                <w:lang w:eastAsia="zh-CN"/>
              </w:rPr>
              <w:t>固体废物</w:t>
            </w:r>
          </w:p>
        </w:tc>
        <w:tc>
          <w:tcPr>
            <w:tcW w:w="7109" w:type="dxa"/>
            <w:gridSpan w:val="4"/>
            <w:vAlign w:val="center"/>
          </w:tcPr>
          <w:p>
            <w:pPr>
              <w:adjustRightInd w:val="0"/>
              <w:snapToGrid w:val="0"/>
              <w:jc w:val="center"/>
              <w:rPr>
                <w:rFonts w:hint="eastAsia"/>
                <w:sz w:val="24"/>
                <w:highlight w:val="none"/>
                <w:lang w:eastAsia="zh-CN"/>
              </w:rPr>
            </w:pPr>
            <w:r>
              <w:rPr>
                <w:rFonts w:hint="eastAsia"/>
                <w:sz w:val="24"/>
                <w:highlight w:val="none"/>
                <w:lang w:eastAsia="zh-CN"/>
              </w:rPr>
              <w:t>一般工业固废收集，进行综合利用；一般固废暂存区按照《一般工业固体废物贮存和填埋污染控制标准》（GB18599-2020）的要求设置，地面与裙脚要用坚固、防渗的材料建造；设施内要有安全照明设施和观察窗口；禁止一般固废、生活垃圾和危险废物混放，必须分类收集、分开存放，并设有隔离间隔断；设施内要配有合理的通风设施，如排风扇、通风口等。</w:t>
            </w:r>
          </w:p>
          <w:p>
            <w:pPr>
              <w:adjustRightInd w:val="0"/>
              <w:snapToGrid w:val="0"/>
              <w:jc w:val="center"/>
              <w:rPr>
                <w:rFonts w:hint="eastAsia"/>
                <w:sz w:val="24"/>
                <w:highlight w:val="none"/>
                <w:lang w:eastAsia="zh-CN"/>
              </w:rPr>
            </w:pPr>
            <w:r>
              <w:rPr>
                <w:rFonts w:hint="eastAsia"/>
                <w:sz w:val="24"/>
                <w:highlight w:val="none"/>
                <w:lang w:eastAsia="zh-CN"/>
              </w:rPr>
              <w:t>危险废物暂存于厂区面积为</w:t>
            </w:r>
            <w:r>
              <w:rPr>
                <w:rFonts w:hint="eastAsia"/>
                <w:sz w:val="24"/>
                <w:highlight w:val="none"/>
                <w:lang w:val="en-US" w:eastAsia="zh-CN"/>
              </w:rPr>
              <w:t>10</w:t>
            </w:r>
            <w:r>
              <w:rPr>
                <w:rFonts w:hint="eastAsia"/>
                <w:sz w:val="24"/>
                <w:highlight w:val="none"/>
                <w:lang w:eastAsia="zh-CN"/>
              </w:rPr>
              <w:t>m2的危废暂存设施，委托有资质单位处理。危废暂存设施按照《危险废物贮存污染控制标准》（GB18597-2001）及其修改单的要求设置，地面与裙脚要用坚固、防渗的材料建造，建筑材料必须与危险废物相容。必须有泄漏液体收集装置、气体导出口及气体净化装置。设施内要有安全照明设施和观察窗口。用以存放装载液体、半固体危险废物容器的地方，必须有耐腐蚀的硬化地面，且表面无裂隙。应设计堵截泄漏的裙脚，地面与裙脚所围建的容积不低于堵截最大容器的最大储量或总储量的五分之一。不相容的危险废物必须分开存放，并设有隔离间隔断。</w:t>
            </w:r>
          </w:p>
          <w:p>
            <w:pPr>
              <w:adjustRightInd w:val="0"/>
              <w:snapToGrid w:val="0"/>
              <w:jc w:val="center"/>
              <w:rPr>
                <w:rFonts w:hint="eastAsia"/>
                <w:sz w:val="24"/>
                <w:highlight w:val="none"/>
                <w:lang w:val="en-US" w:eastAsia="zh-CN"/>
              </w:rPr>
            </w:pPr>
            <w:r>
              <w:rPr>
                <w:rFonts w:hint="eastAsia"/>
                <w:sz w:val="24"/>
                <w:highlight w:val="none"/>
                <w:lang w:eastAsia="zh-CN"/>
              </w:rPr>
              <w:t>生活垃圾交由环卫部门统一清运。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1" w:type="dxa"/>
            <w:vAlign w:val="center"/>
          </w:tcPr>
          <w:p>
            <w:pPr>
              <w:adjustRightInd w:val="0"/>
              <w:snapToGrid w:val="0"/>
              <w:jc w:val="center"/>
              <w:rPr>
                <w:rFonts w:hint="eastAsia"/>
                <w:sz w:val="24"/>
                <w:highlight w:val="none"/>
                <w:lang w:eastAsia="zh-CN"/>
              </w:rPr>
            </w:pPr>
            <w:r>
              <w:rPr>
                <w:rFonts w:hint="eastAsia"/>
                <w:sz w:val="24"/>
                <w:highlight w:val="none"/>
                <w:lang w:eastAsia="zh-CN"/>
              </w:rPr>
              <w:t>土壤及地下水</w:t>
            </w:r>
          </w:p>
          <w:p>
            <w:pPr>
              <w:adjustRightInd w:val="0"/>
              <w:snapToGrid w:val="0"/>
              <w:jc w:val="center"/>
              <w:rPr>
                <w:rFonts w:hint="eastAsia"/>
                <w:sz w:val="24"/>
                <w:highlight w:val="none"/>
                <w:lang w:eastAsia="zh-CN"/>
              </w:rPr>
            </w:pPr>
            <w:r>
              <w:rPr>
                <w:rFonts w:hint="eastAsia"/>
                <w:sz w:val="24"/>
                <w:highlight w:val="none"/>
                <w:lang w:eastAsia="zh-CN"/>
              </w:rPr>
              <w:t>污染防治措施</w:t>
            </w:r>
          </w:p>
        </w:tc>
        <w:tc>
          <w:tcPr>
            <w:tcW w:w="7109" w:type="dxa"/>
            <w:gridSpan w:val="4"/>
            <w:vAlign w:val="center"/>
          </w:tcPr>
          <w:p>
            <w:pPr>
              <w:adjustRightInd w:val="0"/>
              <w:snapToGrid w:val="0"/>
              <w:jc w:val="center"/>
              <w:rPr>
                <w:rFonts w:hint="eastAsia"/>
                <w:sz w:val="24"/>
                <w:highlight w:val="none"/>
                <w:lang w:eastAsia="zh-CN"/>
              </w:rPr>
            </w:pPr>
          </w:p>
          <w:p>
            <w:pPr>
              <w:adjustRightInd w:val="0"/>
              <w:snapToGrid w:val="0"/>
              <w:jc w:val="center"/>
              <w:rPr>
                <w:rFonts w:hint="eastAsia"/>
                <w:sz w:val="24"/>
                <w:highlight w:val="none"/>
                <w:lang w:eastAsia="zh-CN"/>
              </w:rPr>
            </w:pPr>
            <w:r>
              <w:rPr>
                <w:rFonts w:hint="eastAsia"/>
                <w:sz w:val="24"/>
                <w:highlight w:val="none"/>
                <w:lang w:eastAsia="zh-CN"/>
              </w:rPr>
              <w:t>/</w:t>
            </w:r>
          </w:p>
          <w:p>
            <w:pPr>
              <w:adjustRightInd w:val="0"/>
              <w:snapToGrid w:val="0"/>
              <w:jc w:val="center"/>
              <w:rPr>
                <w:rFonts w:hint="eastAsia"/>
                <w:sz w:val="24"/>
                <w:highlight w:val="no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1" w:type="dxa"/>
            <w:vAlign w:val="center"/>
          </w:tcPr>
          <w:p>
            <w:pPr>
              <w:adjustRightInd w:val="0"/>
              <w:snapToGrid w:val="0"/>
              <w:jc w:val="center"/>
              <w:rPr>
                <w:rFonts w:hint="eastAsia"/>
                <w:sz w:val="24"/>
                <w:highlight w:val="none"/>
                <w:lang w:eastAsia="zh-CN"/>
              </w:rPr>
            </w:pPr>
            <w:r>
              <w:rPr>
                <w:rFonts w:hint="eastAsia"/>
                <w:sz w:val="24"/>
                <w:highlight w:val="none"/>
                <w:lang w:eastAsia="zh-CN"/>
              </w:rPr>
              <w:t>生态保护措施</w:t>
            </w:r>
          </w:p>
        </w:tc>
        <w:tc>
          <w:tcPr>
            <w:tcW w:w="7109" w:type="dxa"/>
            <w:gridSpan w:val="4"/>
            <w:vAlign w:val="center"/>
          </w:tcPr>
          <w:p>
            <w:pPr>
              <w:adjustRightInd w:val="0"/>
              <w:snapToGrid w:val="0"/>
              <w:jc w:val="center"/>
              <w:rPr>
                <w:rFonts w:hint="eastAsia"/>
                <w:sz w:val="24"/>
                <w:highlight w:val="none"/>
                <w:lang w:eastAsia="zh-CN"/>
              </w:rPr>
            </w:pPr>
          </w:p>
          <w:p>
            <w:pPr>
              <w:adjustRightInd w:val="0"/>
              <w:snapToGrid w:val="0"/>
              <w:jc w:val="center"/>
              <w:rPr>
                <w:rFonts w:hint="eastAsia"/>
                <w:sz w:val="24"/>
                <w:highlight w:val="none"/>
                <w:lang w:eastAsia="zh-CN"/>
              </w:rPr>
            </w:pPr>
            <w:r>
              <w:rPr>
                <w:rFonts w:hint="eastAsia"/>
                <w:sz w:val="24"/>
                <w:highlight w:val="none"/>
                <w:lang w:eastAsia="zh-CN"/>
              </w:rPr>
              <w:t>/</w:t>
            </w:r>
          </w:p>
          <w:p>
            <w:pPr>
              <w:adjustRightInd w:val="0"/>
              <w:snapToGrid w:val="0"/>
              <w:jc w:val="center"/>
              <w:rPr>
                <w:rFonts w:hint="eastAsia"/>
                <w:sz w:val="24"/>
                <w:highlight w:val="no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1" w:type="dxa"/>
            <w:vAlign w:val="center"/>
          </w:tcPr>
          <w:p>
            <w:pPr>
              <w:adjustRightInd w:val="0"/>
              <w:snapToGrid w:val="0"/>
              <w:jc w:val="center"/>
              <w:rPr>
                <w:rFonts w:hint="eastAsia"/>
                <w:sz w:val="24"/>
                <w:highlight w:val="none"/>
                <w:lang w:eastAsia="zh-CN"/>
              </w:rPr>
            </w:pPr>
            <w:r>
              <w:rPr>
                <w:rFonts w:hint="eastAsia"/>
                <w:sz w:val="24"/>
                <w:highlight w:val="none"/>
                <w:lang w:eastAsia="zh-CN"/>
              </w:rPr>
              <w:t>环境风险</w:t>
            </w:r>
          </w:p>
          <w:p>
            <w:pPr>
              <w:adjustRightInd w:val="0"/>
              <w:snapToGrid w:val="0"/>
              <w:jc w:val="center"/>
              <w:rPr>
                <w:rFonts w:hint="eastAsia"/>
                <w:sz w:val="24"/>
                <w:highlight w:val="none"/>
                <w:lang w:eastAsia="zh-CN"/>
              </w:rPr>
            </w:pPr>
            <w:r>
              <w:rPr>
                <w:rFonts w:hint="eastAsia"/>
                <w:sz w:val="24"/>
                <w:highlight w:val="none"/>
                <w:lang w:eastAsia="zh-CN"/>
              </w:rPr>
              <w:t>防范措施</w:t>
            </w:r>
          </w:p>
        </w:tc>
        <w:tc>
          <w:tcPr>
            <w:tcW w:w="7109" w:type="dxa"/>
            <w:gridSpan w:val="4"/>
            <w:vAlign w:val="center"/>
          </w:tcPr>
          <w:p>
            <w:pPr>
              <w:adjustRightInd w:val="0"/>
              <w:snapToGrid w:val="0"/>
              <w:jc w:val="center"/>
              <w:rPr>
                <w:rFonts w:hint="eastAsia"/>
                <w:sz w:val="24"/>
                <w:highlight w:val="none"/>
                <w:lang w:eastAsia="zh-CN"/>
              </w:rPr>
            </w:pPr>
          </w:p>
          <w:p>
            <w:pPr>
              <w:adjustRightInd w:val="0"/>
              <w:snapToGrid w:val="0"/>
              <w:jc w:val="center"/>
              <w:rPr>
                <w:rFonts w:hint="eastAsia"/>
                <w:sz w:val="24"/>
                <w:highlight w:val="none"/>
                <w:lang w:eastAsia="zh-CN"/>
              </w:rPr>
            </w:pPr>
            <w:r>
              <w:rPr>
                <w:rFonts w:hint="eastAsia"/>
                <w:sz w:val="24"/>
                <w:highlight w:val="none"/>
                <w:lang w:eastAsia="zh-CN"/>
              </w:rPr>
              <w:t>加强管理，落实风险防范措施</w:t>
            </w:r>
          </w:p>
          <w:p>
            <w:pPr>
              <w:adjustRightInd w:val="0"/>
              <w:snapToGrid w:val="0"/>
              <w:jc w:val="center"/>
              <w:rPr>
                <w:rFonts w:hint="eastAsia"/>
                <w:sz w:val="24"/>
                <w:highlight w:val="no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1" w:type="dxa"/>
            <w:vAlign w:val="center"/>
          </w:tcPr>
          <w:p>
            <w:pPr>
              <w:adjustRightInd w:val="0"/>
              <w:snapToGrid w:val="0"/>
              <w:jc w:val="center"/>
              <w:rPr>
                <w:rFonts w:hint="eastAsia"/>
                <w:sz w:val="24"/>
                <w:highlight w:val="none"/>
                <w:lang w:eastAsia="zh-CN"/>
              </w:rPr>
            </w:pPr>
            <w:r>
              <w:rPr>
                <w:rFonts w:hint="eastAsia"/>
                <w:sz w:val="24"/>
                <w:highlight w:val="none"/>
                <w:lang w:eastAsia="zh-CN"/>
              </w:rPr>
              <w:t>其他环境</w:t>
            </w:r>
          </w:p>
          <w:p>
            <w:pPr>
              <w:adjustRightInd w:val="0"/>
              <w:snapToGrid w:val="0"/>
              <w:jc w:val="center"/>
              <w:rPr>
                <w:rFonts w:hint="eastAsia"/>
                <w:sz w:val="24"/>
                <w:highlight w:val="none"/>
                <w:lang w:eastAsia="zh-CN"/>
              </w:rPr>
            </w:pPr>
            <w:r>
              <w:rPr>
                <w:rFonts w:hint="eastAsia"/>
                <w:sz w:val="24"/>
                <w:highlight w:val="none"/>
                <w:lang w:eastAsia="zh-CN"/>
              </w:rPr>
              <w:t>管理要求</w:t>
            </w:r>
          </w:p>
        </w:tc>
        <w:tc>
          <w:tcPr>
            <w:tcW w:w="7109" w:type="dxa"/>
            <w:gridSpan w:val="4"/>
            <w:vAlign w:val="center"/>
          </w:tcPr>
          <w:p>
            <w:pPr>
              <w:adjustRightInd w:val="0"/>
              <w:snapToGrid w:val="0"/>
              <w:jc w:val="center"/>
              <w:rPr>
                <w:rFonts w:hint="eastAsia"/>
                <w:sz w:val="24"/>
                <w:highlight w:val="none"/>
                <w:lang w:eastAsia="zh-CN"/>
              </w:rPr>
            </w:pPr>
          </w:p>
          <w:p>
            <w:pPr>
              <w:adjustRightInd w:val="0"/>
              <w:snapToGrid w:val="0"/>
              <w:jc w:val="center"/>
              <w:rPr>
                <w:rFonts w:hint="eastAsia"/>
                <w:sz w:val="24"/>
                <w:highlight w:val="none"/>
                <w:lang w:eastAsia="zh-CN"/>
              </w:rPr>
            </w:pPr>
          </w:p>
          <w:p>
            <w:pPr>
              <w:adjustRightInd w:val="0"/>
              <w:snapToGrid w:val="0"/>
              <w:jc w:val="center"/>
              <w:rPr>
                <w:rFonts w:hint="eastAsia"/>
                <w:sz w:val="24"/>
                <w:highlight w:val="none"/>
                <w:lang w:eastAsia="zh-CN"/>
              </w:rPr>
            </w:pPr>
            <w:r>
              <w:rPr>
                <w:rFonts w:hint="eastAsia"/>
                <w:sz w:val="24"/>
                <w:highlight w:val="none"/>
                <w:lang w:eastAsia="zh-CN"/>
              </w:rPr>
              <w:t>设置环境管理机构，针对项目制定环保管理体系、制定日常监测计划、危废台账、环评和批复要求落实情况的检查</w:t>
            </w:r>
          </w:p>
          <w:p>
            <w:pPr>
              <w:adjustRightInd w:val="0"/>
              <w:snapToGrid w:val="0"/>
              <w:jc w:val="center"/>
              <w:rPr>
                <w:rFonts w:hint="eastAsia"/>
                <w:sz w:val="24"/>
                <w:highlight w:val="none"/>
                <w:lang w:eastAsia="zh-CN"/>
              </w:rPr>
            </w:pPr>
          </w:p>
        </w:tc>
      </w:tr>
    </w:tbl>
    <w:p>
      <w:pPr>
        <w:pStyle w:val="19"/>
        <w:spacing w:before="0" w:beforeAutospacing="0" w:after="0" w:afterAutospacing="0"/>
        <w:jc w:val="center"/>
        <w:outlineLvl w:val="0"/>
        <w:rPr>
          <w:rFonts w:ascii="Times New Roman" w:hAnsi="Times New Roman" w:eastAsia="黑体"/>
          <w:snapToGrid w:val="0"/>
          <w:sz w:val="30"/>
          <w:szCs w:val="30"/>
          <w:highlight w:val="yellow"/>
        </w:rPr>
      </w:pPr>
      <w:r>
        <w:rPr>
          <w:rFonts w:ascii="Times New Roman" w:hAnsi="Times New Roman"/>
          <w:snapToGrid w:val="0"/>
          <w:highlight w:val="yellow"/>
        </w:rPr>
        <w:br w:type="page"/>
      </w:r>
      <w:bookmarkStart w:id="16" w:name="_Toc86311620"/>
      <w:r>
        <w:rPr>
          <w:rFonts w:ascii="Times New Roman" w:hAnsi="Times New Roman" w:eastAsia="黑体"/>
          <w:snapToGrid w:val="0"/>
          <w:sz w:val="30"/>
          <w:szCs w:val="30"/>
          <w:highlight w:val="none"/>
        </w:rPr>
        <w:t>六、结论</w:t>
      </w:r>
      <w:bookmarkEnd w:id="16"/>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spacing w:line="360" w:lineRule="auto"/>
              <w:ind w:firstLine="482" w:firstLineChars="200"/>
              <w:rPr>
                <w:b/>
                <w:bCs/>
                <w:sz w:val="24"/>
                <w:highlight w:val="none"/>
              </w:rPr>
            </w:pPr>
            <w:r>
              <w:rPr>
                <w:b/>
                <w:bCs/>
                <w:sz w:val="24"/>
                <w:highlight w:val="none"/>
              </w:rPr>
              <w:t>综上所述，本项目符合国家相关产业政策，符合当地总体规划和环境保护规划的要求；在认真落实各项环境保护措施后，污染物可以达标排放；对周围环境的影响可控制在允许范围内，不会改变项目周围地区的大气、水和声环境质量的现有功能要求；项目大气污染物在</w:t>
            </w:r>
            <w:r>
              <w:rPr>
                <w:rFonts w:hint="eastAsia"/>
                <w:b/>
                <w:bCs/>
                <w:sz w:val="24"/>
                <w:highlight w:val="none"/>
              </w:rPr>
              <w:t>区域</w:t>
            </w:r>
            <w:r>
              <w:rPr>
                <w:b/>
                <w:bCs/>
                <w:sz w:val="24"/>
                <w:highlight w:val="none"/>
              </w:rPr>
              <w:t>内平衡。因此，从环境保护的角度来看，本项目的建设具有环境可行性。</w:t>
            </w:r>
          </w:p>
          <w:p>
            <w:pPr>
              <w:rPr>
                <w:highlight w:val="yellow"/>
              </w:rPr>
            </w:pPr>
          </w:p>
        </w:tc>
      </w:tr>
    </w:tbl>
    <w:p>
      <w:pPr>
        <w:rPr>
          <w:highlight w:val="yellow"/>
        </w:rPr>
        <w:sectPr>
          <w:pgSz w:w="11906" w:h="16838"/>
          <w:pgMar w:top="1701" w:right="1531" w:bottom="1701" w:left="1531" w:header="851" w:footer="851" w:gutter="0"/>
          <w:cols w:space="720" w:num="1"/>
          <w:docGrid w:linePitch="312" w:charSpace="0"/>
        </w:sectPr>
      </w:pPr>
    </w:p>
    <w:p>
      <w:pPr>
        <w:rPr>
          <w:b/>
          <w:snapToGrid w:val="0"/>
          <w:sz w:val="40"/>
          <w:highlight w:val="none"/>
        </w:rPr>
      </w:pPr>
      <w:bookmarkStart w:id="17" w:name="_Toc86311621"/>
      <w:r>
        <w:rPr>
          <w:b/>
          <w:snapToGrid w:val="0"/>
          <w:sz w:val="40"/>
          <w:highlight w:val="none"/>
        </w:rPr>
        <w:t>附表</w:t>
      </w:r>
      <w:bookmarkEnd w:id="17"/>
    </w:p>
    <w:p>
      <w:pPr>
        <w:pStyle w:val="19"/>
        <w:adjustRightInd w:val="0"/>
        <w:snapToGrid w:val="0"/>
        <w:spacing w:before="0" w:beforeAutospacing="0" w:after="0" w:afterAutospacing="0"/>
        <w:jc w:val="center"/>
        <w:outlineLvl w:val="0"/>
        <w:rPr>
          <w:rFonts w:ascii="Times New Roman" w:hAnsi="Times New Roman"/>
          <w:b/>
          <w:bCs/>
          <w:snapToGrid w:val="0"/>
          <w:sz w:val="38"/>
          <w:szCs w:val="38"/>
          <w:highlight w:val="none"/>
        </w:rPr>
      </w:pPr>
      <w:bookmarkStart w:id="18" w:name="_Toc86311622"/>
      <w:r>
        <w:rPr>
          <w:rFonts w:ascii="Times New Roman" w:hAnsi="Times New Roman"/>
          <w:b/>
          <w:bCs/>
          <w:snapToGrid w:val="0"/>
          <w:sz w:val="36"/>
          <w:szCs w:val="36"/>
          <w:highlight w:val="none"/>
        </w:rPr>
        <w:t>建设项目污染物排放量汇总表</w:t>
      </w:r>
      <w:bookmarkEnd w:id="18"/>
    </w:p>
    <w:tbl>
      <w:tblPr>
        <w:tblStyle w:val="22"/>
        <w:tblW w:w="141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42"/>
        <w:gridCol w:w="825"/>
        <w:gridCol w:w="1484"/>
        <w:gridCol w:w="1879"/>
        <w:gridCol w:w="1227"/>
        <w:gridCol w:w="1828"/>
        <w:gridCol w:w="1615"/>
        <w:gridCol w:w="1623"/>
        <w:gridCol w:w="1801"/>
        <w:gridCol w:w="12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467" w:type="dxa"/>
            <w:gridSpan w:val="2"/>
            <w:tcBorders>
              <w:tl2br w:val="single" w:color="auto" w:sz="4" w:space="0"/>
            </w:tcBorders>
            <w:tcMar>
              <w:left w:w="28" w:type="dxa"/>
              <w:right w:w="28" w:type="dxa"/>
            </w:tcMar>
            <w:vAlign w:val="center"/>
          </w:tcPr>
          <w:p>
            <w:pPr>
              <w:widowControl/>
              <w:jc w:val="center"/>
              <w:rPr>
                <w:rFonts w:hint="eastAsia"/>
                <w:b/>
                <w:bCs/>
                <w:kern w:val="0"/>
                <w:szCs w:val="21"/>
                <w:highlight w:val="none"/>
                <w:lang w:val="en-US" w:eastAsia="zh-CN"/>
              </w:rPr>
            </w:pPr>
            <w:r>
              <w:rPr>
                <w:rFonts w:hint="eastAsia"/>
                <w:b/>
                <w:bCs/>
                <w:kern w:val="0"/>
                <w:szCs w:val="21"/>
                <w:highlight w:val="none"/>
                <w:lang w:val="en-US" w:eastAsia="zh-CN"/>
              </w:rPr>
              <w:t>项目</w:t>
            </w:r>
          </w:p>
          <w:p>
            <w:pPr>
              <w:widowControl/>
              <w:jc w:val="center"/>
              <w:rPr>
                <w:rFonts w:hint="eastAsia"/>
                <w:b/>
                <w:bCs/>
                <w:kern w:val="0"/>
                <w:szCs w:val="21"/>
                <w:highlight w:val="none"/>
                <w:lang w:val="en-US" w:eastAsia="zh-CN"/>
              </w:rPr>
            </w:pPr>
            <w:r>
              <w:rPr>
                <w:rFonts w:hint="eastAsia"/>
                <w:b/>
                <w:bCs/>
                <w:kern w:val="0"/>
                <w:szCs w:val="21"/>
                <w:highlight w:val="none"/>
                <w:lang w:val="en-US" w:eastAsia="zh-CN"/>
              </w:rPr>
              <w:t>分类</w:t>
            </w:r>
          </w:p>
        </w:tc>
        <w:tc>
          <w:tcPr>
            <w:tcW w:w="1484" w:type="dxa"/>
            <w:tcMar>
              <w:left w:w="28" w:type="dxa"/>
              <w:right w:w="28" w:type="dxa"/>
            </w:tcMar>
            <w:vAlign w:val="center"/>
          </w:tcPr>
          <w:p>
            <w:pPr>
              <w:widowControl/>
              <w:jc w:val="center"/>
              <w:rPr>
                <w:rFonts w:hint="eastAsia"/>
                <w:b/>
                <w:bCs/>
                <w:kern w:val="0"/>
                <w:szCs w:val="21"/>
                <w:highlight w:val="none"/>
                <w:lang w:val="en-US" w:eastAsia="zh-CN"/>
              </w:rPr>
            </w:pPr>
            <w:r>
              <w:rPr>
                <w:rFonts w:hint="eastAsia"/>
                <w:b/>
                <w:bCs/>
                <w:kern w:val="0"/>
                <w:szCs w:val="21"/>
                <w:highlight w:val="none"/>
                <w:lang w:val="en-US" w:eastAsia="zh-CN"/>
              </w:rPr>
              <w:t>污染物名称</w:t>
            </w:r>
          </w:p>
        </w:tc>
        <w:tc>
          <w:tcPr>
            <w:tcW w:w="1879" w:type="dxa"/>
            <w:tcMar>
              <w:left w:w="28" w:type="dxa"/>
              <w:right w:w="28" w:type="dxa"/>
            </w:tcMar>
            <w:vAlign w:val="center"/>
          </w:tcPr>
          <w:p>
            <w:pPr>
              <w:widowControl/>
              <w:jc w:val="center"/>
              <w:rPr>
                <w:rFonts w:hint="eastAsia"/>
                <w:b/>
                <w:bCs/>
                <w:kern w:val="0"/>
                <w:szCs w:val="21"/>
                <w:highlight w:val="none"/>
                <w:lang w:val="en-US" w:eastAsia="zh-CN"/>
              </w:rPr>
            </w:pPr>
            <w:r>
              <w:rPr>
                <w:rFonts w:hint="eastAsia"/>
                <w:b/>
                <w:bCs/>
                <w:kern w:val="0"/>
                <w:szCs w:val="21"/>
                <w:highlight w:val="none"/>
                <w:lang w:val="en-US" w:eastAsia="zh-CN"/>
              </w:rPr>
              <w:t>现有工程排放量（固体废物产生量）</w:t>
            </w:r>
            <w:r>
              <w:rPr>
                <w:rFonts w:hint="eastAsia"/>
                <w:b/>
                <w:bCs/>
                <w:kern w:val="0"/>
                <w:szCs w:val="21"/>
                <w:highlight w:val="none"/>
                <w:lang w:val="en-US" w:eastAsia="zh-CN"/>
              </w:rPr>
              <w:fldChar w:fldCharType="begin"/>
            </w:r>
            <w:r>
              <w:rPr>
                <w:rFonts w:hint="eastAsia"/>
                <w:b/>
                <w:bCs/>
                <w:kern w:val="0"/>
                <w:szCs w:val="21"/>
                <w:highlight w:val="none"/>
                <w:lang w:val="en-US" w:eastAsia="zh-CN"/>
              </w:rPr>
              <w:instrText xml:space="preserve"> = 1 \* GB3 \* MERGEFORMAT </w:instrText>
            </w:r>
            <w:r>
              <w:rPr>
                <w:rFonts w:hint="eastAsia"/>
                <w:b/>
                <w:bCs/>
                <w:kern w:val="0"/>
                <w:szCs w:val="21"/>
                <w:highlight w:val="none"/>
                <w:lang w:val="en-US" w:eastAsia="zh-CN"/>
              </w:rPr>
              <w:fldChar w:fldCharType="separate"/>
            </w:r>
            <w:r>
              <w:rPr>
                <w:rFonts w:hint="eastAsia"/>
                <w:b/>
                <w:bCs/>
                <w:kern w:val="0"/>
                <w:szCs w:val="21"/>
                <w:highlight w:val="none"/>
                <w:lang w:val="en-US" w:eastAsia="zh-CN"/>
              </w:rPr>
              <w:t>①</w:t>
            </w:r>
            <w:r>
              <w:rPr>
                <w:rFonts w:hint="eastAsia"/>
                <w:b/>
                <w:bCs/>
                <w:kern w:val="0"/>
                <w:szCs w:val="21"/>
                <w:highlight w:val="none"/>
                <w:lang w:val="en-US" w:eastAsia="zh-CN"/>
              </w:rPr>
              <w:fldChar w:fldCharType="end"/>
            </w:r>
          </w:p>
        </w:tc>
        <w:tc>
          <w:tcPr>
            <w:tcW w:w="1227" w:type="dxa"/>
            <w:tcMar>
              <w:left w:w="28" w:type="dxa"/>
              <w:right w:w="28" w:type="dxa"/>
            </w:tcMar>
            <w:vAlign w:val="center"/>
          </w:tcPr>
          <w:p>
            <w:pPr>
              <w:widowControl/>
              <w:jc w:val="center"/>
              <w:rPr>
                <w:rFonts w:hint="eastAsia"/>
                <w:b/>
                <w:bCs/>
                <w:kern w:val="0"/>
                <w:szCs w:val="21"/>
                <w:highlight w:val="none"/>
                <w:lang w:val="en-US" w:eastAsia="zh-CN"/>
              </w:rPr>
            </w:pPr>
            <w:r>
              <w:rPr>
                <w:rFonts w:hint="eastAsia"/>
                <w:b/>
                <w:bCs/>
                <w:kern w:val="0"/>
                <w:szCs w:val="21"/>
                <w:highlight w:val="none"/>
                <w:lang w:val="en-US" w:eastAsia="zh-CN"/>
              </w:rPr>
              <w:t>现有工程许可排放量</w:t>
            </w:r>
            <w:r>
              <w:rPr>
                <w:rFonts w:hint="eastAsia"/>
                <w:b/>
                <w:bCs/>
                <w:kern w:val="0"/>
                <w:szCs w:val="21"/>
                <w:highlight w:val="none"/>
                <w:lang w:val="en-US" w:eastAsia="zh-CN"/>
              </w:rPr>
              <w:fldChar w:fldCharType="begin"/>
            </w:r>
            <w:r>
              <w:rPr>
                <w:rFonts w:hint="eastAsia"/>
                <w:b/>
                <w:bCs/>
                <w:kern w:val="0"/>
                <w:szCs w:val="21"/>
                <w:highlight w:val="none"/>
                <w:lang w:val="en-US" w:eastAsia="zh-CN"/>
              </w:rPr>
              <w:instrText xml:space="preserve"> = 2 \* GB3 \* MERGEFORMAT </w:instrText>
            </w:r>
            <w:r>
              <w:rPr>
                <w:rFonts w:hint="eastAsia"/>
                <w:b/>
                <w:bCs/>
                <w:kern w:val="0"/>
                <w:szCs w:val="21"/>
                <w:highlight w:val="none"/>
                <w:lang w:val="en-US" w:eastAsia="zh-CN"/>
              </w:rPr>
              <w:fldChar w:fldCharType="separate"/>
            </w:r>
            <w:r>
              <w:rPr>
                <w:rFonts w:hint="eastAsia"/>
                <w:b/>
                <w:bCs/>
                <w:kern w:val="0"/>
                <w:szCs w:val="21"/>
                <w:highlight w:val="none"/>
                <w:lang w:val="en-US" w:eastAsia="zh-CN"/>
              </w:rPr>
              <w:t>②</w:t>
            </w:r>
            <w:r>
              <w:rPr>
                <w:rFonts w:hint="eastAsia"/>
                <w:b/>
                <w:bCs/>
                <w:kern w:val="0"/>
                <w:szCs w:val="21"/>
                <w:highlight w:val="none"/>
                <w:lang w:val="en-US" w:eastAsia="zh-CN"/>
              </w:rPr>
              <w:fldChar w:fldCharType="end"/>
            </w:r>
          </w:p>
        </w:tc>
        <w:tc>
          <w:tcPr>
            <w:tcW w:w="1828" w:type="dxa"/>
            <w:tcMar>
              <w:left w:w="28" w:type="dxa"/>
              <w:right w:w="28" w:type="dxa"/>
            </w:tcMar>
            <w:vAlign w:val="center"/>
          </w:tcPr>
          <w:p>
            <w:pPr>
              <w:widowControl/>
              <w:jc w:val="center"/>
              <w:rPr>
                <w:rFonts w:hint="eastAsia"/>
                <w:b/>
                <w:bCs/>
                <w:kern w:val="0"/>
                <w:szCs w:val="21"/>
                <w:highlight w:val="none"/>
                <w:lang w:val="en-US" w:eastAsia="zh-CN"/>
              </w:rPr>
            </w:pPr>
            <w:r>
              <w:rPr>
                <w:rFonts w:hint="eastAsia"/>
                <w:b/>
                <w:bCs/>
                <w:kern w:val="0"/>
                <w:szCs w:val="21"/>
                <w:highlight w:val="none"/>
                <w:lang w:val="en-US" w:eastAsia="zh-CN"/>
              </w:rPr>
              <w:t>在建工程排放量（固体废物产生量）</w:t>
            </w:r>
            <w:r>
              <w:rPr>
                <w:rFonts w:hint="eastAsia"/>
                <w:b/>
                <w:bCs/>
                <w:kern w:val="0"/>
                <w:szCs w:val="21"/>
                <w:highlight w:val="none"/>
                <w:lang w:val="en-US" w:eastAsia="zh-CN"/>
              </w:rPr>
              <w:fldChar w:fldCharType="begin"/>
            </w:r>
            <w:r>
              <w:rPr>
                <w:rFonts w:hint="eastAsia"/>
                <w:b/>
                <w:bCs/>
                <w:kern w:val="0"/>
                <w:szCs w:val="21"/>
                <w:highlight w:val="none"/>
                <w:lang w:val="en-US" w:eastAsia="zh-CN"/>
              </w:rPr>
              <w:instrText xml:space="preserve"> = 3 \* GB3 \* MERGEFORMAT </w:instrText>
            </w:r>
            <w:r>
              <w:rPr>
                <w:rFonts w:hint="eastAsia"/>
                <w:b/>
                <w:bCs/>
                <w:kern w:val="0"/>
                <w:szCs w:val="21"/>
                <w:highlight w:val="none"/>
                <w:lang w:val="en-US" w:eastAsia="zh-CN"/>
              </w:rPr>
              <w:fldChar w:fldCharType="separate"/>
            </w:r>
            <w:r>
              <w:rPr>
                <w:rFonts w:hint="eastAsia"/>
                <w:b/>
                <w:bCs/>
                <w:kern w:val="0"/>
                <w:szCs w:val="21"/>
                <w:highlight w:val="none"/>
                <w:lang w:val="en-US" w:eastAsia="zh-CN"/>
              </w:rPr>
              <w:t>③</w:t>
            </w:r>
            <w:r>
              <w:rPr>
                <w:rFonts w:hint="eastAsia"/>
                <w:b/>
                <w:bCs/>
                <w:kern w:val="0"/>
                <w:szCs w:val="21"/>
                <w:highlight w:val="none"/>
                <w:lang w:val="en-US" w:eastAsia="zh-CN"/>
              </w:rPr>
              <w:fldChar w:fldCharType="end"/>
            </w:r>
          </w:p>
        </w:tc>
        <w:tc>
          <w:tcPr>
            <w:tcW w:w="1615" w:type="dxa"/>
            <w:tcMar>
              <w:left w:w="28" w:type="dxa"/>
              <w:right w:w="28" w:type="dxa"/>
            </w:tcMar>
            <w:vAlign w:val="center"/>
          </w:tcPr>
          <w:p>
            <w:pPr>
              <w:widowControl/>
              <w:jc w:val="center"/>
              <w:rPr>
                <w:rFonts w:hint="eastAsia"/>
                <w:b/>
                <w:bCs/>
                <w:kern w:val="0"/>
                <w:szCs w:val="21"/>
                <w:highlight w:val="none"/>
                <w:lang w:val="en-US" w:eastAsia="zh-CN"/>
              </w:rPr>
            </w:pPr>
            <w:r>
              <w:rPr>
                <w:rFonts w:hint="eastAsia"/>
                <w:b/>
                <w:bCs/>
                <w:kern w:val="0"/>
                <w:szCs w:val="21"/>
                <w:highlight w:val="none"/>
                <w:lang w:val="en-US" w:eastAsia="zh-CN"/>
              </w:rPr>
              <w:t>本项目排放量（固体废物产生量）</w:t>
            </w:r>
            <w:r>
              <w:rPr>
                <w:rFonts w:hint="eastAsia"/>
                <w:b/>
                <w:bCs/>
                <w:kern w:val="0"/>
                <w:szCs w:val="21"/>
                <w:highlight w:val="none"/>
                <w:lang w:val="en-US" w:eastAsia="zh-CN"/>
              </w:rPr>
              <w:fldChar w:fldCharType="begin"/>
            </w:r>
            <w:r>
              <w:rPr>
                <w:rFonts w:hint="eastAsia"/>
                <w:b/>
                <w:bCs/>
                <w:kern w:val="0"/>
                <w:szCs w:val="21"/>
                <w:highlight w:val="none"/>
                <w:lang w:val="en-US" w:eastAsia="zh-CN"/>
              </w:rPr>
              <w:instrText xml:space="preserve"> = 4 \* GB3 \* MERGEFORMAT </w:instrText>
            </w:r>
            <w:r>
              <w:rPr>
                <w:rFonts w:hint="eastAsia"/>
                <w:b/>
                <w:bCs/>
                <w:kern w:val="0"/>
                <w:szCs w:val="21"/>
                <w:highlight w:val="none"/>
                <w:lang w:val="en-US" w:eastAsia="zh-CN"/>
              </w:rPr>
              <w:fldChar w:fldCharType="separate"/>
            </w:r>
            <w:r>
              <w:rPr>
                <w:rFonts w:hint="eastAsia"/>
                <w:b/>
                <w:bCs/>
                <w:kern w:val="0"/>
                <w:szCs w:val="21"/>
                <w:highlight w:val="none"/>
                <w:lang w:val="en-US" w:eastAsia="zh-CN"/>
              </w:rPr>
              <w:t>④</w:t>
            </w:r>
            <w:r>
              <w:rPr>
                <w:rFonts w:hint="eastAsia"/>
                <w:b/>
                <w:bCs/>
                <w:kern w:val="0"/>
                <w:szCs w:val="21"/>
                <w:highlight w:val="none"/>
                <w:lang w:val="en-US" w:eastAsia="zh-CN"/>
              </w:rPr>
              <w:fldChar w:fldCharType="end"/>
            </w:r>
          </w:p>
        </w:tc>
        <w:tc>
          <w:tcPr>
            <w:tcW w:w="1623" w:type="dxa"/>
            <w:tcMar>
              <w:left w:w="28" w:type="dxa"/>
              <w:right w:w="28" w:type="dxa"/>
            </w:tcMar>
            <w:vAlign w:val="center"/>
          </w:tcPr>
          <w:p>
            <w:pPr>
              <w:widowControl/>
              <w:jc w:val="center"/>
              <w:rPr>
                <w:rFonts w:hint="eastAsia"/>
                <w:b/>
                <w:bCs/>
                <w:kern w:val="0"/>
                <w:szCs w:val="21"/>
                <w:highlight w:val="none"/>
                <w:lang w:val="en-US" w:eastAsia="zh-CN"/>
              </w:rPr>
            </w:pPr>
            <w:r>
              <w:rPr>
                <w:rFonts w:hint="eastAsia"/>
                <w:b/>
                <w:bCs/>
                <w:kern w:val="0"/>
                <w:szCs w:val="21"/>
                <w:highlight w:val="none"/>
                <w:lang w:val="en-US" w:eastAsia="zh-CN"/>
              </w:rPr>
              <w:t>以新带老削减量（新建项目不填）</w:t>
            </w:r>
            <w:r>
              <w:rPr>
                <w:rFonts w:hint="eastAsia"/>
                <w:b/>
                <w:bCs/>
                <w:kern w:val="0"/>
                <w:szCs w:val="21"/>
                <w:highlight w:val="none"/>
                <w:lang w:val="en-US" w:eastAsia="zh-CN"/>
              </w:rPr>
              <w:fldChar w:fldCharType="begin"/>
            </w:r>
            <w:r>
              <w:rPr>
                <w:rFonts w:hint="eastAsia"/>
                <w:b/>
                <w:bCs/>
                <w:kern w:val="0"/>
                <w:szCs w:val="21"/>
                <w:highlight w:val="none"/>
                <w:lang w:val="en-US" w:eastAsia="zh-CN"/>
              </w:rPr>
              <w:instrText xml:space="preserve"> = 5 \* GB3 \* MERGEFORMAT </w:instrText>
            </w:r>
            <w:r>
              <w:rPr>
                <w:rFonts w:hint="eastAsia"/>
                <w:b/>
                <w:bCs/>
                <w:kern w:val="0"/>
                <w:szCs w:val="21"/>
                <w:highlight w:val="none"/>
                <w:lang w:val="en-US" w:eastAsia="zh-CN"/>
              </w:rPr>
              <w:fldChar w:fldCharType="separate"/>
            </w:r>
            <w:r>
              <w:rPr>
                <w:rFonts w:hint="eastAsia"/>
                <w:b/>
                <w:bCs/>
                <w:kern w:val="0"/>
                <w:szCs w:val="21"/>
                <w:highlight w:val="none"/>
                <w:lang w:val="en-US" w:eastAsia="zh-CN"/>
              </w:rPr>
              <w:t>⑤</w:t>
            </w:r>
            <w:r>
              <w:rPr>
                <w:rFonts w:hint="eastAsia"/>
                <w:b/>
                <w:bCs/>
                <w:kern w:val="0"/>
                <w:szCs w:val="21"/>
                <w:highlight w:val="none"/>
                <w:lang w:val="en-US" w:eastAsia="zh-CN"/>
              </w:rPr>
              <w:fldChar w:fldCharType="end"/>
            </w:r>
          </w:p>
        </w:tc>
        <w:tc>
          <w:tcPr>
            <w:tcW w:w="1801" w:type="dxa"/>
            <w:tcMar>
              <w:left w:w="28" w:type="dxa"/>
              <w:right w:w="28" w:type="dxa"/>
            </w:tcMar>
            <w:vAlign w:val="center"/>
          </w:tcPr>
          <w:p>
            <w:pPr>
              <w:widowControl/>
              <w:jc w:val="center"/>
              <w:rPr>
                <w:rFonts w:hint="eastAsia"/>
                <w:b/>
                <w:bCs/>
                <w:kern w:val="0"/>
                <w:szCs w:val="21"/>
                <w:highlight w:val="none"/>
                <w:lang w:val="en-US" w:eastAsia="zh-CN"/>
              </w:rPr>
            </w:pPr>
            <w:r>
              <w:rPr>
                <w:rFonts w:hint="eastAsia"/>
                <w:b/>
                <w:bCs/>
                <w:kern w:val="0"/>
                <w:szCs w:val="21"/>
                <w:highlight w:val="none"/>
                <w:lang w:val="en-US" w:eastAsia="zh-CN"/>
              </w:rPr>
              <w:t>本项目建成后全厂排放量（固体废物产生量）</w:t>
            </w:r>
            <w:r>
              <w:rPr>
                <w:rFonts w:hint="eastAsia"/>
                <w:b/>
                <w:bCs/>
                <w:kern w:val="0"/>
                <w:szCs w:val="21"/>
                <w:highlight w:val="none"/>
                <w:lang w:val="en-US" w:eastAsia="zh-CN"/>
              </w:rPr>
              <w:fldChar w:fldCharType="begin"/>
            </w:r>
            <w:r>
              <w:rPr>
                <w:rFonts w:hint="eastAsia"/>
                <w:b/>
                <w:bCs/>
                <w:kern w:val="0"/>
                <w:szCs w:val="21"/>
                <w:highlight w:val="none"/>
                <w:lang w:val="en-US" w:eastAsia="zh-CN"/>
              </w:rPr>
              <w:instrText xml:space="preserve"> = 6 \* GB3 \* MERGEFORMAT </w:instrText>
            </w:r>
            <w:r>
              <w:rPr>
                <w:rFonts w:hint="eastAsia"/>
                <w:b/>
                <w:bCs/>
                <w:kern w:val="0"/>
                <w:szCs w:val="21"/>
                <w:highlight w:val="none"/>
                <w:lang w:val="en-US" w:eastAsia="zh-CN"/>
              </w:rPr>
              <w:fldChar w:fldCharType="separate"/>
            </w:r>
            <w:r>
              <w:rPr>
                <w:rFonts w:hint="eastAsia"/>
                <w:b/>
                <w:bCs/>
                <w:kern w:val="0"/>
                <w:szCs w:val="21"/>
                <w:highlight w:val="none"/>
                <w:lang w:val="en-US" w:eastAsia="zh-CN"/>
              </w:rPr>
              <w:t>⑥</w:t>
            </w:r>
            <w:r>
              <w:rPr>
                <w:rFonts w:hint="eastAsia"/>
                <w:b/>
                <w:bCs/>
                <w:kern w:val="0"/>
                <w:szCs w:val="21"/>
                <w:highlight w:val="none"/>
                <w:lang w:val="en-US" w:eastAsia="zh-CN"/>
              </w:rPr>
              <w:fldChar w:fldCharType="end"/>
            </w:r>
          </w:p>
        </w:tc>
        <w:tc>
          <w:tcPr>
            <w:tcW w:w="1249" w:type="dxa"/>
            <w:tcMar>
              <w:left w:w="28" w:type="dxa"/>
              <w:right w:w="28" w:type="dxa"/>
            </w:tcMar>
            <w:vAlign w:val="center"/>
          </w:tcPr>
          <w:p>
            <w:pPr>
              <w:widowControl/>
              <w:jc w:val="center"/>
              <w:rPr>
                <w:rFonts w:hint="eastAsia"/>
                <w:b/>
                <w:bCs/>
                <w:kern w:val="0"/>
                <w:szCs w:val="21"/>
                <w:highlight w:val="none"/>
                <w:lang w:val="en-US" w:eastAsia="zh-CN"/>
              </w:rPr>
            </w:pPr>
            <w:r>
              <w:rPr>
                <w:rFonts w:hint="eastAsia"/>
                <w:b/>
                <w:bCs/>
                <w:kern w:val="0"/>
                <w:szCs w:val="21"/>
                <w:highlight w:val="none"/>
                <w:lang w:val="en-US" w:eastAsia="zh-CN"/>
              </w:rPr>
              <w:t>变化量</w:t>
            </w:r>
            <w:r>
              <w:rPr>
                <w:rFonts w:hint="eastAsia"/>
                <w:b/>
                <w:bCs/>
                <w:kern w:val="0"/>
                <w:szCs w:val="21"/>
                <w:highlight w:val="none"/>
                <w:lang w:val="en-US" w:eastAsia="zh-CN"/>
              </w:rPr>
              <w:fldChar w:fldCharType="begin"/>
            </w:r>
            <w:r>
              <w:rPr>
                <w:rFonts w:hint="eastAsia"/>
                <w:b/>
                <w:bCs/>
                <w:kern w:val="0"/>
                <w:szCs w:val="21"/>
                <w:highlight w:val="none"/>
                <w:lang w:val="en-US" w:eastAsia="zh-CN"/>
              </w:rPr>
              <w:instrText xml:space="preserve"> = 7 \* GB3 \* MERGEFORMAT </w:instrText>
            </w:r>
            <w:r>
              <w:rPr>
                <w:rFonts w:hint="eastAsia"/>
                <w:b/>
                <w:bCs/>
                <w:kern w:val="0"/>
                <w:szCs w:val="21"/>
                <w:highlight w:val="none"/>
                <w:lang w:val="en-US" w:eastAsia="zh-CN"/>
              </w:rPr>
              <w:fldChar w:fldCharType="separate"/>
            </w:r>
            <w:r>
              <w:rPr>
                <w:rFonts w:hint="eastAsia"/>
                <w:b/>
                <w:bCs/>
                <w:kern w:val="0"/>
                <w:szCs w:val="21"/>
                <w:highlight w:val="none"/>
                <w:lang w:val="en-US" w:eastAsia="zh-CN"/>
              </w:rPr>
              <w:t>⑦</w:t>
            </w:r>
            <w:r>
              <w:rPr>
                <w:rFonts w:hint="eastAsia"/>
                <w:b/>
                <w:bCs/>
                <w:kern w:val="0"/>
                <w:szCs w:val="21"/>
                <w:highlight w:val="none"/>
                <w:lang w:val="en-US" w:eastAsia="zh-CN"/>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42" w:type="dxa"/>
            <w:vMerge w:val="restart"/>
            <w:tcBorders>
              <w:right w:val="single" w:color="000000" w:sz="2" w:space="0"/>
            </w:tcBorders>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废气（t/a）</w:t>
            </w:r>
          </w:p>
        </w:tc>
        <w:tc>
          <w:tcPr>
            <w:tcW w:w="825" w:type="dxa"/>
            <w:vMerge w:val="restart"/>
            <w:tcBorders>
              <w:left w:val="single" w:color="000000" w:sz="2" w:space="0"/>
            </w:tcBorders>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有组织</w:t>
            </w:r>
          </w:p>
        </w:tc>
        <w:tc>
          <w:tcPr>
            <w:tcW w:w="1484" w:type="dxa"/>
            <w:tcBorders>
              <w:bottom w:val="single" w:color="000000" w:sz="2" w:space="0"/>
            </w:tcBorders>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颗粒物</w:t>
            </w:r>
          </w:p>
        </w:tc>
        <w:tc>
          <w:tcPr>
            <w:tcW w:w="1879" w:type="dxa"/>
            <w:tcBorders>
              <w:bottom w:val="single" w:color="000000" w:sz="2" w:space="0"/>
            </w:tcBorders>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w:t>
            </w:r>
          </w:p>
        </w:tc>
        <w:tc>
          <w:tcPr>
            <w:tcW w:w="1227" w:type="dxa"/>
            <w:tcBorders>
              <w:bottom w:val="single" w:color="000000" w:sz="2" w:space="0"/>
            </w:tcBorders>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w:t>
            </w:r>
          </w:p>
        </w:tc>
        <w:tc>
          <w:tcPr>
            <w:tcW w:w="1828" w:type="dxa"/>
            <w:tcBorders>
              <w:bottom w:val="single" w:color="000000" w:sz="2" w:space="0"/>
            </w:tcBorders>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w:t>
            </w:r>
          </w:p>
        </w:tc>
        <w:tc>
          <w:tcPr>
            <w:tcW w:w="1615" w:type="dxa"/>
            <w:tcBorders>
              <w:bottom w:val="single" w:color="000000" w:sz="2" w:space="0"/>
            </w:tcBorders>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0.005548</w:t>
            </w:r>
          </w:p>
        </w:tc>
        <w:tc>
          <w:tcPr>
            <w:tcW w:w="1623" w:type="dxa"/>
            <w:tcBorders>
              <w:bottom w:val="single" w:color="000000" w:sz="2" w:space="0"/>
            </w:tcBorders>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0</w:t>
            </w:r>
          </w:p>
        </w:tc>
        <w:tc>
          <w:tcPr>
            <w:tcW w:w="1801" w:type="dxa"/>
            <w:tcBorders>
              <w:bottom w:val="single" w:color="000000" w:sz="2" w:space="0"/>
            </w:tcBorders>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0.005548</w:t>
            </w:r>
          </w:p>
        </w:tc>
        <w:tc>
          <w:tcPr>
            <w:tcW w:w="1249" w:type="dxa"/>
            <w:tcBorders>
              <w:bottom w:val="single" w:color="000000" w:sz="2" w:space="0"/>
            </w:tcBorders>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0.005548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42" w:type="dxa"/>
            <w:vMerge w:val="continue"/>
            <w:tcBorders>
              <w:right w:val="single" w:color="000000" w:sz="2" w:space="0"/>
            </w:tcBorders>
            <w:vAlign w:val="center"/>
          </w:tcPr>
          <w:p>
            <w:pPr>
              <w:widowControl/>
              <w:jc w:val="center"/>
              <w:rPr>
                <w:rFonts w:hint="eastAsia"/>
                <w:kern w:val="0"/>
                <w:szCs w:val="21"/>
                <w:highlight w:val="none"/>
                <w:lang w:val="en-US" w:eastAsia="zh-CN"/>
              </w:rPr>
            </w:pPr>
          </w:p>
        </w:tc>
        <w:tc>
          <w:tcPr>
            <w:tcW w:w="825" w:type="dxa"/>
            <w:vMerge w:val="continue"/>
            <w:tcBorders>
              <w:left w:val="single" w:color="000000" w:sz="2" w:space="0"/>
            </w:tcBorders>
            <w:vAlign w:val="center"/>
          </w:tcPr>
          <w:p>
            <w:pPr>
              <w:widowControl/>
              <w:jc w:val="center"/>
              <w:rPr>
                <w:rFonts w:hint="eastAsia"/>
                <w:kern w:val="0"/>
                <w:szCs w:val="21"/>
                <w:highlight w:val="none"/>
                <w:lang w:val="en-US" w:eastAsia="zh-CN"/>
              </w:rPr>
            </w:pPr>
          </w:p>
        </w:tc>
        <w:tc>
          <w:tcPr>
            <w:tcW w:w="1484" w:type="dxa"/>
            <w:tcBorders>
              <w:bottom w:val="single" w:color="000000" w:sz="2" w:space="0"/>
            </w:tcBorders>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非甲烷总烃</w:t>
            </w:r>
          </w:p>
        </w:tc>
        <w:tc>
          <w:tcPr>
            <w:tcW w:w="1879" w:type="dxa"/>
            <w:tcBorders>
              <w:bottom w:val="single" w:color="000000" w:sz="2" w:space="0"/>
            </w:tcBorders>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w:t>
            </w:r>
          </w:p>
        </w:tc>
        <w:tc>
          <w:tcPr>
            <w:tcW w:w="1227" w:type="dxa"/>
            <w:tcBorders>
              <w:bottom w:val="single" w:color="000000" w:sz="2" w:space="0"/>
            </w:tcBorders>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w:t>
            </w:r>
          </w:p>
        </w:tc>
        <w:tc>
          <w:tcPr>
            <w:tcW w:w="1828" w:type="dxa"/>
            <w:tcBorders>
              <w:bottom w:val="single" w:color="000000" w:sz="2" w:space="0"/>
            </w:tcBorders>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w:t>
            </w:r>
          </w:p>
        </w:tc>
        <w:tc>
          <w:tcPr>
            <w:tcW w:w="1615" w:type="dxa"/>
            <w:tcBorders>
              <w:bottom w:val="single" w:color="000000" w:sz="2" w:space="0"/>
            </w:tcBorders>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0.21247</w:t>
            </w:r>
          </w:p>
        </w:tc>
        <w:tc>
          <w:tcPr>
            <w:tcW w:w="1623" w:type="dxa"/>
            <w:tcBorders>
              <w:bottom w:val="single" w:color="000000" w:sz="2" w:space="0"/>
            </w:tcBorders>
            <w:vAlign w:val="center"/>
          </w:tcPr>
          <w:p>
            <w:pPr>
              <w:widowControl/>
              <w:jc w:val="center"/>
              <w:rPr>
                <w:rFonts w:hint="eastAsia"/>
                <w:kern w:val="0"/>
                <w:szCs w:val="21"/>
                <w:highlight w:val="none"/>
                <w:lang w:val="en-US" w:eastAsia="zh-CN"/>
              </w:rPr>
            </w:pPr>
          </w:p>
        </w:tc>
        <w:tc>
          <w:tcPr>
            <w:tcW w:w="1801" w:type="dxa"/>
            <w:tcBorders>
              <w:bottom w:val="single" w:color="000000" w:sz="2" w:space="0"/>
            </w:tcBorders>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0.21247</w:t>
            </w:r>
          </w:p>
        </w:tc>
        <w:tc>
          <w:tcPr>
            <w:tcW w:w="1249" w:type="dxa"/>
            <w:tcBorders>
              <w:bottom w:val="single" w:color="000000" w:sz="2" w:space="0"/>
            </w:tcBorders>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0.21247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42" w:type="dxa"/>
            <w:vMerge w:val="continue"/>
            <w:tcBorders>
              <w:right w:val="single" w:color="000000" w:sz="2" w:space="0"/>
            </w:tcBorders>
            <w:vAlign w:val="center"/>
          </w:tcPr>
          <w:p>
            <w:pPr>
              <w:widowControl/>
              <w:jc w:val="center"/>
              <w:rPr>
                <w:rFonts w:hint="eastAsia"/>
                <w:kern w:val="0"/>
                <w:szCs w:val="21"/>
                <w:highlight w:val="none"/>
                <w:lang w:val="en-US" w:eastAsia="zh-CN"/>
              </w:rPr>
            </w:pPr>
          </w:p>
        </w:tc>
        <w:tc>
          <w:tcPr>
            <w:tcW w:w="825" w:type="dxa"/>
            <w:vMerge w:val="continue"/>
            <w:tcBorders>
              <w:left w:val="single" w:color="000000" w:sz="2" w:space="0"/>
            </w:tcBorders>
            <w:vAlign w:val="center"/>
          </w:tcPr>
          <w:p>
            <w:pPr>
              <w:widowControl/>
              <w:jc w:val="center"/>
              <w:rPr>
                <w:rFonts w:hint="eastAsia"/>
                <w:kern w:val="0"/>
                <w:szCs w:val="21"/>
                <w:highlight w:val="none"/>
                <w:lang w:val="en-US" w:eastAsia="zh-CN"/>
              </w:rPr>
            </w:pPr>
          </w:p>
        </w:tc>
        <w:tc>
          <w:tcPr>
            <w:tcW w:w="1484" w:type="dxa"/>
            <w:tcBorders>
              <w:bottom w:val="single" w:color="000000" w:sz="2" w:space="0"/>
            </w:tcBorders>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苯乙烯</w:t>
            </w:r>
          </w:p>
        </w:tc>
        <w:tc>
          <w:tcPr>
            <w:tcW w:w="1879" w:type="dxa"/>
            <w:tcBorders>
              <w:bottom w:val="single" w:color="000000" w:sz="2" w:space="0"/>
            </w:tcBorders>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w:t>
            </w:r>
          </w:p>
        </w:tc>
        <w:tc>
          <w:tcPr>
            <w:tcW w:w="1227" w:type="dxa"/>
            <w:tcBorders>
              <w:bottom w:val="single" w:color="000000" w:sz="2" w:space="0"/>
            </w:tcBorders>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w:t>
            </w:r>
          </w:p>
        </w:tc>
        <w:tc>
          <w:tcPr>
            <w:tcW w:w="1828" w:type="dxa"/>
            <w:tcBorders>
              <w:bottom w:val="single" w:color="000000" w:sz="2" w:space="0"/>
            </w:tcBorders>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w:t>
            </w:r>
          </w:p>
        </w:tc>
        <w:tc>
          <w:tcPr>
            <w:tcW w:w="1615" w:type="dxa"/>
            <w:tcBorders>
              <w:bottom w:val="single" w:color="000000" w:sz="2" w:space="0"/>
            </w:tcBorders>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0.0075</w:t>
            </w:r>
          </w:p>
        </w:tc>
        <w:tc>
          <w:tcPr>
            <w:tcW w:w="1623" w:type="dxa"/>
            <w:tcBorders>
              <w:bottom w:val="single" w:color="000000" w:sz="2" w:space="0"/>
            </w:tcBorders>
            <w:vAlign w:val="center"/>
          </w:tcPr>
          <w:p>
            <w:pPr>
              <w:widowControl/>
              <w:jc w:val="center"/>
              <w:rPr>
                <w:rFonts w:hint="eastAsia"/>
                <w:kern w:val="0"/>
                <w:szCs w:val="21"/>
                <w:highlight w:val="none"/>
                <w:lang w:val="en-US" w:eastAsia="zh-CN"/>
              </w:rPr>
            </w:pPr>
          </w:p>
        </w:tc>
        <w:tc>
          <w:tcPr>
            <w:tcW w:w="1801" w:type="dxa"/>
            <w:tcBorders>
              <w:bottom w:val="single" w:color="000000" w:sz="2" w:space="0"/>
            </w:tcBorders>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0.0075</w:t>
            </w:r>
          </w:p>
        </w:tc>
        <w:tc>
          <w:tcPr>
            <w:tcW w:w="1249" w:type="dxa"/>
            <w:tcBorders>
              <w:bottom w:val="single" w:color="000000" w:sz="2" w:space="0"/>
            </w:tcBorders>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0.0075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42" w:type="dxa"/>
            <w:vMerge w:val="continue"/>
            <w:tcBorders>
              <w:right w:val="single" w:color="000000" w:sz="2" w:space="0"/>
            </w:tcBorders>
            <w:vAlign w:val="center"/>
          </w:tcPr>
          <w:p>
            <w:pPr>
              <w:widowControl/>
              <w:jc w:val="center"/>
              <w:rPr>
                <w:rFonts w:hint="eastAsia"/>
                <w:kern w:val="0"/>
                <w:szCs w:val="21"/>
                <w:highlight w:val="none"/>
                <w:lang w:val="en-US" w:eastAsia="zh-CN"/>
              </w:rPr>
            </w:pPr>
          </w:p>
        </w:tc>
        <w:tc>
          <w:tcPr>
            <w:tcW w:w="825" w:type="dxa"/>
            <w:vMerge w:val="continue"/>
            <w:tcBorders>
              <w:left w:val="single" w:color="000000" w:sz="2" w:space="0"/>
            </w:tcBorders>
            <w:vAlign w:val="center"/>
          </w:tcPr>
          <w:p>
            <w:pPr>
              <w:widowControl/>
              <w:jc w:val="center"/>
              <w:rPr>
                <w:rFonts w:hint="eastAsia"/>
                <w:kern w:val="0"/>
                <w:szCs w:val="21"/>
                <w:highlight w:val="none"/>
                <w:lang w:val="en-US" w:eastAsia="zh-CN"/>
              </w:rPr>
            </w:pPr>
          </w:p>
        </w:tc>
        <w:tc>
          <w:tcPr>
            <w:tcW w:w="1484" w:type="dxa"/>
            <w:tcBorders>
              <w:bottom w:val="single" w:color="000000" w:sz="2" w:space="0"/>
            </w:tcBorders>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丙烯腈</w:t>
            </w:r>
          </w:p>
        </w:tc>
        <w:tc>
          <w:tcPr>
            <w:tcW w:w="1879" w:type="dxa"/>
            <w:tcBorders>
              <w:bottom w:val="single" w:color="000000" w:sz="2" w:space="0"/>
            </w:tcBorders>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w:t>
            </w:r>
          </w:p>
        </w:tc>
        <w:tc>
          <w:tcPr>
            <w:tcW w:w="1227" w:type="dxa"/>
            <w:tcBorders>
              <w:bottom w:val="single" w:color="000000" w:sz="2" w:space="0"/>
            </w:tcBorders>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w:t>
            </w:r>
          </w:p>
        </w:tc>
        <w:tc>
          <w:tcPr>
            <w:tcW w:w="1828" w:type="dxa"/>
            <w:tcBorders>
              <w:bottom w:val="single" w:color="000000" w:sz="2" w:space="0"/>
            </w:tcBorders>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w:t>
            </w:r>
          </w:p>
        </w:tc>
        <w:tc>
          <w:tcPr>
            <w:tcW w:w="1615" w:type="dxa"/>
            <w:tcBorders>
              <w:bottom w:val="single" w:color="000000" w:sz="2" w:space="0"/>
            </w:tcBorders>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0.0045</w:t>
            </w:r>
          </w:p>
        </w:tc>
        <w:tc>
          <w:tcPr>
            <w:tcW w:w="1623" w:type="dxa"/>
            <w:tcBorders>
              <w:bottom w:val="single" w:color="000000" w:sz="2" w:space="0"/>
            </w:tcBorders>
            <w:vAlign w:val="center"/>
          </w:tcPr>
          <w:p>
            <w:pPr>
              <w:widowControl/>
              <w:jc w:val="center"/>
              <w:rPr>
                <w:rFonts w:hint="eastAsia"/>
                <w:kern w:val="0"/>
                <w:szCs w:val="21"/>
                <w:highlight w:val="none"/>
                <w:lang w:val="en-US" w:eastAsia="zh-CN"/>
              </w:rPr>
            </w:pPr>
          </w:p>
        </w:tc>
        <w:tc>
          <w:tcPr>
            <w:tcW w:w="1801" w:type="dxa"/>
            <w:tcBorders>
              <w:bottom w:val="single" w:color="000000" w:sz="2" w:space="0"/>
            </w:tcBorders>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0.0045</w:t>
            </w:r>
          </w:p>
        </w:tc>
        <w:tc>
          <w:tcPr>
            <w:tcW w:w="1249" w:type="dxa"/>
            <w:tcBorders>
              <w:bottom w:val="single" w:color="000000" w:sz="2" w:space="0"/>
            </w:tcBorders>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0.0045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42" w:type="dxa"/>
            <w:vMerge w:val="restart"/>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废水（t/a）</w:t>
            </w:r>
          </w:p>
        </w:tc>
        <w:tc>
          <w:tcPr>
            <w:tcW w:w="825" w:type="dxa"/>
            <w:vMerge w:val="restart"/>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生活污水</w:t>
            </w:r>
          </w:p>
        </w:tc>
        <w:tc>
          <w:tcPr>
            <w:tcW w:w="1484"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废水量</w:t>
            </w:r>
          </w:p>
        </w:tc>
        <w:tc>
          <w:tcPr>
            <w:tcW w:w="1879"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w:t>
            </w:r>
          </w:p>
        </w:tc>
        <w:tc>
          <w:tcPr>
            <w:tcW w:w="1227"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w:t>
            </w:r>
          </w:p>
        </w:tc>
        <w:tc>
          <w:tcPr>
            <w:tcW w:w="1828"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w:t>
            </w:r>
          </w:p>
        </w:tc>
        <w:tc>
          <w:tcPr>
            <w:tcW w:w="1615" w:type="dxa"/>
            <w:vAlign w:val="center"/>
          </w:tcPr>
          <w:p>
            <w:pPr>
              <w:widowControl/>
              <w:jc w:val="center"/>
              <w:rPr>
                <w:rFonts w:hint="default"/>
                <w:kern w:val="0"/>
                <w:szCs w:val="21"/>
                <w:highlight w:val="none"/>
                <w:lang w:val="en-US" w:eastAsia="zh-CN"/>
              </w:rPr>
            </w:pPr>
            <w:r>
              <w:rPr>
                <w:rFonts w:hint="eastAsia"/>
                <w:kern w:val="0"/>
                <w:szCs w:val="21"/>
                <w:highlight w:val="none"/>
                <w:lang w:val="en-US" w:eastAsia="zh-CN"/>
              </w:rPr>
              <w:t>1200</w:t>
            </w:r>
          </w:p>
        </w:tc>
        <w:tc>
          <w:tcPr>
            <w:tcW w:w="1623"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0</w:t>
            </w:r>
          </w:p>
        </w:tc>
        <w:tc>
          <w:tcPr>
            <w:tcW w:w="1801"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1200</w:t>
            </w:r>
          </w:p>
        </w:tc>
        <w:tc>
          <w:tcPr>
            <w:tcW w:w="1249"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1200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642" w:type="dxa"/>
            <w:vMerge w:val="continue"/>
            <w:vAlign w:val="center"/>
          </w:tcPr>
          <w:p>
            <w:pPr>
              <w:widowControl/>
              <w:jc w:val="center"/>
              <w:rPr>
                <w:rFonts w:hint="eastAsia"/>
                <w:kern w:val="0"/>
                <w:szCs w:val="21"/>
                <w:highlight w:val="none"/>
                <w:lang w:val="en-US" w:eastAsia="zh-CN"/>
              </w:rPr>
            </w:pPr>
          </w:p>
        </w:tc>
        <w:tc>
          <w:tcPr>
            <w:tcW w:w="825" w:type="dxa"/>
            <w:vMerge w:val="continue"/>
            <w:vAlign w:val="center"/>
          </w:tcPr>
          <w:p>
            <w:pPr>
              <w:widowControl/>
              <w:jc w:val="center"/>
              <w:rPr>
                <w:rFonts w:hint="eastAsia"/>
                <w:kern w:val="0"/>
                <w:szCs w:val="21"/>
                <w:highlight w:val="none"/>
                <w:lang w:val="en-US" w:eastAsia="zh-CN"/>
              </w:rPr>
            </w:pPr>
          </w:p>
        </w:tc>
        <w:tc>
          <w:tcPr>
            <w:tcW w:w="1484"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COD</w:t>
            </w:r>
          </w:p>
        </w:tc>
        <w:tc>
          <w:tcPr>
            <w:tcW w:w="1879"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w:t>
            </w:r>
          </w:p>
        </w:tc>
        <w:tc>
          <w:tcPr>
            <w:tcW w:w="1227"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w:t>
            </w:r>
          </w:p>
        </w:tc>
        <w:tc>
          <w:tcPr>
            <w:tcW w:w="1828"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w:t>
            </w:r>
          </w:p>
        </w:tc>
        <w:tc>
          <w:tcPr>
            <w:tcW w:w="1615" w:type="dxa"/>
            <w:vAlign w:val="bottom"/>
          </w:tcPr>
          <w:p>
            <w:pPr>
              <w:widowControl/>
              <w:jc w:val="center"/>
              <w:rPr>
                <w:rFonts w:hint="eastAsia"/>
                <w:kern w:val="0"/>
                <w:szCs w:val="21"/>
                <w:highlight w:val="none"/>
                <w:lang w:val="en-US" w:eastAsia="zh-CN"/>
              </w:rPr>
            </w:pPr>
            <w:r>
              <w:rPr>
                <w:rFonts w:hint="eastAsia"/>
                <w:kern w:val="0"/>
                <w:szCs w:val="21"/>
                <w:highlight w:val="none"/>
                <w:lang w:val="en-US" w:eastAsia="zh-CN"/>
              </w:rPr>
              <w:t>0.42</w:t>
            </w:r>
          </w:p>
        </w:tc>
        <w:tc>
          <w:tcPr>
            <w:tcW w:w="1623"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0</w:t>
            </w:r>
          </w:p>
        </w:tc>
        <w:tc>
          <w:tcPr>
            <w:tcW w:w="1801" w:type="dxa"/>
            <w:vAlign w:val="bottom"/>
          </w:tcPr>
          <w:p>
            <w:pPr>
              <w:widowControl/>
              <w:jc w:val="center"/>
              <w:rPr>
                <w:rFonts w:hint="eastAsia"/>
                <w:kern w:val="0"/>
                <w:szCs w:val="21"/>
                <w:highlight w:val="none"/>
                <w:lang w:val="en-US" w:eastAsia="zh-CN"/>
              </w:rPr>
            </w:pPr>
            <w:r>
              <w:rPr>
                <w:rFonts w:hint="eastAsia"/>
                <w:kern w:val="0"/>
                <w:szCs w:val="21"/>
                <w:highlight w:val="none"/>
                <w:lang w:val="en-US" w:eastAsia="zh-CN"/>
              </w:rPr>
              <w:t>0.42</w:t>
            </w:r>
          </w:p>
        </w:tc>
        <w:tc>
          <w:tcPr>
            <w:tcW w:w="1249" w:type="dxa"/>
            <w:vAlign w:val="bottom"/>
          </w:tcPr>
          <w:p>
            <w:pPr>
              <w:widowControl/>
              <w:jc w:val="center"/>
              <w:rPr>
                <w:rFonts w:hint="eastAsia"/>
                <w:kern w:val="0"/>
                <w:szCs w:val="21"/>
                <w:highlight w:val="none"/>
                <w:lang w:val="en-US" w:eastAsia="zh-CN"/>
              </w:rPr>
            </w:pPr>
            <w:r>
              <w:rPr>
                <w:rFonts w:hint="eastAsia"/>
                <w:kern w:val="0"/>
                <w:szCs w:val="21"/>
                <w:highlight w:val="none"/>
                <w:lang w:val="en-US" w:eastAsia="zh-CN"/>
              </w:rPr>
              <w:t>0.42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42" w:type="dxa"/>
            <w:vMerge w:val="continue"/>
            <w:vAlign w:val="center"/>
          </w:tcPr>
          <w:p>
            <w:pPr>
              <w:widowControl/>
              <w:jc w:val="center"/>
              <w:rPr>
                <w:rFonts w:hint="eastAsia"/>
                <w:kern w:val="0"/>
                <w:szCs w:val="21"/>
                <w:highlight w:val="none"/>
                <w:lang w:val="en-US" w:eastAsia="zh-CN"/>
              </w:rPr>
            </w:pPr>
          </w:p>
        </w:tc>
        <w:tc>
          <w:tcPr>
            <w:tcW w:w="825" w:type="dxa"/>
            <w:vMerge w:val="continue"/>
            <w:vAlign w:val="center"/>
          </w:tcPr>
          <w:p>
            <w:pPr>
              <w:widowControl/>
              <w:jc w:val="center"/>
              <w:rPr>
                <w:rFonts w:hint="eastAsia"/>
                <w:kern w:val="0"/>
                <w:szCs w:val="21"/>
                <w:highlight w:val="none"/>
                <w:lang w:val="en-US" w:eastAsia="zh-CN"/>
              </w:rPr>
            </w:pPr>
          </w:p>
        </w:tc>
        <w:tc>
          <w:tcPr>
            <w:tcW w:w="1484"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SS</w:t>
            </w:r>
          </w:p>
        </w:tc>
        <w:tc>
          <w:tcPr>
            <w:tcW w:w="1879"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w:t>
            </w:r>
          </w:p>
        </w:tc>
        <w:tc>
          <w:tcPr>
            <w:tcW w:w="1227"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w:t>
            </w:r>
          </w:p>
        </w:tc>
        <w:tc>
          <w:tcPr>
            <w:tcW w:w="1828"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w:t>
            </w:r>
          </w:p>
        </w:tc>
        <w:tc>
          <w:tcPr>
            <w:tcW w:w="1615" w:type="dxa"/>
            <w:vAlign w:val="bottom"/>
          </w:tcPr>
          <w:p>
            <w:pPr>
              <w:widowControl/>
              <w:jc w:val="center"/>
              <w:rPr>
                <w:rFonts w:hint="eastAsia"/>
                <w:kern w:val="0"/>
                <w:szCs w:val="21"/>
                <w:highlight w:val="none"/>
                <w:lang w:val="en-US" w:eastAsia="zh-CN"/>
              </w:rPr>
            </w:pPr>
            <w:r>
              <w:rPr>
                <w:rFonts w:hint="eastAsia"/>
                <w:kern w:val="0"/>
                <w:szCs w:val="21"/>
                <w:highlight w:val="none"/>
                <w:lang w:val="en-US" w:eastAsia="zh-CN"/>
              </w:rPr>
              <w:t>0.36</w:t>
            </w:r>
          </w:p>
        </w:tc>
        <w:tc>
          <w:tcPr>
            <w:tcW w:w="1623"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0</w:t>
            </w:r>
          </w:p>
        </w:tc>
        <w:tc>
          <w:tcPr>
            <w:tcW w:w="1801" w:type="dxa"/>
            <w:vAlign w:val="bottom"/>
          </w:tcPr>
          <w:p>
            <w:pPr>
              <w:widowControl/>
              <w:jc w:val="center"/>
              <w:rPr>
                <w:rFonts w:hint="eastAsia"/>
                <w:kern w:val="0"/>
                <w:szCs w:val="21"/>
                <w:highlight w:val="none"/>
                <w:lang w:val="en-US" w:eastAsia="zh-CN"/>
              </w:rPr>
            </w:pPr>
            <w:r>
              <w:rPr>
                <w:rFonts w:hint="eastAsia"/>
                <w:kern w:val="0"/>
                <w:szCs w:val="21"/>
                <w:highlight w:val="none"/>
                <w:lang w:val="en-US" w:eastAsia="zh-CN"/>
              </w:rPr>
              <w:t>0.36</w:t>
            </w:r>
          </w:p>
        </w:tc>
        <w:tc>
          <w:tcPr>
            <w:tcW w:w="1249" w:type="dxa"/>
            <w:vAlign w:val="bottom"/>
          </w:tcPr>
          <w:p>
            <w:pPr>
              <w:widowControl/>
              <w:jc w:val="center"/>
              <w:rPr>
                <w:rFonts w:hint="eastAsia"/>
                <w:kern w:val="0"/>
                <w:szCs w:val="21"/>
                <w:highlight w:val="none"/>
                <w:lang w:val="en-US" w:eastAsia="zh-CN"/>
              </w:rPr>
            </w:pPr>
            <w:r>
              <w:rPr>
                <w:rFonts w:hint="eastAsia"/>
                <w:kern w:val="0"/>
                <w:szCs w:val="21"/>
                <w:highlight w:val="none"/>
                <w:lang w:val="en-US" w:eastAsia="zh-CN"/>
              </w:rPr>
              <w:t>0.36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42" w:type="dxa"/>
            <w:vMerge w:val="continue"/>
            <w:vAlign w:val="center"/>
          </w:tcPr>
          <w:p>
            <w:pPr>
              <w:widowControl/>
              <w:jc w:val="center"/>
              <w:rPr>
                <w:rFonts w:hint="eastAsia"/>
                <w:kern w:val="0"/>
                <w:szCs w:val="21"/>
                <w:highlight w:val="none"/>
                <w:lang w:val="en-US" w:eastAsia="zh-CN"/>
              </w:rPr>
            </w:pPr>
          </w:p>
        </w:tc>
        <w:tc>
          <w:tcPr>
            <w:tcW w:w="825" w:type="dxa"/>
            <w:vMerge w:val="continue"/>
            <w:vAlign w:val="center"/>
          </w:tcPr>
          <w:p>
            <w:pPr>
              <w:widowControl/>
              <w:jc w:val="center"/>
              <w:rPr>
                <w:rFonts w:hint="eastAsia"/>
                <w:kern w:val="0"/>
                <w:szCs w:val="21"/>
                <w:highlight w:val="none"/>
                <w:lang w:val="en-US" w:eastAsia="zh-CN"/>
              </w:rPr>
            </w:pPr>
          </w:p>
        </w:tc>
        <w:tc>
          <w:tcPr>
            <w:tcW w:w="1484"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总氮</w:t>
            </w:r>
          </w:p>
        </w:tc>
        <w:tc>
          <w:tcPr>
            <w:tcW w:w="1879"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w:t>
            </w:r>
          </w:p>
        </w:tc>
        <w:tc>
          <w:tcPr>
            <w:tcW w:w="1227"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w:t>
            </w:r>
          </w:p>
        </w:tc>
        <w:tc>
          <w:tcPr>
            <w:tcW w:w="1828"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w:t>
            </w:r>
          </w:p>
        </w:tc>
        <w:tc>
          <w:tcPr>
            <w:tcW w:w="1615" w:type="dxa"/>
            <w:vAlign w:val="bottom"/>
          </w:tcPr>
          <w:p>
            <w:pPr>
              <w:widowControl/>
              <w:jc w:val="center"/>
              <w:rPr>
                <w:rFonts w:hint="eastAsia"/>
                <w:kern w:val="0"/>
                <w:szCs w:val="21"/>
                <w:highlight w:val="none"/>
                <w:lang w:val="en-US" w:eastAsia="zh-CN"/>
              </w:rPr>
            </w:pPr>
            <w:r>
              <w:rPr>
                <w:rFonts w:hint="eastAsia"/>
                <w:kern w:val="0"/>
                <w:szCs w:val="21"/>
                <w:highlight w:val="none"/>
                <w:lang w:val="en-US" w:eastAsia="zh-CN"/>
              </w:rPr>
              <w:t>0.048</w:t>
            </w:r>
          </w:p>
        </w:tc>
        <w:tc>
          <w:tcPr>
            <w:tcW w:w="1623"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0</w:t>
            </w:r>
          </w:p>
        </w:tc>
        <w:tc>
          <w:tcPr>
            <w:tcW w:w="1801" w:type="dxa"/>
            <w:vAlign w:val="bottom"/>
          </w:tcPr>
          <w:p>
            <w:pPr>
              <w:widowControl/>
              <w:jc w:val="center"/>
              <w:rPr>
                <w:rFonts w:hint="eastAsia"/>
                <w:kern w:val="0"/>
                <w:szCs w:val="21"/>
                <w:highlight w:val="none"/>
                <w:lang w:val="en-US" w:eastAsia="zh-CN"/>
              </w:rPr>
            </w:pPr>
            <w:r>
              <w:rPr>
                <w:rFonts w:hint="eastAsia"/>
                <w:kern w:val="0"/>
                <w:szCs w:val="21"/>
                <w:highlight w:val="none"/>
                <w:lang w:val="en-US" w:eastAsia="zh-CN"/>
              </w:rPr>
              <w:t>0.048</w:t>
            </w:r>
          </w:p>
        </w:tc>
        <w:tc>
          <w:tcPr>
            <w:tcW w:w="1249" w:type="dxa"/>
            <w:vAlign w:val="bottom"/>
          </w:tcPr>
          <w:p>
            <w:pPr>
              <w:widowControl/>
              <w:jc w:val="center"/>
              <w:rPr>
                <w:rFonts w:hint="eastAsia"/>
                <w:kern w:val="0"/>
                <w:szCs w:val="21"/>
                <w:highlight w:val="none"/>
                <w:lang w:val="en-US" w:eastAsia="zh-CN"/>
              </w:rPr>
            </w:pPr>
            <w:r>
              <w:rPr>
                <w:rFonts w:hint="eastAsia"/>
                <w:kern w:val="0"/>
                <w:szCs w:val="21"/>
                <w:highlight w:val="none"/>
                <w:lang w:val="en-US" w:eastAsia="zh-CN"/>
              </w:rPr>
              <w:t>0.048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42" w:type="dxa"/>
            <w:vMerge w:val="continue"/>
            <w:vAlign w:val="center"/>
          </w:tcPr>
          <w:p>
            <w:pPr>
              <w:widowControl/>
              <w:jc w:val="center"/>
              <w:rPr>
                <w:rFonts w:hint="eastAsia"/>
                <w:kern w:val="0"/>
                <w:szCs w:val="21"/>
                <w:highlight w:val="none"/>
                <w:lang w:val="en-US" w:eastAsia="zh-CN"/>
              </w:rPr>
            </w:pPr>
          </w:p>
        </w:tc>
        <w:tc>
          <w:tcPr>
            <w:tcW w:w="825" w:type="dxa"/>
            <w:vMerge w:val="continue"/>
            <w:vAlign w:val="center"/>
          </w:tcPr>
          <w:p>
            <w:pPr>
              <w:widowControl/>
              <w:jc w:val="center"/>
              <w:rPr>
                <w:rFonts w:hint="eastAsia"/>
                <w:kern w:val="0"/>
                <w:szCs w:val="21"/>
                <w:highlight w:val="none"/>
                <w:lang w:val="en-US" w:eastAsia="zh-CN"/>
              </w:rPr>
            </w:pPr>
          </w:p>
        </w:tc>
        <w:tc>
          <w:tcPr>
            <w:tcW w:w="1484"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氨氮</w:t>
            </w:r>
          </w:p>
        </w:tc>
        <w:tc>
          <w:tcPr>
            <w:tcW w:w="1879"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w:t>
            </w:r>
          </w:p>
        </w:tc>
        <w:tc>
          <w:tcPr>
            <w:tcW w:w="1227"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w:t>
            </w:r>
          </w:p>
        </w:tc>
        <w:tc>
          <w:tcPr>
            <w:tcW w:w="1828"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w:t>
            </w:r>
          </w:p>
        </w:tc>
        <w:tc>
          <w:tcPr>
            <w:tcW w:w="1615" w:type="dxa"/>
            <w:vAlign w:val="bottom"/>
          </w:tcPr>
          <w:p>
            <w:pPr>
              <w:widowControl/>
              <w:jc w:val="center"/>
              <w:rPr>
                <w:rFonts w:hint="eastAsia"/>
                <w:kern w:val="0"/>
                <w:szCs w:val="21"/>
                <w:highlight w:val="none"/>
                <w:lang w:val="en-US" w:eastAsia="zh-CN"/>
              </w:rPr>
            </w:pPr>
            <w:r>
              <w:rPr>
                <w:rFonts w:hint="eastAsia"/>
                <w:kern w:val="0"/>
                <w:szCs w:val="21"/>
                <w:highlight w:val="none"/>
                <w:lang w:val="en-US" w:eastAsia="zh-CN"/>
              </w:rPr>
              <w:t>0.03</w:t>
            </w:r>
          </w:p>
        </w:tc>
        <w:tc>
          <w:tcPr>
            <w:tcW w:w="1623"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0</w:t>
            </w:r>
          </w:p>
        </w:tc>
        <w:tc>
          <w:tcPr>
            <w:tcW w:w="1801" w:type="dxa"/>
            <w:vAlign w:val="bottom"/>
          </w:tcPr>
          <w:p>
            <w:pPr>
              <w:widowControl/>
              <w:jc w:val="center"/>
              <w:rPr>
                <w:rFonts w:hint="eastAsia"/>
                <w:kern w:val="0"/>
                <w:szCs w:val="21"/>
                <w:highlight w:val="none"/>
                <w:lang w:val="en-US" w:eastAsia="zh-CN"/>
              </w:rPr>
            </w:pPr>
            <w:r>
              <w:rPr>
                <w:rFonts w:hint="eastAsia"/>
                <w:kern w:val="0"/>
                <w:szCs w:val="21"/>
                <w:highlight w:val="none"/>
                <w:lang w:val="en-US" w:eastAsia="zh-CN"/>
              </w:rPr>
              <w:t>0.03</w:t>
            </w:r>
          </w:p>
        </w:tc>
        <w:tc>
          <w:tcPr>
            <w:tcW w:w="1249" w:type="dxa"/>
            <w:vAlign w:val="bottom"/>
          </w:tcPr>
          <w:p>
            <w:pPr>
              <w:widowControl/>
              <w:jc w:val="center"/>
              <w:rPr>
                <w:rFonts w:hint="eastAsia"/>
                <w:kern w:val="0"/>
                <w:szCs w:val="21"/>
                <w:highlight w:val="none"/>
                <w:lang w:val="en-US" w:eastAsia="zh-CN"/>
              </w:rPr>
            </w:pPr>
            <w:r>
              <w:rPr>
                <w:rFonts w:hint="eastAsia"/>
                <w:kern w:val="0"/>
                <w:szCs w:val="21"/>
                <w:highlight w:val="none"/>
                <w:lang w:val="en-US" w:eastAsia="zh-CN"/>
              </w:rPr>
              <w:t>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42" w:type="dxa"/>
            <w:vMerge w:val="continue"/>
            <w:vAlign w:val="center"/>
          </w:tcPr>
          <w:p>
            <w:pPr>
              <w:widowControl/>
              <w:jc w:val="center"/>
              <w:rPr>
                <w:rFonts w:hint="eastAsia"/>
                <w:kern w:val="0"/>
                <w:szCs w:val="21"/>
                <w:highlight w:val="none"/>
                <w:lang w:val="en-US" w:eastAsia="zh-CN"/>
              </w:rPr>
            </w:pPr>
          </w:p>
        </w:tc>
        <w:tc>
          <w:tcPr>
            <w:tcW w:w="825" w:type="dxa"/>
            <w:vAlign w:val="center"/>
          </w:tcPr>
          <w:p>
            <w:pPr>
              <w:widowControl/>
              <w:jc w:val="center"/>
              <w:rPr>
                <w:rFonts w:hint="eastAsia"/>
                <w:kern w:val="0"/>
                <w:szCs w:val="21"/>
                <w:highlight w:val="none"/>
                <w:lang w:val="en-US" w:eastAsia="zh-CN"/>
              </w:rPr>
            </w:pPr>
          </w:p>
        </w:tc>
        <w:tc>
          <w:tcPr>
            <w:tcW w:w="1484"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总磷</w:t>
            </w:r>
          </w:p>
        </w:tc>
        <w:tc>
          <w:tcPr>
            <w:tcW w:w="1879" w:type="dxa"/>
            <w:vAlign w:val="center"/>
          </w:tcPr>
          <w:p>
            <w:pPr>
              <w:widowControl/>
              <w:jc w:val="center"/>
              <w:rPr>
                <w:rFonts w:hint="eastAsia"/>
                <w:kern w:val="0"/>
                <w:szCs w:val="21"/>
                <w:highlight w:val="none"/>
                <w:lang w:val="en-US" w:eastAsia="zh-CN"/>
              </w:rPr>
            </w:pPr>
          </w:p>
        </w:tc>
        <w:tc>
          <w:tcPr>
            <w:tcW w:w="1227" w:type="dxa"/>
            <w:vAlign w:val="center"/>
          </w:tcPr>
          <w:p>
            <w:pPr>
              <w:widowControl/>
              <w:jc w:val="center"/>
              <w:rPr>
                <w:rFonts w:hint="eastAsia"/>
                <w:kern w:val="0"/>
                <w:szCs w:val="21"/>
                <w:highlight w:val="none"/>
                <w:lang w:val="en-US" w:eastAsia="zh-CN"/>
              </w:rPr>
            </w:pPr>
          </w:p>
        </w:tc>
        <w:tc>
          <w:tcPr>
            <w:tcW w:w="1828" w:type="dxa"/>
            <w:vAlign w:val="center"/>
          </w:tcPr>
          <w:p>
            <w:pPr>
              <w:widowControl/>
              <w:jc w:val="center"/>
              <w:rPr>
                <w:rFonts w:hint="eastAsia"/>
                <w:kern w:val="0"/>
                <w:szCs w:val="21"/>
                <w:highlight w:val="none"/>
                <w:lang w:val="en-US" w:eastAsia="zh-CN"/>
              </w:rPr>
            </w:pPr>
          </w:p>
        </w:tc>
        <w:tc>
          <w:tcPr>
            <w:tcW w:w="1615" w:type="dxa"/>
            <w:vAlign w:val="bottom"/>
          </w:tcPr>
          <w:p>
            <w:pPr>
              <w:widowControl/>
              <w:jc w:val="center"/>
              <w:rPr>
                <w:rFonts w:hint="eastAsia"/>
                <w:kern w:val="0"/>
                <w:szCs w:val="21"/>
                <w:highlight w:val="none"/>
                <w:lang w:val="en-US" w:eastAsia="zh-CN"/>
              </w:rPr>
            </w:pPr>
            <w:r>
              <w:rPr>
                <w:rFonts w:hint="eastAsia"/>
                <w:kern w:val="0"/>
                <w:szCs w:val="21"/>
                <w:highlight w:val="none"/>
                <w:lang w:val="en-US" w:eastAsia="zh-CN"/>
              </w:rPr>
              <w:t>0.0036</w:t>
            </w:r>
          </w:p>
        </w:tc>
        <w:tc>
          <w:tcPr>
            <w:tcW w:w="1623" w:type="dxa"/>
            <w:vAlign w:val="center"/>
          </w:tcPr>
          <w:p>
            <w:pPr>
              <w:widowControl/>
              <w:jc w:val="center"/>
              <w:rPr>
                <w:rFonts w:hint="eastAsia"/>
                <w:kern w:val="0"/>
                <w:szCs w:val="21"/>
                <w:highlight w:val="none"/>
                <w:lang w:val="en-US" w:eastAsia="zh-CN"/>
              </w:rPr>
            </w:pPr>
          </w:p>
        </w:tc>
        <w:tc>
          <w:tcPr>
            <w:tcW w:w="1801" w:type="dxa"/>
            <w:vAlign w:val="bottom"/>
          </w:tcPr>
          <w:p>
            <w:pPr>
              <w:widowControl/>
              <w:jc w:val="center"/>
              <w:rPr>
                <w:rFonts w:hint="eastAsia"/>
                <w:kern w:val="0"/>
                <w:szCs w:val="21"/>
                <w:highlight w:val="none"/>
                <w:lang w:val="en-US" w:eastAsia="zh-CN"/>
              </w:rPr>
            </w:pPr>
            <w:r>
              <w:rPr>
                <w:rFonts w:hint="eastAsia"/>
                <w:kern w:val="0"/>
                <w:szCs w:val="21"/>
                <w:highlight w:val="none"/>
                <w:lang w:val="en-US" w:eastAsia="zh-CN"/>
              </w:rPr>
              <w:t>0.0036</w:t>
            </w:r>
          </w:p>
        </w:tc>
        <w:tc>
          <w:tcPr>
            <w:tcW w:w="1249" w:type="dxa"/>
            <w:vAlign w:val="bottom"/>
          </w:tcPr>
          <w:p>
            <w:pPr>
              <w:widowControl/>
              <w:jc w:val="center"/>
              <w:rPr>
                <w:rFonts w:hint="eastAsia"/>
                <w:kern w:val="0"/>
                <w:szCs w:val="21"/>
                <w:highlight w:val="none"/>
                <w:lang w:val="en-US" w:eastAsia="zh-CN"/>
              </w:rPr>
            </w:pPr>
            <w:r>
              <w:rPr>
                <w:rFonts w:hint="eastAsia"/>
                <w:kern w:val="0"/>
                <w:szCs w:val="21"/>
                <w:highlight w:val="none"/>
                <w:lang w:val="en-US" w:eastAsia="zh-CN"/>
              </w:rPr>
              <w:t>0.0036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42" w:type="dxa"/>
            <w:vMerge w:val="continue"/>
            <w:vAlign w:val="center"/>
          </w:tcPr>
          <w:p>
            <w:pPr>
              <w:widowControl/>
              <w:jc w:val="center"/>
              <w:rPr>
                <w:rFonts w:hint="eastAsia"/>
                <w:kern w:val="0"/>
                <w:szCs w:val="21"/>
                <w:highlight w:val="none"/>
                <w:lang w:val="en-US" w:eastAsia="zh-CN"/>
              </w:rPr>
            </w:pPr>
          </w:p>
        </w:tc>
        <w:tc>
          <w:tcPr>
            <w:tcW w:w="825" w:type="dxa"/>
            <w:vMerge w:val="restart"/>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冷却废水</w:t>
            </w:r>
          </w:p>
        </w:tc>
        <w:tc>
          <w:tcPr>
            <w:tcW w:w="1484"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废水量</w:t>
            </w:r>
          </w:p>
        </w:tc>
        <w:tc>
          <w:tcPr>
            <w:tcW w:w="1879"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w:t>
            </w:r>
          </w:p>
        </w:tc>
        <w:tc>
          <w:tcPr>
            <w:tcW w:w="1227"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w:t>
            </w:r>
          </w:p>
        </w:tc>
        <w:tc>
          <w:tcPr>
            <w:tcW w:w="1828"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w:t>
            </w:r>
          </w:p>
        </w:tc>
        <w:tc>
          <w:tcPr>
            <w:tcW w:w="1615"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720</w:t>
            </w:r>
          </w:p>
        </w:tc>
        <w:tc>
          <w:tcPr>
            <w:tcW w:w="1623"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0</w:t>
            </w:r>
          </w:p>
        </w:tc>
        <w:tc>
          <w:tcPr>
            <w:tcW w:w="1801"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720</w:t>
            </w:r>
          </w:p>
        </w:tc>
        <w:tc>
          <w:tcPr>
            <w:tcW w:w="1249"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720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42" w:type="dxa"/>
            <w:vMerge w:val="continue"/>
            <w:vAlign w:val="center"/>
          </w:tcPr>
          <w:p>
            <w:pPr>
              <w:widowControl/>
              <w:jc w:val="center"/>
              <w:rPr>
                <w:rFonts w:hint="eastAsia"/>
                <w:kern w:val="0"/>
                <w:szCs w:val="21"/>
                <w:highlight w:val="none"/>
                <w:lang w:val="en-US" w:eastAsia="zh-CN"/>
              </w:rPr>
            </w:pPr>
          </w:p>
        </w:tc>
        <w:tc>
          <w:tcPr>
            <w:tcW w:w="825" w:type="dxa"/>
            <w:vMerge w:val="continue"/>
            <w:vAlign w:val="center"/>
          </w:tcPr>
          <w:p>
            <w:pPr>
              <w:widowControl/>
              <w:jc w:val="center"/>
              <w:rPr>
                <w:rFonts w:hint="eastAsia"/>
                <w:kern w:val="0"/>
                <w:szCs w:val="21"/>
                <w:highlight w:val="none"/>
                <w:lang w:val="en-US" w:eastAsia="zh-CN"/>
              </w:rPr>
            </w:pPr>
          </w:p>
        </w:tc>
        <w:tc>
          <w:tcPr>
            <w:tcW w:w="1484"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COD</w:t>
            </w:r>
          </w:p>
        </w:tc>
        <w:tc>
          <w:tcPr>
            <w:tcW w:w="1879"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w:t>
            </w:r>
          </w:p>
        </w:tc>
        <w:tc>
          <w:tcPr>
            <w:tcW w:w="1227"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w:t>
            </w:r>
          </w:p>
        </w:tc>
        <w:tc>
          <w:tcPr>
            <w:tcW w:w="1828"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w:t>
            </w:r>
          </w:p>
        </w:tc>
        <w:tc>
          <w:tcPr>
            <w:tcW w:w="1615" w:type="dxa"/>
            <w:vAlign w:val="bottom"/>
          </w:tcPr>
          <w:p>
            <w:pPr>
              <w:widowControl/>
              <w:jc w:val="center"/>
              <w:rPr>
                <w:rFonts w:hint="eastAsia"/>
                <w:kern w:val="0"/>
                <w:szCs w:val="21"/>
                <w:highlight w:val="none"/>
                <w:lang w:val="en-US" w:eastAsia="zh-CN"/>
              </w:rPr>
            </w:pPr>
            <w:r>
              <w:rPr>
                <w:rFonts w:hint="eastAsia"/>
                <w:kern w:val="0"/>
                <w:szCs w:val="21"/>
                <w:highlight w:val="none"/>
                <w:lang w:val="en-US" w:eastAsia="zh-CN"/>
              </w:rPr>
              <w:t>0.252</w:t>
            </w:r>
          </w:p>
        </w:tc>
        <w:tc>
          <w:tcPr>
            <w:tcW w:w="1623"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0</w:t>
            </w:r>
          </w:p>
        </w:tc>
        <w:tc>
          <w:tcPr>
            <w:tcW w:w="1801" w:type="dxa"/>
            <w:vAlign w:val="bottom"/>
          </w:tcPr>
          <w:p>
            <w:pPr>
              <w:widowControl/>
              <w:jc w:val="center"/>
              <w:rPr>
                <w:rFonts w:hint="eastAsia"/>
                <w:kern w:val="0"/>
                <w:szCs w:val="21"/>
                <w:highlight w:val="none"/>
                <w:lang w:val="en-US" w:eastAsia="zh-CN"/>
              </w:rPr>
            </w:pPr>
            <w:r>
              <w:rPr>
                <w:rFonts w:hint="eastAsia"/>
                <w:kern w:val="0"/>
                <w:szCs w:val="21"/>
                <w:highlight w:val="none"/>
                <w:lang w:val="en-US" w:eastAsia="zh-CN"/>
              </w:rPr>
              <w:t>0.252</w:t>
            </w:r>
          </w:p>
        </w:tc>
        <w:tc>
          <w:tcPr>
            <w:tcW w:w="1249" w:type="dxa"/>
            <w:vAlign w:val="bottom"/>
          </w:tcPr>
          <w:p>
            <w:pPr>
              <w:widowControl/>
              <w:jc w:val="center"/>
              <w:rPr>
                <w:rFonts w:hint="eastAsia"/>
                <w:kern w:val="0"/>
                <w:szCs w:val="21"/>
                <w:highlight w:val="none"/>
                <w:lang w:val="en-US" w:eastAsia="zh-CN"/>
              </w:rPr>
            </w:pPr>
            <w:r>
              <w:rPr>
                <w:rFonts w:hint="eastAsia"/>
                <w:kern w:val="0"/>
                <w:szCs w:val="21"/>
                <w:highlight w:val="none"/>
                <w:lang w:val="en-US" w:eastAsia="zh-CN"/>
              </w:rPr>
              <w:t>0.252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42" w:type="dxa"/>
            <w:vMerge w:val="continue"/>
            <w:vAlign w:val="center"/>
          </w:tcPr>
          <w:p>
            <w:pPr>
              <w:widowControl/>
              <w:jc w:val="center"/>
              <w:rPr>
                <w:rFonts w:hint="eastAsia"/>
                <w:kern w:val="0"/>
                <w:szCs w:val="21"/>
                <w:highlight w:val="none"/>
                <w:lang w:val="en-US" w:eastAsia="zh-CN"/>
              </w:rPr>
            </w:pPr>
          </w:p>
        </w:tc>
        <w:tc>
          <w:tcPr>
            <w:tcW w:w="825" w:type="dxa"/>
            <w:vMerge w:val="continue"/>
            <w:vAlign w:val="center"/>
          </w:tcPr>
          <w:p>
            <w:pPr>
              <w:widowControl/>
              <w:jc w:val="center"/>
              <w:rPr>
                <w:rFonts w:hint="eastAsia"/>
                <w:kern w:val="0"/>
                <w:szCs w:val="21"/>
                <w:highlight w:val="none"/>
                <w:lang w:val="en-US" w:eastAsia="zh-CN"/>
              </w:rPr>
            </w:pPr>
          </w:p>
        </w:tc>
        <w:tc>
          <w:tcPr>
            <w:tcW w:w="1484"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SS</w:t>
            </w:r>
          </w:p>
        </w:tc>
        <w:tc>
          <w:tcPr>
            <w:tcW w:w="1879"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w:t>
            </w:r>
          </w:p>
        </w:tc>
        <w:tc>
          <w:tcPr>
            <w:tcW w:w="1227"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w:t>
            </w:r>
          </w:p>
        </w:tc>
        <w:tc>
          <w:tcPr>
            <w:tcW w:w="1828"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w:t>
            </w:r>
          </w:p>
        </w:tc>
        <w:tc>
          <w:tcPr>
            <w:tcW w:w="1615" w:type="dxa"/>
            <w:vAlign w:val="bottom"/>
          </w:tcPr>
          <w:p>
            <w:pPr>
              <w:widowControl/>
              <w:jc w:val="center"/>
              <w:rPr>
                <w:rFonts w:hint="eastAsia"/>
                <w:kern w:val="0"/>
                <w:szCs w:val="21"/>
                <w:highlight w:val="none"/>
                <w:lang w:val="en-US" w:eastAsia="zh-CN"/>
              </w:rPr>
            </w:pPr>
            <w:r>
              <w:rPr>
                <w:rFonts w:hint="eastAsia"/>
                <w:kern w:val="0"/>
                <w:szCs w:val="21"/>
                <w:highlight w:val="none"/>
                <w:lang w:val="en-US" w:eastAsia="zh-CN"/>
              </w:rPr>
              <w:t>0.216</w:t>
            </w:r>
          </w:p>
        </w:tc>
        <w:tc>
          <w:tcPr>
            <w:tcW w:w="1623"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0</w:t>
            </w:r>
          </w:p>
        </w:tc>
        <w:tc>
          <w:tcPr>
            <w:tcW w:w="1801" w:type="dxa"/>
            <w:vAlign w:val="bottom"/>
          </w:tcPr>
          <w:p>
            <w:pPr>
              <w:widowControl/>
              <w:jc w:val="center"/>
              <w:rPr>
                <w:rFonts w:hint="eastAsia"/>
                <w:kern w:val="0"/>
                <w:szCs w:val="21"/>
                <w:highlight w:val="none"/>
                <w:lang w:val="en-US" w:eastAsia="zh-CN"/>
              </w:rPr>
            </w:pPr>
            <w:r>
              <w:rPr>
                <w:rFonts w:hint="eastAsia"/>
                <w:kern w:val="0"/>
                <w:szCs w:val="21"/>
                <w:highlight w:val="none"/>
                <w:lang w:val="en-US" w:eastAsia="zh-CN"/>
              </w:rPr>
              <w:t>0.216</w:t>
            </w:r>
          </w:p>
        </w:tc>
        <w:tc>
          <w:tcPr>
            <w:tcW w:w="1249" w:type="dxa"/>
            <w:vAlign w:val="bottom"/>
          </w:tcPr>
          <w:p>
            <w:pPr>
              <w:widowControl/>
              <w:jc w:val="center"/>
              <w:rPr>
                <w:rFonts w:hint="eastAsia"/>
                <w:kern w:val="0"/>
                <w:szCs w:val="21"/>
                <w:highlight w:val="none"/>
                <w:lang w:val="en-US" w:eastAsia="zh-CN"/>
              </w:rPr>
            </w:pPr>
            <w:r>
              <w:rPr>
                <w:rFonts w:hint="eastAsia"/>
                <w:kern w:val="0"/>
                <w:szCs w:val="21"/>
                <w:highlight w:val="none"/>
                <w:lang w:val="en-US" w:eastAsia="zh-CN"/>
              </w:rPr>
              <w:t>0.216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467" w:type="dxa"/>
            <w:gridSpan w:val="2"/>
            <w:vMerge w:val="restart"/>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一般固体废物（t/a）</w:t>
            </w:r>
          </w:p>
        </w:tc>
        <w:tc>
          <w:tcPr>
            <w:tcW w:w="1484"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生活垃圾</w:t>
            </w:r>
          </w:p>
        </w:tc>
        <w:tc>
          <w:tcPr>
            <w:tcW w:w="1879"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w:t>
            </w:r>
          </w:p>
        </w:tc>
        <w:tc>
          <w:tcPr>
            <w:tcW w:w="1227"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w:t>
            </w:r>
          </w:p>
        </w:tc>
        <w:tc>
          <w:tcPr>
            <w:tcW w:w="1828"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w:t>
            </w:r>
          </w:p>
        </w:tc>
        <w:tc>
          <w:tcPr>
            <w:tcW w:w="1615" w:type="dxa"/>
            <w:vAlign w:val="center"/>
          </w:tcPr>
          <w:p>
            <w:pPr>
              <w:widowControl/>
              <w:jc w:val="center"/>
              <w:rPr>
                <w:rFonts w:hint="default"/>
                <w:kern w:val="0"/>
                <w:szCs w:val="21"/>
                <w:highlight w:val="none"/>
                <w:lang w:val="en-US" w:eastAsia="zh-CN"/>
              </w:rPr>
            </w:pPr>
            <w:r>
              <w:rPr>
                <w:rFonts w:hint="eastAsia"/>
                <w:kern w:val="0"/>
                <w:szCs w:val="21"/>
                <w:highlight w:val="none"/>
                <w:lang w:val="en-US" w:eastAsia="zh-CN"/>
              </w:rPr>
              <w:t>15</w:t>
            </w:r>
          </w:p>
        </w:tc>
        <w:tc>
          <w:tcPr>
            <w:tcW w:w="1623"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0</w:t>
            </w:r>
          </w:p>
        </w:tc>
        <w:tc>
          <w:tcPr>
            <w:tcW w:w="1801" w:type="dxa"/>
            <w:vAlign w:val="center"/>
          </w:tcPr>
          <w:p>
            <w:pPr>
              <w:widowControl/>
              <w:jc w:val="center"/>
              <w:rPr>
                <w:rFonts w:hint="default"/>
                <w:kern w:val="0"/>
                <w:szCs w:val="21"/>
                <w:highlight w:val="none"/>
                <w:lang w:val="en-US" w:eastAsia="zh-CN"/>
              </w:rPr>
            </w:pPr>
            <w:r>
              <w:rPr>
                <w:rFonts w:hint="eastAsia"/>
                <w:kern w:val="0"/>
                <w:szCs w:val="21"/>
                <w:highlight w:val="none"/>
                <w:lang w:val="en-US" w:eastAsia="zh-CN"/>
              </w:rPr>
              <w:t>15</w:t>
            </w:r>
          </w:p>
        </w:tc>
        <w:tc>
          <w:tcPr>
            <w:tcW w:w="1249" w:type="dxa"/>
            <w:vAlign w:val="center"/>
          </w:tcPr>
          <w:p>
            <w:pPr>
              <w:widowControl/>
              <w:jc w:val="center"/>
              <w:rPr>
                <w:rFonts w:hint="default"/>
                <w:kern w:val="0"/>
                <w:szCs w:val="21"/>
                <w:highlight w:val="none"/>
                <w:lang w:val="en-US" w:eastAsia="zh-CN"/>
              </w:rPr>
            </w:pPr>
            <w:r>
              <w:rPr>
                <w:rFonts w:hint="eastAsia"/>
                <w:kern w:val="0"/>
                <w:szCs w:val="21"/>
                <w:highlight w:val="none"/>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467" w:type="dxa"/>
            <w:gridSpan w:val="2"/>
            <w:vMerge w:val="continue"/>
            <w:vAlign w:val="center"/>
          </w:tcPr>
          <w:p>
            <w:pPr>
              <w:widowControl/>
              <w:jc w:val="center"/>
              <w:rPr>
                <w:rFonts w:hint="eastAsia"/>
                <w:kern w:val="0"/>
                <w:szCs w:val="21"/>
                <w:highlight w:val="none"/>
                <w:lang w:val="en-US" w:eastAsia="zh-CN"/>
              </w:rPr>
            </w:pPr>
          </w:p>
        </w:tc>
        <w:tc>
          <w:tcPr>
            <w:tcW w:w="1484"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废包装</w:t>
            </w:r>
          </w:p>
        </w:tc>
        <w:tc>
          <w:tcPr>
            <w:tcW w:w="1879" w:type="dxa"/>
            <w:vAlign w:val="center"/>
          </w:tcPr>
          <w:p>
            <w:pPr>
              <w:widowControl/>
              <w:jc w:val="center"/>
              <w:rPr>
                <w:rFonts w:hint="eastAsia"/>
                <w:kern w:val="0"/>
                <w:szCs w:val="21"/>
                <w:highlight w:val="none"/>
                <w:lang w:val="en-US" w:eastAsia="zh-CN"/>
              </w:rPr>
            </w:pPr>
          </w:p>
        </w:tc>
        <w:tc>
          <w:tcPr>
            <w:tcW w:w="1227" w:type="dxa"/>
            <w:vAlign w:val="center"/>
          </w:tcPr>
          <w:p>
            <w:pPr>
              <w:widowControl/>
              <w:jc w:val="center"/>
              <w:rPr>
                <w:rFonts w:hint="eastAsia"/>
                <w:kern w:val="0"/>
                <w:szCs w:val="21"/>
                <w:highlight w:val="none"/>
                <w:lang w:val="en-US" w:eastAsia="zh-CN"/>
              </w:rPr>
            </w:pPr>
          </w:p>
        </w:tc>
        <w:tc>
          <w:tcPr>
            <w:tcW w:w="1828" w:type="dxa"/>
            <w:vAlign w:val="center"/>
          </w:tcPr>
          <w:p>
            <w:pPr>
              <w:widowControl/>
              <w:jc w:val="center"/>
              <w:rPr>
                <w:rFonts w:hint="eastAsia"/>
                <w:kern w:val="0"/>
                <w:szCs w:val="21"/>
                <w:highlight w:val="none"/>
                <w:lang w:val="en-US" w:eastAsia="zh-CN"/>
              </w:rPr>
            </w:pPr>
          </w:p>
        </w:tc>
        <w:tc>
          <w:tcPr>
            <w:tcW w:w="1615"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2</w:t>
            </w:r>
          </w:p>
        </w:tc>
        <w:tc>
          <w:tcPr>
            <w:tcW w:w="1623"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0</w:t>
            </w:r>
          </w:p>
        </w:tc>
        <w:tc>
          <w:tcPr>
            <w:tcW w:w="1801"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2</w:t>
            </w:r>
          </w:p>
        </w:tc>
        <w:tc>
          <w:tcPr>
            <w:tcW w:w="1249"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467" w:type="dxa"/>
            <w:gridSpan w:val="2"/>
            <w:vMerge w:val="continue"/>
            <w:vAlign w:val="center"/>
          </w:tcPr>
          <w:p>
            <w:pPr>
              <w:widowControl/>
              <w:jc w:val="center"/>
              <w:rPr>
                <w:rFonts w:hint="eastAsia"/>
                <w:kern w:val="0"/>
                <w:szCs w:val="21"/>
                <w:highlight w:val="none"/>
                <w:lang w:val="en-US" w:eastAsia="zh-CN"/>
              </w:rPr>
            </w:pPr>
          </w:p>
        </w:tc>
        <w:tc>
          <w:tcPr>
            <w:tcW w:w="1484"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废边角料</w:t>
            </w:r>
          </w:p>
        </w:tc>
        <w:tc>
          <w:tcPr>
            <w:tcW w:w="1879" w:type="dxa"/>
            <w:vAlign w:val="center"/>
          </w:tcPr>
          <w:p>
            <w:pPr>
              <w:widowControl/>
              <w:jc w:val="center"/>
              <w:rPr>
                <w:rFonts w:hint="eastAsia"/>
                <w:kern w:val="0"/>
                <w:szCs w:val="21"/>
                <w:highlight w:val="none"/>
                <w:lang w:val="en-US" w:eastAsia="zh-CN"/>
              </w:rPr>
            </w:pPr>
          </w:p>
        </w:tc>
        <w:tc>
          <w:tcPr>
            <w:tcW w:w="1227" w:type="dxa"/>
            <w:vAlign w:val="center"/>
          </w:tcPr>
          <w:p>
            <w:pPr>
              <w:widowControl/>
              <w:jc w:val="center"/>
              <w:rPr>
                <w:rFonts w:hint="eastAsia"/>
                <w:kern w:val="0"/>
                <w:szCs w:val="21"/>
                <w:highlight w:val="none"/>
                <w:lang w:val="en-US" w:eastAsia="zh-CN"/>
              </w:rPr>
            </w:pPr>
          </w:p>
        </w:tc>
        <w:tc>
          <w:tcPr>
            <w:tcW w:w="1828" w:type="dxa"/>
            <w:vAlign w:val="center"/>
          </w:tcPr>
          <w:p>
            <w:pPr>
              <w:widowControl/>
              <w:jc w:val="center"/>
              <w:rPr>
                <w:rFonts w:hint="eastAsia"/>
                <w:kern w:val="0"/>
                <w:szCs w:val="21"/>
                <w:highlight w:val="none"/>
                <w:lang w:val="en-US" w:eastAsia="zh-CN"/>
              </w:rPr>
            </w:pPr>
          </w:p>
        </w:tc>
        <w:tc>
          <w:tcPr>
            <w:tcW w:w="1615"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3</w:t>
            </w:r>
          </w:p>
        </w:tc>
        <w:tc>
          <w:tcPr>
            <w:tcW w:w="1623" w:type="dxa"/>
            <w:vAlign w:val="center"/>
          </w:tcPr>
          <w:p>
            <w:pPr>
              <w:widowControl/>
              <w:jc w:val="center"/>
              <w:rPr>
                <w:rFonts w:hint="eastAsia"/>
                <w:kern w:val="0"/>
                <w:szCs w:val="21"/>
                <w:highlight w:val="none"/>
                <w:lang w:val="en-US" w:eastAsia="zh-CN"/>
              </w:rPr>
            </w:pPr>
          </w:p>
        </w:tc>
        <w:tc>
          <w:tcPr>
            <w:tcW w:w="1801"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3</w:t>
            </w:r>
          </w:p>
        </w:tc>
        <w:tc>
          <w:tcPr>
            <w:tcW w:w="1249"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467" w:type="dxa"/>
            <w:gridSpan w:val="2"/>
            <w:vMerge w:val="restart"/>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危险废物（t/a）</w:t>
            </w:r>
          </w:p>
        </w:tc>
        <w:tc>
          <w:tcPr>
            <w:tcW w:w="1484"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废活性炭</w:t>
            </w:r>
          </w:p>
        </w:tc>
        <w:tc>
          <w:tcPr>
            <w:tcW w:w="1879"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w:t>
            </w:r>
          </w:p>
        </w:tc>
        <w:tc>
          <w:tcPr>
            <w:tcW w:w="1227"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w:t>
            </w:r>
          </w:p>
        </w:tc>
        <w:tc>
          <w:tcPr>
            <w:tcW w:w="1828"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w:t>
            </w:r>
          </w:p>
        </w:tc>
        <w:tc>
          <w:tcPr>
            <w:tcW w:w="1615"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10.5</w:t>
            </w:r>
          </w:p>
        </w:tc>
        <w:tc>
          <w:tcPr>
            <w:tcW w:w="1623"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0</w:t>
            </w:r>
          </w:p>
        </w:tc>
        <w:tc>
          <w:tcPr>
            <w:tcW w:w="1801"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10.5</w:t>
            </w:r>
          </w:p>
        </w:tc>
        <w:tc>
          <w:tcPr>
            <w:tcW w:w="1249"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467" w:type="dxa"/>
            <w:gridSpan w:val="2"/>
            <w:vMerge w:val="continue"/>
            <w:vAlign w:val="center"/>
          </w:tcPr>
          <w:p>
            <w:pPr>
              <w:widowControl/>
              <w:jc w:val="center"/>
              <w:rPr>
                <w:rFonts w:hint="eastAsia"/>
                <w:kern w:val="0"/>
                <w:szCs w:val="21"/>
                <w:highlight w:val="none"/>
                <w:lang w:val="en-US" w:eastAsia="zh-CN"/>
              </w:rPr>
            </w:pPr>
          </w:p>
        </w:tc>
        <w:tc>
          <w:tcPr>
            <w:tcW w:w="1484"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废切削液</w:t>
            </w:r>
          </w:p>
        </w:tc>
        <w:tc>
          <w:tcPr>
            <w:tcW w:w="1879"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w:t>
            </w:r>
          </w:p>
        </w:tc>
        <w:tc>
          <w:tcPr>
            <w:tcW w:w="1227"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w:t>
            </w:r>
          </w:p>
        </w:tc>
        <w:tc>
          <w:tcPr>
            <w:tcW w:w="1828"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w:t>
            </w:r>
          </w:p>
        </w:tc>
        <w:tc>
          <w:tcPr>
            <w:tcW w:w="1615"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0.005</w:t>
            </w:r>
          </w:p>
        </w:tc>
        <w:tc>
          <w:tcPr>
            <w:tcW w:w="1623"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0</w:t>
            </w:r>
          </w:p>
        </w:tc>
        <w:tc>
          <w:tcPr>
            <w:tcW w:w="1801"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0.005</w:t>
            </w:r>
          </w:p>
        </w:tc>
        <w:tc>
          <w:tcPr>
            <w:tcW w:w="1249"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0.005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467" w:type="dxa"/>
            <w:gridSpan w:val="2"/>
            <w:vAlign w:val="center"/>
          </w:tcPr>
          <w:p>
            <w:pPr>
              <w:widowControl/>
              <w:jc w:val="center"/>
              <w:rPr>
                <w:rFonts w:hint="eastAsia"/>
                <w:kern w:val="0"/>
                <w:szCs w:val="21"/>
                <w:highlight w:val="none"/>
                <w:lang w:val="en-US" w:eastAsia="zh-CN"/>
              </w:rPr>
            </w:pPr>
          </w:p>
        </w:tc>
        <w:tc>
          <w:tcPr>
            <w:tcW w:w="1484"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废油墨</w:t>
            </w:r>
          </w:p>
        </w:tc>
        <w:tc>
          <w:tcPr>
            <w:tcW w:w="1879" w:type="dxa"/>
            <w:vAlign w:val="center"/>
          </w:tcPr>
          <w:p>
            <w:pPr>
              <w:widowControl/>
              <w:jc w:val="center"/>
              <w:rPr>
                <w:rFonts w:hint="eastAsia"/>
                <w:kern w:val="0"/>
                <w:szCs w:val="21"/>
                <w:highlight w:val="none"/>
                <w:lang w:val="en-US" w:eastAsia="zh-CN"/>
              </w:rPr>
            </w:pPr>
          </w:p>
        </w:tc>
        <w:tc>
          <w:tcPr>
            <w:tcW w:w="1227" w:type="dxa"/>
            <w:vAlign w:val="center"/>
          </w:tcPr>
          <w:p>
            <w:pPr>
              <w:widowControl/>
              <w:jc w:val="center"/>
              <w:rPr>
                <w:rFonts w:hint="eastAsia"/>
                <w:kern w:val="0"/>
                <w:szCs w:val="21"/>
                <w:highlight w:val="none"/>
                <w:lang w:val="en-US" w:eastAsia="zh-CN"/>
              </w:rPr>
            </w:pPr>
          </w:p>
        </w:tc>
        <w:tc>
          <w:tcPr>
            <w:tcW w:w="1828" w:type="dxa"/>
            <w:vAlign w:val="center"/>
          </w:tcPr>
          <w:p>
            <w:pPr>
              <w:widowControl/>
              <w:jc w:val="center"/>
              <w:rPr>
                <w:rFonts w:hint="eastAsia"/>
                <w:kern w:val="0"/>
                <w:szCs w:val="21"/>
                <w:highlight w:val="none"/>
                <w:lang w:val="en-US" w:eastAsia="zh-CN"/>
              </w:rPr>
            </w:pPr>
          </w:p>
        </w:tc>
        <w:tc>
          <w:tcPr>
            <w:tcW w:w="1615"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0.0025</w:t>
            </w:r>
          </w:p>
        </w:tc>
        <w:tc>
          <w:tcPr>
            <w:tcW w:w="1623" w:type="dxa"/>
            <w:vAlign w:val="center"/>
          </w:tcPr>
          <w:p>
            <w:pPr>
              <w:widowControl/>
              <w:jc w:val="center"/>
              <w:rPr>
                <w:rFonts w:hint="eastAsia"/>
                <w:kern w:val="0"/>
                <w:szCs w:val="21"/>
                <w:highlight w:val="none"/>
                <w:lang w:val="en-US" w:eastAsia="zh-CN"/>
              </w:rPr>
            </w:pPr>
          </w:p>
        </w:tc>
        <w:tc>
          <w:tcPr>
            <w:tcW w:w="1801"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0.0025</w:t>
            </w:r>
          </w:p>
        </w:tc>
        <w:tc>
          <w:tcPr>
            <w:tcW w:w="1249" w:type="dxa"/>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0.0025</w:t>
            </w:r>
          </w:p>
        </w:tc>
      </w:tr>
    </w:tbl>
    <w:p>
      <w:pPr>
        <w:widowControl/>
        <w:jc w:val="left"/>
        <w:rPr>
          <w:rFonts w:hint="eastAsia"/>
          <w:kern w:val="0"/>
          <w:szCs w:val="21"/>
          <w:highlight w:val="none"/>
          <w:lang w:val="en-US" w:eastAsia="zh-CN"/>
        </w:rPr>
      </w:pPr>
      <w:r>
        <w:rPr>
          <w:rFonts w:hint="eastAsia"/>
          <w:kern w:val="0"/>
          <w:szCs w:val="21"/>
          <w:highlight w:val="none"/>
          <w:lang w:val="en-US" w:eastAsia="zh-CN"/>
        </w:rPr>
        <w:t>注：</w:t>
      </w:r>
      <w:r>
        <w:rPr>
          <w:rFonts w:hint="eastAsia"/>
          <w:kern w:val="0"/>
          <w:szCs w:val="21"/>
          <w:highlight w:val="none"/>
          <w:lang w:val="en-US" w:eastAsia="zh-CN"/>
        </w:rPr>
        <w:fldChar w:fldCharType="begin"/>
      </w:r>
      <w:r>
        <w:rPr>
          <w:rFonts w:hint="eastAsia"/>
          <w:kern w:val="0"/>
          <w:szCs w:val="21"/>
          <w:highlight w:val="none"/>
          <w:lang w:val="en-US" w:eastAsia="zh-CN"/>
        </w:rPr>
        <w:instrText xml:space="preserve"> = 6 \* GB3 \* MERGEFORMAT </w:instrText>
      </w:r>
      <w:r>
        <w:rPr>
          <w:rFonts w:hint="eastAsia"/>
          <w:kern w:val="0"/>
          <w:szCs w:val="21"/>
          <w:highlight w:val="none"/>
          <w:lang w:val="en-US" w:eastAsia="zh-CN"/>
        </w:rPr>
        <w:fldChar w:fldCharType="separate"/>
      </w:r>
      <w:r>
        <w:rPr>
          <w:rFonts w:hint="eastAsia"/>
          <w:kern w:val="0"/>
          <w:szCs w:val="21"/>
          <w:highlight w:val="none"/>
          <w:lang w:val="en-US" w:eastAsia="zh-CN"/>
        </w:rPr>
        <w:t>⑥</w:t>
      </w:r>
      <w:r>
        <w:rPr>
          <w:rFonts w:hint="eastAsia"/>
          <w:kern w:val="0"/>
          <w:szCs w:val="21"/>
          <w:highlight w:val="none"/>
          <w:lang w:val="en-US" w:eastAsia="zh-CN"/>
        </w:rPr>
        <w:fldChar w:fldCharType="end"/>
      </w:r>
      <w:r>
        <w:rPr>
          <w:rFonts w:hint="eastAsia"/>
          <w:kern w:val="0"/>
          <w:szCs w:val="21"/>
          <w:highlight w:val="none"/>
          <w:lang w:val="en-US" w:eastAsia="zh-CN"/>
        </w:rPr>
        <w:t>=</w:t>
      </w:r>
      <w:r>
        <w:rPr>
          <w:rFonts w:hint="eastAsia"/>
          <w:kern w:val="0"/>
          <w:szCs w:val="21"/>
          <w:highlight w:val="none"/>
          <w:lang w:val="en-US" w:eastAsia="zh-CN"/>
        </w:rPr>
        <w:fldChar w:fldCharType="begin"/>
      </w:r>
      <w:r>
        <w:rPr>
          <w:rFonts w:hint="eastAsia"/>
          <w:kern w:val="0"/>
          <w:szCs w:val="21"/>
          <w:highlight w:val="none"/>
          <w:lang w:val="en-US" w:eastAsia="zh-CN"/>
        </w:rPr>
        <w:instrText xml:space="preserve"> = 1 \* GB3 \* MERGEFORMAT </w:instrText>
      </w:r>
      <w:r>
        <w:rPr>
          <w:rFonts w:hint="eastAsia"/>
          <w:kern w:val="0"/>
          <w:szCs w:val="21"/>
          <w:highlight w:val="none"/>
          <w:lang w:val="en-US" w:eastAsia="zh-CN"/>
        </w:rPr>
        <w:fldChar w:fldCharType="separate"/>
      </w:r>
      <w:r>
        <w:rPr>
          <w:rFonts w:hint="eastAsia"/>
          <w:kern w:val="0"/>
          <w:szCs w:val="21"/>
          <w:highlight w:val="none"/>
          <w:lang w:val="en-US" w:eastAsia="zh-CN"/>
        </w:rPr>
        <w:t>①</w:t>
      </w:r>
      <w:r>
        <w:rPr>
          <w:rFonts w:hint="eastAsia"/>
          <w:kern w:val="0"/>
          <w:szCs w:val="21"/>
          <w:highlight w:val="none"/>
          <w:lang w:val="en-US" w:eastAsia="zh-CN"/>
        </w:rPr>
        <w:fldChar w:fldCharType="end"/>
      </w:r>
      <w:r>
        <w:rPr>
          <w:rFonts w:hint="eastAsia"/>
          <w:kern w:val="0"/>
          <w:szCs w:val="21"/>
          <w:highlight w:val="none"/>
          <w:lang w:val="en-US" w:eastAsia="zh-CN"/>
        </w:rPr>
        <w:t>+</w:t>
      </w:r>
      <w:r>
        <w:rPr>
          <w:rFonts w:hint="eastAsia"/>
          <w:kern w:val="0"/>
          <w:szCs w:val="21"/>
          <w:highlight w:val="none"/>
          <w:lang w:val="en-US" w:eastAsia="zh-CN"/>
        </w:rPr>
        <w:fldChar w:fldCharType="begin"/>
      </w:r>
      <w:r>
        <w:rPr>
          <w:rFonts w:hint="eastAsia"/>
          <w:kern w:val="0"/>
          <w:szCs w:val="21"/>
          <w:highlight w:val="none"/>
          <w:lang w:val="en-US" w:eastAsia="zh-CN"/>
        </w:rPr>
        <w:instrText xml:space="preserve"> = 3 \* GB3 \* MERGEFORMAT </w:instrText>
      </w:r>
      <w:r>
        <w:rPr>
          <w:rFonts w:hint="eastAsia"/>
          <w:kern w:val="0"/>
          <w:szCs w:val="21"/>
          <w:highlight w:val="none"/>
          <w:lang w:val="en-US" w:eastAsia="zh-CN"/>
        </w:rPr>
        <w:fldChar w:fldCharType="separate"/>
      </w:r>
      <w:r>
        <w:rPr>
          <w:rFonts w:hint="eastAsia"/>
          <w:kern w:val="0"/>
          <w:szCs w:val="21"/>
          <w:highlight w:val="none"/>
          <w:lang w:val="en-US" w:eastAsia="zh-CN"/>
        </w:rPr>
        <w:t>③</w:t>
      </w:r>
      <w:r>
        <w:rPr>
          <w:rFonts w:hint="eastAsia"/>
          <w:kern w:val="0"/>
          <w:szCs w:val="21"/>
          <w:highlight w:val="none"/>
          <w:lang w:val="en-US" w:eastAsia="zh-CN"/>
        </w:rPr>
        <w:fldChar w:fldCharType="end"/>
      </w:r>
      <w:r>
        <w:rPr>
          <w:rFonts w:hint="eastAsia"/>
          <w:kern w:val="0"/>
          <w:szCs w:val="21"/>
          <w:highlight w:val="none"/>
          <w:lang w:val="en-US" w:eastAsia="zh-CN"/>
        </w:rPr>
        <w:t>+</w:t>
      </w:r>
      <w:r>
        <w:rPr>
          <w:rFonts w:hint="eastAsia"/>
          <w:kern w:val="0"/>
          <w:szCs w:val="21"/>
          <w:highlight w:val="none"/>
          <w:lang w:val="en-US" w:eastAsia="zh-CN"/>
        </w:rPr>
        <w:fldChar w:fldCharType="begin"/>
      </w:r>
      <w:r>
        <w:rPr>
          <w:rFonts w:hint="eastAsia"/>
          <w:kern w:val="0"/>
          <w:szCs w:val="21"/>
          <w:highlight w:val="none"/>
          <w:lang w:val="en-US" w:eastAsia="zh-CN"/>
        </w:rPr>
        <w:instrText xml:space="preserve"> = 4 \* GB3 \* MERGEFORMAT </w:instrText>
      </w:r>
      <w:r>
        <w:rPr>
          <w:rFonts w:hint="eastAsia"/>
          <w:kern w:val="0"/>
          <w:szCs w:val="21"/>
          <w:highlight w:val="none"/>
          <w:lang w:val="en-US" w:eastAsia="zh-CN"/>
        </w:rPr>
        <w:fldChar w:fldCharType="separate"/>
      </w:r>
      <w:r>
        <w:rPr>
          <w:rFonts w:hint="eastAsia"/>
          <w:kern w:val="0"/>
          <w:szCs w:val="21"/>
          <w:highlight w:val="none"/>
          <w:lang w:val="en-US" w:eastAsia="zh-CN"/>
        </w:rPr>
        <w:t>④</w:t>
      </w:r>
      <w:r>
        <w:rPr>
          <w:rFonts w:hint="eastAsia"/>
          <w:kern w:val="0"/>
          <w:szCs w:val="21"/>
          <w:highlight w:val="none"/>
          <w:lang w:val="en-US" w:eastAsia="zh-CN"/>
        </w:rPr>
        <w:fldChar w:fldCharType="end"/>
      </w:r>
      <w:r>
        <w:rPr>
          <w:rFonts w:hint="eastAsia"/>
          <w:kern w:val="0"/>
          <w:szCs w:val="21"/>
          <w:highlight w:val="none"/>
          <w:lang w:val="en-US" w:eastAsia="zh-CN"/>
        </w:rPr>
        <w:t>-</w:t>
      </w:r>
      <w:r>
        <w:rPr>
          <w:rFonts w:hint="eastAsia"/>
          <w:kern w:val="0"/>
          <w:szCs w:val="21"/>
          <w:highlight w:val="none"/>
          <w:lang w:val="en-US" w:eastAsia="zh-CN"/>
        </w:rPr>
        <w:fldChar w:fldCharType="begin"/>
      </w:r>
      <w:r>
        <w:rPr>
          <w:rFonts w:hint="eastAsia"/>
          <w:kern w:val="0"/>
          <w:szCs w:val="21"/>
          <w:highlight w:val="none"/>
          <w:lang w:val="en-US" w:eastAsia="zh-CN"/>
        </w:rPr>
        <w:instrText xml:space="preserve"> = 5 \* GB3 \* MERGEFORMAT </w:instrText>
      </w:r>
      <w:r>
        <w:rPr>
          <w:rFonts w:hint="eastAsia"/>
          <w:kern w:val="0"/>
          <w:szCs w:val="21"/>
          <w:highlight w:val="none"/>
          <w:lang w:val="en-US" w:eastAsia="zh-CN"/>
        </w:rPr>
        <w:fldChar w:fldCharType="separate"/>
      </w:r>
      <w:r>
        <w:rPr>
          <w:rFonts w:hint="eastAsia"/>
          <w:kern w:val="0"/>
          <w:szCs w:val="21"/>
          <w:highlight w:val="none"/>
          <w:lang w:val="en-US" w:eastAsia="zh-CN"/>
        </w:rPr>
        <w:t>⑤</w:t>
      </w:r>
      <w:r>
        <w:rPr>
          <w:rFonts w:hint="eastAsia"/>
          <w:kern w:val="0"/>
          <w:szCs w:val="21"/>
          <w:highlight w:val="none"/>
          <w:lang w:val="en-US" w:eastAsia="zh-CN"/>
        </w:rPr>
        <w:fldChar w:fldCharType="end"/>
      </w:r>
      <w:r>
        <w:rPr>
          <w:rFonts w:hint="eastAsia"/>
          <w:kern w:val="0"/>
          <w:szCs w:val="21"/>
          <w:highlight w:val="none"/>
          <w:lang w:val="en-US" w:eastAsia="zh-CN"/>
        </w:rPr>
        <w:t>；</w:t>
      </w:r>
      <w:r>
        <w:rPr>
          <w:rFonts w:hint="eastAsia"/>
          <w:kern w:val="0"/>
          <w:szCs w:val="21"/>
          <w:highlight w:val="none"/>
          <w:lang w:val="en-US" w:eastAsia="zh-CN"/>
        </w:rPr>
        <w:fldChar w:fldCharType="begin"/>
      </w:r>
      <w:r>
        <w:rPr>
          <w:rFonts w:hint="eastAsia"/>
          <w:kern w:val="0"/>
          <w:szCs w:val="21"/>
          <w:highlight w:val="none"/>
          <w:lang w:val="en-US" w:eastAsia="zh-CN"/>
        </w:rPr>
        <w:instrText xml:space="preserve"> = 7 \* GB3 \* MERGEFORMAT </w:instrText>
      </w:r>
      <w:r>
        <w:rPr>
          <w:rFonts w:hint="eastAsia"/>
          <w:kern w:val="0"/>
          <w:szCs w:val="21"/>
          <w:highlight w:val="none"/>
          <w:lang w:val="en-US" w:eastAsia="zh-CN"/>
        </w:rPr>
        <w:fldChar w:fldCharType="separate"/>
      </w:r>
      <w:r>
        <w:rPr>
          <w:rFonts w:hint="eastAsia"/>
          <w:kern w:val="0"/>
          <w:szCs w:val="21"/>
          <w:highlight w:val="none"/>
          <w:lang w:val="en-US" w:eastAsia="zh-CN"/>
        </w:rPr>
        <w:t>⑦</w:t>
      </w:r>
      <w:r>
        <w:rPr>
          <w:rFonts w:hint="eastAsia"/>
          <w:kern w:val="0"/>
          <w:szCs w:val="21"/>
          <w:highlight w:val="none"/>
          <w:lang w:val="en-US" w:eastAsia="zh-CN"/>
        </w:rPr>
        <w:fldChar w:fldCharType="end"/>
      </w:r>
      <w:r>
        <w:rPr>
          <w:rFonts w:hint="eastAsia"/>
          <w:kern w:val="0"/>
          <w:szCs w:val="21"/>
          <w:highlight w:val="none"/>
          <w:lang w:val="en-US" w:eastAsia="zh-CN"/>
        </w:rPr>
        <w:t>=</w:t>
      </w:r>
      <w:r>
        <w:rPr>
          <w:rFonts w:hint="eastAsia"/>
          <w:kern w:val="0"/>
          <w:szCs w:val="21"/>
          <w:highlight w:val="none"/>
          <w:lang w:val="en-US" w:eastAsia="zh-CN"/>
        </w:rPr>
        <w:fldChar w:fldCharType="begin"/>
      </w:r>
      <w:r>
        <w:rPr>
          <w:rFonts w:hint="eastAsia"/>
          <w:kern w:val="0"/>
          <w:szCs w:val="21"/>
          <w:highlight w:val="none"/>
          <w:lang w:val="en-US" w:eastAsia="zh-CN"/>
        </w:rPr>
        <w:instrText xml:space="preserve"> = 6 \* GB3 \* MERGEFORMAT </w:instrText>
      </w:r>
      <w:r>
        <w:rPr>
          <w:rFonts w:hint="eastAsia"/>
          <w:kern w:val="0"/>
          <w:szCs w:val="21"/>
          <w:highlight w:val="none"/>
          <w:lang w:val="en-US" w:eastAsia="zh-CN"/>
        </w:rPr>
        <w:fldChar w:fldCharType="separate"/>
      </w:r>
      <w:r>
        <w:rPr>
          <w:rFonts w:hint="eastAsia"/>
          <w:kern w:val="0"/>
          <w:szCs w:val="21"/>
          <w:highlight w:val="none"/>
          <w:lang w:val="en-US" w:eastAsia="zh-CN"/>
        </w:rPr>
        <w:t>⑥</w:t>
      </w:r>
      <w:r>
        <w:rPr>
          <w:rFonts w:hint="eastAsia"/>
          <w:kern w:val="0"/>
          <w:szCs w:val="21"/>
          <w:highlight w:val="none"/>
          <w:lang w:val="en-US" w:eastAsia="zh-CN"/>
        </w:rPr>
        <w:fldChar w:fldCharType="end"/>
      </w:r>
      <w:r>
        <w:rPr>
          <w:rFonts w:hint="eastAsia"/>
          <w:kern w:val="0"/>
          <w:szCs w:val="21"/>
          <w:highlight w:val="none"/>
          <w:lang w:val="en-US" w:eastAsia="zh-CN"/>
        </w:rPr>
        <w:t>-</w:t>
      </w:r>
      <w:r>
        <w:rPr>
          <w:rFonts w:hint="eastAsia"/>
          <w:kern w:val="0"/>
          <w:szCs w:val="21"/>
          <w:highlight w:val="none"/>
          <w:lang w:val="en-US" w:eastAsia="zh-CN"/>
        </w:rPr>
        <w:fldChar w:fldCharType="begin"/>
      </w:r>
      <w:r>
        <w:rPr>
          <w:rFonts w:hint="eastAsia"/>
          <w:kern w:val="0"/>
          <w:szCs w:val="21"/>
          <w:highlight w:val="none"/>
          <w:lang w:val="en-US" w:eastAsia="zh-CN"/>
        </w:rPr>
        <w:instrText xml:space="preserve"> = 1 \* GB3 \* MERGEFORMAT </w:instrText>
      </w:r>
      <w:r>
        <w:rPr>
          <w:rFonts w:hint="eastAsia"/>
          <w:kern w:val="0"/>
          <w:szCs w:val="21"/>
          <w:highlight w:val="none"/>
          <w:lang w:val="en-US" w:eastAsia="zh-CN"/>
        </w:rPr>
        <w:fldChar w:fldCharType="separate"/>
      </w:r>
      <w:r>
        <w:rPr>
          <w:rFonts w:hint="eastAsia"/>
          <w:kern w:val="0"/>
          <w:szCs w:val="21"/>
          <w:highlight w:val="none"/>
          <w:lang w:val="en-US" w:eastAsia="zh-CN"/>
        </w:rPr>
        <w:t>①</w:t>
      </w:r>
      <w:r>
        <w:rPr>
          <w:rFonts w:hint="eastAsia"/>
          <w:kern w:val="0"/>
          <w:szCs w:val="21"/>
          <w:highlight w:val="none"/>
          <w:lang w:val="en-US" w:eastAsia="zh-CN"/>
        </w:rPr>
        <w:fldChar w:fldCharType="end"/>
      </w:r>
    </w:p>
    <w:p>
      <w:pPr>
        <w:rPr>
          <w:highlight w:val="yellow"/>
        </w:rPr>
      </w:pPr>
    </w:p>
    <w:p>
      <w:pPr>
        <w:rPr>
          <w:highlight w:val="yellow"/>
        </w:rPr>
      </w:pPr>
    </w:p>
    <w:sectPr>
      <w:footerReference r:id="rId7" w:type="default"/>
      <w:pgSz w:w="16838" w:h="11906" w:orient="landscape"/>
      <w:pgMar w:top="1531" w:right="1701" w:bottom="1531"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楷体_GBK">
    <w:altName w:val="黑体"/>
    <w:panose1 w:val="00000000000000000000"/>
    <w:charset w:val="86"/>
    <w:family w:val="script"/>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00000287" w:usb1="00000000" w:usb2="00000000" w:usb3="00000000" w:csb0="2000009F" w:csb1="DFD7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Wingdings 2">
    <w:panose1 w:val="05020102010507070707"/>
    <w:charset w:val="02"/>
    <w:family w:val="roman"/>
    <w:pitch w:val="default"/>
    <w:sig w:usb0="00000000" w:usb1="00000000" w:usb2="00000000" w:usb3="00000000" w:csb0="80000000" w:csb1="00000000"/>
  </w:font>
  <w:font w:name="等线 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7"/>
      </w:rPr>
    </w:pPr>
    <w:r>
      <w:fldChar w:fldCharType="begin"/>
    </w:r>
    <w:r>
      <w:rPr>
        <w:rStyle w:val="27"/>
      </w:rPr>
      <w:instrText xml:space="preserve">PAGE  </w:instrText>
    </w:r>
    <w: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PwRaAJ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iiaBMysMNfzw4/vh5+/D&#10;r29sFu3pnC8o69ZRXujfQB9To1TvbkB+8czCdSPsRl0hQtcoURG9PL7MHjwdcHwEWXfvoaI6Yhsg&#10;AfU1mghIbjBCp9bsT61RfWAylsxnr88vOJN0lZ/ns9lFqiCK8bFDH94qMCwGJUfqfAIXuxsfIhlR&#10;jCmxloWVbtvU/db+dUCJ8SSRj3wH5qFf90cz1lDtSQbCMEz0lShoAL9y1tEgldzSv+GsfWfJiDhz&#10;Y4BjsB4DYSU9LHngbAivwzCbW4d60xDuaPUVmbXSSUh0deBwZEmjkfQdxzjO3sN9yvrzdRf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BPwRaAJAgAAAgQAAA4AAAAAAAAAAQAgAAAAHwEAAGRy&#10;cy9lMm9Eb2MueG1sUEsFBgAAAAAGAAYAWQEAAJoFA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00761"/>
    <w:multiLevelType w:val="singleLevel"/>
    <w:tmpl w:val="AFB00761"/>
    <w:lvl w:ilvl="0" w:tentative="0">
      <w:start w:val="1"/>
      <w:numFmt w:val="decimal"/>
      <w:suff w:val="nothing"/>
      <w:lvlText w:val="%1．"/>
      <w:lvlJc w:val="left"/>
    </w:lvl>
  </w:abstractNum>
  <w:abstractNum w:abstractNumId="1">
    <w:nsid w:val="F0F69C1D"/>
    <w:multiLevelType w:val="singleLevel"/>
    <w:tmpl w:val="F0F69C1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17"/>
    <w:rsid w:val="00000A6C"/>
    <w:rsid w:val="00000B3A"/>
    <w:rsid w:val="000010B1"/>
    <w:rsid w:val="000016B5"/>
    <w:rsid w:val="000022D7"/>
    <w:rsid w:val="00002578"/>
    <w:rsid w:val="00002D1A"/>
    <w:rsid w:val="00002FDC"/>
    <w:rsid w:val="000031BE"/>
    <w:rsid w:val="000038CA"/>
    <w:rsid w:val="00003D8C"/>
    <w:rsid w:val="00004173"/>
    <w:rsid w:val="00004217"/>
    <w:rsid w:val="0000526D"/>
    <w:rsid w:val="00005719"/>
    <w:rsid w:val="000057FF"/>
    <w:rsid w:val="000060B3"/>
    <w:rsid w:val="0000666E"/>
    <w:rsid w:val="000066DC"/>
    <w:rsid w:val="000067D8"/>
    <w:rsid w:val="00006EC2"/>
    <w:rsid w:val="00006EE2"/>
    <w:rsid w:val="0000722D"/>
    <w:rsid w:val="000072ED"/>
    <w:rsid w:val="000104CB"/>
    <w:rsid w:val="00010534"/>
    <w:rsid w:val="000114E0"/>
    <w:rsid w:val="000119C5"/>
    <w:rsid w:val="00012865"/>
    <w:rsid w:val="00012AFD"/>
    <w:rsid w:val="0001344F"/>
    <w:rsid w:val="00013AA8"/>
    <w:rsid w:val="00013BFA"/>
    <w:rsid w:val="00013DB7"/>
    <w:rsid w:val="00013F61"/>
    <w:rsid w:val="00014B44"/>
    <w:rsid w:val="00014BD0"/>
    <w:rsid w:val="00014EE9"/>
    <w:rsid w:val="000151D1"/>
    <w:rsid w:val="00015F5E"/>
    <w:rsid w:val="00016414"/>
    <w:rsid w:val="000166C5"/>
    <w:rsid w:val="000169DE"/>
    <w:rsid w:val="000176A4"/>
    <w:rsid w:val="00017CDC"/>
    <w:rsid w:val="00020962"/>
    <w:rsid w:val="00020B45"/>
    <w:rsid w:val="00020EA9"/>
    <w:rsid w:val="00020F2C"/>
    <w:rsid w:val="00021183"/>
    <w:rsid w:val="000211A2"/>
    <w:rsid w:val="00021B9A"/>
    <w:rsid w:val="00022945"/>
    <w:rsid w:val="00022948"/>
    <w:rsid w:val="00022F15"/>
    <w:rsid w:val="00022FDD"/>
    <w:rsid w:val="000234FC"/>
    <w:rsid w:val="00023A17"/>
    <w:rsid w:val="0002456B"/>
    <w:rsid w:val="00024F86"/>
    <w:rsid w:val="00025290"/>
    <w:rsid w:val="000253E8"/>
    <w:rsid w:val="000254F3"/>
    <w:rsid w:val="000256A1"/>
    <w:rsid w:val="0002586B"/>
    <w:rsid w:val="00025D49"/>
    <w:rsid w:val="00025F99"/>
    <w:rsid w:val="000262FB"/>
    <w:rsid w:val="0002690F"/>
    <w:rsid w:val="00027381"/>
    <w:rsid w:val="000278C6"/>
    <w:rsid w:val="000303E8"/>
    <w:rsid w:val="00030835"/>
    <w:rsid w:val="00031922"/>
    <w:rsid w:val="00031A82"/>
    <w:rsid w:val="00031B78"/>
    <w:rsid w:val="0003249B"/>
    <w:rsid w:val="0003254D"/>
    <w:rsid w:val="00032628"/>
    <w:rsid w:val="00032A19"/>
    <w:rsid w:val="00033807"/>
    <w:rsid w:val="00033B9B"/>
    <w:rsid w:val="00033C5A"/>
    <w:rsid w:val="00033FD2"/>
    <w:rsid w:val="00034138"/>
    <w:rsid w:val="000344B7"/>
    <w:rsid w:val="0003474F"/>
    <w:rsid w:val="00034C38"/>
    <w:rsid w:val="00034C76"/>
    <w:rsid w:val="000351A7"/>
    <w:rsid w:val="00035348"/>
    <w:rsid w:val="00035744"/>
    <w:rsid w:val="00035E4D"/>
    <w:rsid w:val="00035F4A"/>
    <w:rsid w:val="00036909"/>
    <w:rsid w:val="00036D20"/>
    <w:rsid w:val="000379C5"/>
    <w:rsid w:val="00037AE3"/>
    <w:rsid w:val="00037CA3"/>
    <w:rsid w:val="000406D3"/>
    <w:rsid w:val="000406DA"/>
    <w:rsid w:val="00040EAB"/>
    <w:rsid w:val="00041367"/>
    <w:rsid w:val="000419B3"/>
    <w:rsid w:val="00041A0D"/>
    <w:rsid w:val="00041C6C"/>
    <w:rsid w:val="00041D3B"/>
    <w:rsid w:val="00041DF3"/>
    <w:rsid w:val="00041FBE"/>
    <w:rsid w:val="0004207B"/>
    <w:rsid w:val="00042196"/>
    <w:rsid w:val="000424A6"/>
    <w:rsid w:val="000424E3"/>
    <w:rsid w:val="00042BDD"/>
    <w:rsid w:val="0004312F"/>
    <w:rsid w:val="000432FA"/>
    <w:rsid w:val="0004364B"/>
    <w:rsid w:val="00043B77"/>
    <w:rsid w:val="00043D50"/>
    <w:rsid w:val="00043E95"/>
    <w:rsid w:val="00044091"/>
    <w:rsid w:val="00044A55"/>
    <w:rsid w:val="00044E22"/>
    <w:rsid w:val="00044F28"/>
    <w:rsid w:val="000452C0"/>
    <w:rsid w:val="0004556D"/>
    <w:rsid w:val="000455DC"/>
    <w:rsid w:val="0004581C"/>
    <w:rsid w:val="00045C43"/>
    <w:rsid w:val="000461E9"/>
    <w:rsid w:val="000462AA"/>
    <w:rsid w:val="00046486"/>
    <w:rsid w:val="0004708E"/>
    <w:rsid w:val="000471C8"/>
    <w:rsid w:val="00047600"/>
    <w:rsid w:val="00047D00"/>
    <w:rsid w:val="00047D2D"/>
    <w:rsid w:val="00047FAC"/>
    <w:rsid w:val="00050688"/>
    <w:rsid w:val="00050B81"/>
    <w:rsid w:val="00050BFB"/>
    <w:rsid w:val="00050CE0"/>
    <w:rsid w:val="00051492"/>
    <w:rsid w:val="00051FCC"/>
    <w:rsid w:val="00051FEC"/>
    <w:rsid w:val="0005257D"/>
    <w:rsid w:val="0005373D"/>
    <w:rsid w:val="00053989"/>
    <w:rsid w:val="00053D57"/>
    <w:rsid w:val="000549A8"/>
    <w:rsid w:val="00054A5C"/>
    <w:rsid w:val="00054ABC"/>
    <w:rsid w:val="0005511F"/>
    <w:rsid w:val="00056548"/>
    <w:rsid w:val="000565FB"/>
    <w:rsid w:val="00056930"/>
    <w:rsid w:val="00056BE1"/>
    <w:rsid w:val="000572A7"/>
    <w:rsid w:val="0005748E"/>
    <w:rsid w:val="00060049"/>
    <w:rsid w:val="00060380"/>
    <w:rsid w:val="00060555"/>
    <w:rsid w:val="000608A8"/>
    <w:rsid w:val="0006099C"/>
    <w:rsid w:val="000610A1"/>
    <w:rsid w:val="000612D4"/>
    <w:rsid w:val="000619CA"/>
    <w:rsid w:val="00061B1F"/>
    <w:rsid w:val="00061EF6"/>
    <w:rsid w:val="00062261"/>
    <w:rsid w:val="00062386"/>
    <w:rsid w:val="0006281B"/>
    <w:rsid w:val="00063087"/>
    <w:rsid w:val="000640C5"/>
    <w:rsid w:val="00064335"/>
    <w:rsid w:val="00064E3C"/>
    <w:rsid w:val="000658C4"/>
    <w:rsid w:val="000658D9"/>
    <w:rsid w:val="00065948"/>
    <w:rsid w:val="0006623C"/>
    <w:rsid w:val="00066766"/>
    <w:rsid w:val="0006741B"/>
    <w:rsid w:val="00067652"/>
    <w:rsid w:val="00067B12"/>
    <w:rsid w:val="000702D6"/>
    <w:rsid w:val="0007038A"/>
    <w:rsid w:val="0007071B"/>
    <w:rsid w:val="00070C6C"/>
    <w:rsid w:val="00070DDA"/>
    <w:rsid w:val="00071A67"/>
    <w:rsid w:val="00071FA8"/>
    <w:rsid w:val="00072509"/>
    <w:rsid w:val="0007266F"/>
    <w:rsid w:val="00072A53"/>
    <w:rsid w:val="00072AF3"/>
    <w:rsid w:val="0007301F"/>
    <w:rsid w:val="000733C4"/>
    <w:rsid w:val="000737FF"/>
    <w:rsid w:val="00073863"/>
    <w:rsid w:val="000739B7"/>
    <w:rsid w:val="00073A3A"/>
    <w:rsid w:val="00073E4B"/>
    <w:rsid w:val="00073ECF"/>
    <w:rsid w:val="00073F7A"/>
    <w:rsid w:val="00074084"/>
    <w:rsid w:val="00074783"/>
    <w:rsid w:val="00074BB1"/>
    <w:rsid w:val="000750AC"/>
    <w:rsid w:val="00075760"/>
    <w:rsid w:val="00076141"/>
    <w:rsid w:val="00076368"/>
    <w:rsid w:val="000765FF"/>
    <w:rsid w:val="00077878"/>
    <w:rsid w:val="0008070B"/>
    <w:rsid w:val="00080E62"/>
    <w:rsid w:val="000810AC"/>
    <w:rsid w:val="0008170E"/>
    <w:rsid w:val="00081964"/>
    <w:rsid w:val="00081A02"/>
    <w:rsid w:val="00082231"/>
    <w:rsid w:val="000828D4"/>
    <w:rsid w:val="00082E7A"/>
    <w:rsid w:val="000831DC"/>
    <w:rsid w:val="00084198"/>
    <w:rsid w:val="000842BE"/>
    <w:rsid w:val="00084733"/>
    <w:rsid w:val="00084E97"/>
    <w:rsid w:val="00084EA1"/>
    <w:rsid w:val="00084EBF"/>
    <w:rsid w:val="00084F0A"/>
    <w:rsid w:val="00085A6E"/>
    <w:rsid w:val="00085DBB"/>
    <w:rsid w:val="00085EE5"/>
    <w:rsid w:val="0008612B"/>
    <w:rsid w:val="0008657C"/>
    <w:rsid w:val="0008671B"/>
    <w:rsid w:val="00086D82"/>
    <w:rsid w:val="000872A1"/>
    <w:rsid w:val="000876BE"/>
    <w:rsid w:val="000878B9"/>
    <w:rsid w:val="00087DA9"/>
    <w:rsid w:val="00090B98"/>
    <w:rsid w:val="00090EEE"/>
    <w:rsid w:val="00091632"/>
    <w:rsid w:val="00091642"/>
    <w:rsid w:val="00091B92"/>
    <w:rsid w:val="00092324"/>
    <w:rsid w:val="000923DA"/>
    <w:rsid w:val="00092849"/>
    <w:rsid w:val="00092B78"/>
    <w:rsid w:val="00092D38"/>
    <w:rsid w:val="0009327B"/>
    <w:rsid w:val="00093731"/>
    <w:rsid w:val="0009377B"/>
    <w:rsid w:val="000938BA"/>
    <w:rsid w:val="00093901"/>
    <w:rsid w:val="00093B03"/>
    <w:rsid w:val="00093DF5"/>
    <w:rsid w:val="00094219"/>
    <w:rsid w:val="00094351"/>
    <w:rsid w:val="00094E8B"/>
    <w:rsid w:val="00094FC9"/>
    <w:rsid w:val="000951E9"/>
    <w:rsid w:val="0009528F"/>
    <w:rsid w:val="000952D7"/>
    <w:rsid w:val="00095A15"/>
    <w:rsid w:val="00095F26"/>
    <w:rsid w:val="00096410"/>
    <w:rsid w:val="00096943"/>
    <w:rsid w:val="00096E96"/>
    <w:rsid w:val="0009769B"/>
    <w:rsid w:val="00097729"/>
    <w:rsid w:val="0009772E"/>
    <w:rsid w:val="00097D55"/>
    <w:rsid w:val="000A082D"/>
    <w:rsid w:val="000A0DDB"/>
    <w:rsid w:val="000A1831"/>
    <w:rsid w:val="000A198E"/>
    <w:rsid w:val="000A1DDB"/>
    <w:rsid w:val="000A1EBE"/>
    <w:rsid w:val="000A20C9"/>
    <w:rsid w:val="000A2D27"/>
    <w:rsid w:val="000A2FAF"/>
    <w:rsid w:val="000A34F9"/>
    <w:rsid w:val="000A3888"/>
    <w:rsid w:val="000A38B7"/>
    <w:rsid w:val="000A42A3"/>
    <w:rsid w:val="000A45B4"/>
    <w:rsid w:val="000A4BDF"/>
    <w:rsid w:val="000A4C71"/>
    <w:rsid w:val="000A50D2"/>
    <w:rsid w:val="000A5A25"/>
    <w:rsid w:val="000A6348"/>
    <w:rsid w:val="000A6A05"/>
    <w:rsid w:val="000A6C2B"/>
    <w:rsid w:val="000A6FE6"/>
    <w:rsid w:val="000A7419"/>
    <w:rsid w:val="000A7424"/>
    <w:rsid w:val="000A7559"/>
    <w:rsid w:val="000A7750"/>
    <w:rsid w:val="000A7972"/>
    <w:rsid w:val="000A7F3F"/>
    <w:rsid w:val="000B0355"/>
    <w:rsid w:val="000B04B1"/>
    <w:rsid w:val="000B058F"/>
    <w:rsid w:val="000B06F5"/>
    <w:rsid w:val="000B07B2"/>
    <w:rsid w:val="000B0FAD"/>
    <w:rsid w:val="000B12AC"/>
    <w:rsid w:val="000B15E9"/>
    <w:rsid w:val="000B15F9"/>
    <w:rsid w:val="000B17D6"/>
    <w:rsid w:val="000B1A7E"/>
    <w:rsid w:val="000B1CB1"/>
    <w:rsid w:val="000B2292"/>
    <w:rsid w:val="000B2502"/>
    <w:rsid w:val="000B2B30"/>
    <w:rsid w:val="000B2C7B"/>
    <w:rsid w:val="000B3067"/>
    <w:rsid w:val="000B314F"/>
    <w:rsid w:val="000B37F5"/>
    <w:rsid w:val="000B4467"/>
    <w:rsid w:val="000B48B9"/>
    <w:rsid w:val="000B4D62"/>
    <w:rsid w:val="000B4DB9"/>
    <w:rsid w:val="000B5059"/>
    <w:rsid w:val="000B5422"/>
    <w:rsid w:val="000B5470"/>
    <w:rsid w:val="000B5C44"/>
    <w:rsid w:val="000B606F"/>
    <w:rsid w:val="000B6716"/>
    <w:rsid w:val="000B6EE2"/>
    <w:rsid w:val="000B6F9E"/>
    <w:rsid w:val="000B7981"/>
    <w:rsid w:val="000B7AA4"/>
    <w:rsid w:val="000C060B"/>
    <w:rsid w:val="000C09AC"/>
    <w:rsid w:val="000C0BD4"/>
    <w:rsid w:val="000C0ED2"/>
    <w:rsid w:val="000C13AE"/>
    <w:rsid w:val="000C1BD2"/>
    <w:rsid w:val="000C2481"/>
    <w:rsid w:val="000C250C"/>
    <w:rsid w:val="000C2621"/>
    <w:rsid w:val="000C2722"/>
    <w:rsid w:val="000C2D0F"/>
    <w:rsid w:val="000C441B"/>
    <w:rsid w:val="000C455F"/>
    <w:rsid w:val="000C4619"/>
    <w:rsid w:val="000C4E29"/>
    <w:rsid w:val="000C52DE"/>
    <w:rsid w:val="000C590A"/>
    <w:rsid w:val="000C5BD7"/>
    <w:rsid w:val="000C6287"/>
    <w:rsid w:val="000C66AE"/>
    <w:rsid w:val="000C6AB4"/>
    <w:rsid w:val="000C6F84"/>
    <w:rsid w:val="000C70F8"/>
    <w:rsid w:val="000C767F"/>
    <w:rsid w:val="000C79F2"/>
    <w:rsid w:val="000D043B"/>
    <w:rsid w:val="000D0AC7"/>
    <w:rsid w:val="000D0ACB"/>
    <w:rsid w:val="000D0F6F"/>
    <w:rsid w:val="000D1876"/>
    <w:rsid w:val="000D1B95"/>
    <w:rsid w:val="000D2BE9"/>
    <w:rsid w:val="000D2C6C"/>
    <w:rsid w:val="000D2E4A"/>
    <w:rsid w:val="000D2FA9"/>
    <w:rsid w:val="000D31A3"/>
    <w:rsid w:val="000D322F"/>
    <w:rsid w:val="000D3CC3"/>
    <w:rsid w:val="000D3D32"/>
    <w:rsid w:val="000D4B43"/>
    <w:rsid w:val="000D5168"/>
    <w:rsid w:val="000D5504"/>
    <w:rsid w:val="000D5A44"/>
    <w:rsid w:val="000D5C3A"/>
    <w:rsid w:val="000D5E22"/>
    <w:rsid w:val="000D6528"/>
    <w:rsid w:val="000D6CCE"/>
    <w:rsid w:val="000D6CDF"/>
    <w:rsid w:val="000D7322"/>
    <w:rsid w:val="000D74A3"/>
    <w:rsid w:val="000E0AA7"/>
    <w:rsid w:val="000E0E36"/>
    <w:rsid w:val="000E119F"/>
    <w:rsid w:val="000E1848"/>
    <w:rsid w:val="000E1EA5"/>
    <w:rsid w:val="000E1EF3"/>
    <w:rsid w:val="000E27AC"/>
    <w:rsid w:val="000E2BED"/>
    <w:rsid w:val="000E2E52"/>
    <w:rsid w:val="000E3ED2"/>
    <w:rsid w:val="000E4164"/>
    <w:rsid w:val="000E510E"/>
    <w:rsid w:val="000E599C"/>
    <w:rsid w:val="000E69AF"/>
    <w:rsid w:val="000E6B4B"/>
    <w:rsid w:val="000E6D57"/>
    <w:rsid w:val="000E6D5E"/>
    <w:rsid w:val="000E7014"/>
    <w:rsid w:val="000E7155"/>
    <w:rsid w:val="000E7C71"/>
    <w:rsid w:val="000E7E67"/>
    <w:rsid w:val="000E7F80"/>
    <w:rsid w:val="000F00AD"/>
    <w:rsid w:val="000F012A"/>
    <w:rsid w:val="000F0580"/>
    <w:rsid w:val="000F068C"/>
    <w:rsid w:val="000F0FC3"/>
    <w:rsid w:val="000F0FF2"/>
    <w:rsid w:val="000F1264"/>
    <w:rsid w:val="000F1267"/>
    <w:rsid w:val="000F1554"/>
    <w:rsid w:val="000F1C00"/>
    <w:rsid w:val="000F1F5B"/>
    <w:rsid w:val="000F20F4"/>
    <w:rsid w:val="000F21A3"/>
    <w:rsid w:val="000F23DA"/>
    <w:rsid w:val="000F2CFA"/>
    <w:rsid w:val="000F3192"/>
    <w:rsid w:val="000F37D8"/>
    <w:rsid w:val="000F42C6"/>
    <w:rsid w:val="000F4730"/>
    <w:rsid w:val="000F4877"/>
    <w:rsid w:val="000F495B"/>
    <w:rsid w:val="000F6A2A"/>
    <w:rsid w:val="000F75E6"/>
    <w:rsid w:val="001000EA"/>
    <w:rsid w:val="001009E3"/>
    <w:rsid w:val="00101CC5"/>
    <w:rsid w:val="001021D7"/>
    <w:rsid w:val="0010274A"/>
    <w:rsid w:val="00102A26"/>
    <w:rsid w:val="00102C4B"/>
    <w:rsid w:val="00102CA6"/>
    <w:rsid w:val="0010342F"/>
    <w:rsid w:val="001034FB"/>
    <w:rsid w:val="001035E0"/>
    <w:rsid w:val="00104513"/>
    <w:rsid w:val="00105327"/>
    <w:rsid w:val="00105719"/>
    <w:rsid w:val="00105B08"/>
    <w:rsid w:val="00105D62"/>
    <w:rsid w:val="00105F98"/>
    <w:rsid w:val="00106634"/>
    <w:rsid w:val="00106AC2"/>
    <w:rsid w:val="0010706D"/>
    <w:rsid w:val="001075D9"/>
    <w:rsid w:val="00107798"/>
    <w:rsid w:val="001079E2"/>
    <w:rsid w:val="00110013"/>
    <w:rsid w:val="00110428"/>
    <w:rsid w:val="001105E1"/>
    <w:rsid w:val="001106A8"/>
    <w:rsid w:val="00110719"/>
    <w:rsid w:val="0011094B"/>
    <w:rsid w:val="00110ECD"/>
    <w:rsid w:val="00111113"/>
    <w:rsid w:val="00111143"/>
    <w:rsid w:val="00111155"/>
    <w:rsid w:val="00111374"/>
    <w:rsid w:val="00111A42"/>
    <w:rsid w:val="00111C86"/>
    <w:rsid w:val="0011211B"/>
    <w:rsid w:val="001125E9"/>
    <w:rsid w:val="0011271C"/>
    <w:rsid w:val="00112EBB"/>
    <w:rsid w:val="001136C9"/>
    <w:rsid w:val="0011443F"/>
    <w:rsid w:val="001145CC"/>
    <w:rsid w:val="001147D9"/>
    <w:rsid w:val="00115877"/>
    <w:rsid w:val="00115CC4"/>
    <w:rsid w:val="00115E36"/>
    <w:rsid w:val="00116016"/>
    <w:rsid w:val="00116118"/>
    <w:rsid w:val="001166A9"/>
    <w:rsid w:val="00116F24"/>
    <w:rsid w:val="00117084"/>
    <w:rsid w:val="001174C9"/>
    <w:rsid w:val="00117912"/>
    <w:rsid w:val="00117DD6"/>
    <w:rsid w:val="00117E64"/>
    <w:rsid w:val="001201D7"/>
    <w:rsid w:val="0012038C"/>
    <w:rsid w:val="00120599"/>
    <w:rsid w:val="00120677"/>
    <w:rsid w:val="001213DA"/>
    <w:rsid w:val="00121628"/>
    <w:rsid w:val="001217D7"/>
    <w:rsid w:val="00121853"/>
    <w:rsid w:val="001218E1"/>
    <w:rsid w:val="00121DF7"/>
    <w:rsid w:val="001221A5"/>
    <w:rsid w:val="00122340"/>
    <w:rsid w:val="00122485"/>
    <w:rsid w:val="001229EC"/>
    <w:rsid w:val="00122A34"/>
    <w:rsid w:val="00122A8B"/>
    <w:rsid w:val="00122CC2"/>
    <w:rsid w:val="001235C7"/>
    <w:rsid w:val="0012361D"/>
    <w:rsid w:val="00123A43"/>
    <w:rsid w:val="00124261"/>
    <w:rsid w:val="001246A2"/>
    <w:rsid w:val="001249EC"/>
    <w:rsid w:val="00124E4E"/>
    <w:rsid w:val="001258A6"/>
    <w:rsid w:val="00125F54"/>
    <w:rsid w:val="001261FE"/>
    <w:rsid w:val="00127FF9"/>
    <w:rsid w:val="001300FF"/>
    <w:rsid w:val="00130CE3"/>
    <w:rsid w:val="00130CE4"/>
    <w:rsid w:val="0013156E"/>
    <w:rsid w:val="00131732"/>
    <w:rsid w:val="001319DC"/>
    <w:rsid w:val="00131F42"/>
    <w:rsid w:val="00132437"/>
    <w:rsid w:val="00132441"/>
    <w:rsid w:val="00133371"/>
    <w:rsid w:val="00133E9C"/>
    <w:rsid w:val="001343C4"/>
    <w:rsid w:val="001348A7"/>
    <w:rsid w:val="00134A9C"/>
    <w:rsid w:val="00134EC6"/>
    <w:rsid w:val="001354F2"/>
    <w:rsid w:val="001356EB"/>
    <w:rsid w:val="001357F1"/>
    <w:rsid w:val="00135918"/>
    <w:rsid w:val="00135960"/>
    <w:rsid w:val="00135A79"/>
    <w:rsid w:val="00136457"/>
    <w:rsid w:val="001375A2"/>
    <w:rsid w:val="0014004F"/>
    <w:rsid w:val="001409D0"/>
    <w:rsid w:val="00140FA8"/>
    <w:rsid w:val="00141032"/>
    <w:rsid w:val="00141407"/>
    <w:rsid w:val="0014169A"/>
    <w:rsid w:val="001423A9"/>
    <w:rsid w:val="00142460"/>
    <w:rsid w:val="00142A12"/>
    <w:rsid w:val="00142FEB"/>
    <w:rsid w:val="00143618"/>
    <w:rsid w:val="0014391C"/>
    <w:rsid w:val="00143A2D"/>
    <w:rsid w:val="00143B6D"/>
    <w:rsid w:val="00143CC6"/>
    <w:rsid w:val="00143EE5"/>
    <w:rsid w:val="00143F96"/>
    <w:rsid w:val="00144603"/>
    <w:rsid w:val="00145254"/>
    <w:rsid w:val="0014534B"/>
    <w:rsid w:val="00145525"/>
    <w:rsid w:val="00145625"/>
    <w:rsid w:val="00145A41"/>
    <w:rsid w:val="00145FD2"/>
    <w:rsid w:val="00145FF1"/>
    <w:rsid w:val="00146077"/>
    <w:rsid w:val="001462D1"/>
    <w:rsid w:val="00146744"/>
    <w:rsid w:val="0014690B"/>
    <w:rsid w:val="00146DCE"/>
    <w:rsid w:val="0015013F"/>
    <w:rsid w:val="00150722"/>
    <w:rsid w:val="00150D09"/>
    <w:rsid w:val="00150F27"/>
    <w:rsid w:val="00151332"/>
    <w:rsid w:val="00151675"/>
    <w:rsid w:val="001517B0"/>
    <w:rsid w:val="00153607"/>
    <w:rsid w:val="00153625"/>
    <w:rsid w:val="00153B0E"/>
    <w:rsid w:val="00153F4D"/>
    <w:rsid w:val="00153FCA"/>
    <w:rsid w:val="0015426D"/>
    <w:rsid w:val="00154478"/>
    <w:rsid w:val="0015476E"/>
    <w:rsid w:val="001549E9"/>
    <w:rsid w:val="00155089"/>
    <w:rsid w:val="00155304"/>
    <w:rsid w:val="00155467"/>
    <w:rsid w:val="001555EF"/>
    <w:rsid w:val="001558F5"/>
    <w:rsid w:val="00155F6D"/>
    <w:rsid w:val="0015601B"/>
    <w:rsid w:val="00156021"/>
    <w:rsid w:val="001561FE"/>
    <w:rsid w:val="00156279"/>
    <w:rsid w:val="00156667"/>
    <w:rsid w:val="00156711"/>
    <w:rsid w:val="00157435"/>
    <w:rsid w:val="00157819"/>
    <w:rsid w:val="00160089"/>
    <w:rsid w:val="00160666"/>
    <w:rsid w:val="001607B7"/>
    <w:rsid w:val="00160896"/>
    <w:rsid w:val="0016116E"/>
    <w:rsid w:val="0016170C"/>
    <w:rsid w:val="00161E92"/>
    <w:rsid w:val="001624CB"/>
    <w:rsid w:val="00162761"/>
    <w:rsid w:val="00162C67"/>
    <w:rsid w:val="0016311E"/>
    <w:rsid w:val="001638AF"/>
    <w:rsid w:val="00163997"/>
    <w:rsid w:val="001649BB"/>
    <w:rsid w:val="00164A40"/>
    <w:rsid w:val="0016598D"/>
    <w:rsid w:val="0016616C"/>
    <w:rsid w:val="001666E3"/>
    <w:rsid w:val="001667C3"/>
    <w:rsid w:val="00166B81"/>
    <w:rsid w:val="00166E30"/>
    <w:rsid w:val="00170217"/>
    <w:rsid w:val="00170530"/>
    <w:rsid w:val="00171786"/>
    <w:rsid w:val="00171828"/>
    <w:rsid w:val="00171DB0"/>
    <w:rsid w:val="00171E6C"/>
    <w:rsid w:val="0017288F"/>
    <w:rsid w:val="001729CC"/>
    <w:rsid w:val="00172A27"/>
    <w:rsid w:val="00172CFA"/>
    <w:rsid w:val="00172D79"/>
    <w:rsid w:val="00173001"/>
    <w:rsid w:val="0017317B"/>
    <w:rsid w:val="001732A9"/>
    <w:rsid w:val="001733A9"/>
    <w:rsid w:val="00173EBD"/>
    <w:rsid w:val="00173FA1"/>
    <w:rsid w:val="0017504D"/>
    <w:rsid w:val="00175171"/>
    <w:rsid w:val="001756B2"/>
    <w:rsid w:val="00175CE1"/>
    <w:rsid w:val="0017631A"/>
    <w:rsid w:val="0017671A"/>
    <w:rsid w:val="0017714C"/>
    <w:rsid w:val="00177422"/>
    <w:rsid w:val="00177752"/>
    <w:rsid w:val="00177A87"/>
    <w:rsid w:val="00177CC2"/>
    <w:rsid w:val="00177DA7"/>
    <w:rsid w:val="00177EB7"/>
    <w:rsid w:val="00180111"/>
    <w:rsid w:val="001802B4"/>
    <w:rsid w:val="00180901"/>
    <w:rsid w:val="00180921"/>
    <w:rsid w:val="001809BE"/>
    <w:rsid w:val="00180C90"/>
    <w:rsid w:val="00180F43"/>
    <w:rsid w:val="00180F66"/>
    <w:rsid w:val="0018136C"/>
    <w:rsid w:val="0018137D"/>
    <w:rsid w:val="0018153B"/>
    <w:rsid w:val="0018156D"/>
    <w:rsid w:val="00181838"/>
    <w:rsid w:val="00181CB7"/>
    <w:rsid w:val="00182731"/>
    <w:rsid w:val="00183A11"/>
    <w:rsid w:val="00183FAF"/>
    <w:rsid w:val="00184590"/>
    <w:rsid w:val="001845E7"/>
    <w:rsid w:val="0018492A"/>
    <w:rsid w:val="00184940"/>
    <w:rsid w:val="00184B4F"/>
    <w:rsid w:val="001850B6"/>
    <w:rsid w:val="001855A6"/>
    <w:rsid w:val="001856D0"/>
    <w:rsid w:val="00185CD1"/>
    <w:rsid w:val="00186F1C"/>
    <w:rsid w:val="001870D1"/>
    <w:rsid w:val="0018781E"/>
    <w:rsid w:val="001878EB"/>
    <w:rsid w:val="0018795D"/>
    <w:rsid w:val="00187BCF"/>
    <w:rsid w:val="0019054B"/>
    <w:rsid w:val="001908AF"/>
    <w:rsid w:val="001910C4"/>
    <w:rsid w:val="0019156A"/>
    <w:rsid w:val="00191A00"/>
    <w:rsid w:val="00191D88"/>
    <w:rsid w:val="0019262D"/>
    <w:rsid w:val="001933D8"/>
    <w:rsid w:val="00193459"/>
    <w:rsid w:val="0019429A"/>
    <w:rsid w:val="001942A3"/>
    <w:rsid w:val="0019451C"/>
    <w:rsid w:val="00194656"/>
    <w:rsid w:val="0019495E"/>
    <w:rsid w:val="0019526A"/>
    <w:rsid w:val="00195D50"/>
    <w:rsid w:val="00196037"/>
    <w:rsid w:val="001960CC"/>
    <w:rsid w:val="001961CD"/>
    <w:rsid w:val="001966D4"/>
    <w:rsid w:val="00196A50"/>
    <w:rsid w:val="00196A7E"/>
    <w:rsid w:val="001971CD"/>
    <w:rsid w:val="0019726F"/>
    <w:rsid w:val="00197B29"/>
    <w:rsid w:val="001A005A"/>
    <w:rsid w:val="001A00EC"/>
    <w:rsid w:val="001A05B1"/>
    <w:rsid w:val="001A0C72"/>
    <w:rsid w:val="001A11AA"/>
    <w:rsid w:val="001A1B35"/>
    <w:rsid w:val="001A1BB2"/>
    <w:rsid w:val="001A1EFF"/>
    <w:rsid w:val="001A3381"/>
    <w:rsid w:val="001A3609"/>
    <w:rsid w:val="001A3F0C"/>
    <w:rsid w:val="001A42A5"/>
    <w:rsid w:val="001A4377"/>
    <w:rsid w:val="001A48A2"/>
    <w:rsid w:val="001A4F9A"/>
    <w:rsid w:val="001A4FAE"/>
    <w:rsid w:val="001A532D"/>
    <w:rsid w:val="001A559E"/>
    <w:rsid w:val="001A67D6"/>
    <w:rsid w:val="001A6BDA"/>
    <w:rsid w:val="001A6F61"/>
    <w:rsid w:val="001A76DE"/>
    <w:rsid w:val="001A7927"/>
    <w:rsid w:val="001B00AA"/>
    <w:rsid w:val="001B049C"/>
    <w:rsid w:val="001B05D6"/>
    <w:rsid w:val="001B0BEF"/>
    <w:rsid w:val="001B0F00"/>
    <w:rsid w:val="001B16CB"/>
    <w:rsid w:val="001B1A67"/>
    <w:rsid w:val="001B1EEC"/>
    <w:rsid w:val="001B2001"/>
    <w:rsid w:val="001B2016"/>
    <w:rsid w:val="001B2B2C"/>
    <w:rsid w:val="001B2CA3"/>
    <w:rsid w:val="001B340A"/>
    <w:rsid w:val="001B3F3F"/>
    <w:rsid w:val="001B41AA"/>
    <w:rsid w:val="001B467B"/>
    <w:rsid w:val="001B5481"/>
    <w:rsid w:val="001B548C"/>
    <w:rsid w:val="001B57F7"/>
    <w:rsid w:val="001B5998"/>
    <w:rsid w:val="001B670A"/>
    <w:rsid w:val="001B72B8"/>
    <w:rsid w:val="001B7E6A"/>
    <w:rsid w:val="001C0997"/>
    <w:rsid w:val="001C0C04"/>
    <w:rsid w:val="001C0F0D"/>
    <w:rsid w:val="001C11E8"/>
    <w:rsid w:val="001C1577"/>
    <w:rsid w:val="001C1929"/>
    <w:rsid w:val="001C1DD1"/>
    <w:rsid w:val="001C2A20"/>
    <w:rsid w:val="001C2A85"/>
    <w:rsid w:val="001C2E3F"/>
    <w:rsid w:val="001C2FE3"/>
    <w:rsid w:val="001C31CD"/>
    <w:rsid w:val="001C33F5"/>
    <w:rsid w:val="001C36A9"/>
    <w:rsid w:val="001C3BB6"/>
    <w:rsid w:val="001C3BCE"/>
    <w:rsid w:val="001C3D07"/>
    <w:rsid w:val="001C487C"/>
    <w:rsid w:val="001C5284"/>
    <w:rsid w:val="001C5672"/>
    <w:rsid w:val="001C570D"/>
    <w:rsid w:val="001C5899"/>
    <w:rsid w:val="001C6542"/>
    <w:rsid w:val="001C6590"/>
    <w:rsid w:val="001C67F5"/>
    <w:rsid w:val="001C69B3"/>
    <w:rsid w:val="001C6A3F"/>
    <w:rsid w:val="001C6BE8"/>
    <w:rsid w:val="001C76C1"/>
    <w:rsid w:val="001D0108"/>
    <w:rsid w:val="001D0F04"/>
    <w:rsid w:val="001D1511"/>
    <w:rsid w:val="001D1D3D"/>
    <w:rsid w:val="001D2300"/>
    <w:rsid w:val="001D2B4A"/>
    <w:rsid w:val="001D2F45"/>
    <w:rsid w:val="001D2FC4"/>
    <w:rsid w:val="001D313F"/>
    <w:rsid w:val="001D31E4"/>
    <w:rsid w:val="001D3D8E"/>
    <w:rsid w:val="001D401F"/>
    <w:rsid w:val="001D4992"/>
    <w:rsid w:val="001D5132"/>
    <w:rsid w:val="001D5595"/>
    <w:rsid w:val="001D5974"/>
    <w:rsid w:val="001D5C70"/>
    <w:rsid w:val="001D5DC6"/>
    <w:rsid w:val="001D65D1"/>
    <w:rsid w:val="001D6A1D"/>
    <w:rsid w:val="001D7874"/>
    <w:rsid w:val="001D7E31"/>
    <w:rsid w:val="001D7F22"/>
    <w:rsid w:val="001E02F1"/>
    <w:rsid w:val="001E0462"/>
    <w:rsid w:val="001E04EB"/>
    <w:rsid w:val="001E07F5"/>
    <w:rsid w:val="001E1A85"/>
    <w:rsid w:val="001E1AA2"/>
    <w:rsid w:val="001E307D"/>
    <w:rsid w:val="001E3B43"/>
    <w:rsid w:val="001E4582"/>
    <w:rsid w:val="001E4BDF"/>
    <w:rsid w:val="001E4D46"/>
    <w:rsid w:val="001E57F5"/>
    <w:rsid w:val="001E5CA4"/>
    <w:rsid w:val="001E5E2B"/>
    <w:rsid w:val="001E5F75"/>
    <w:rsid w:val="001E61BA"/>
    <w:rsid w:val="001E6314"/>
    <w:rsid w:val="001E6963"/>
    <w:rsid w:val="001E7711"/>
    <w:rsid w:val="001F0313"/>
    <w:rsid w:val="001F04AA"/>
    <w:rsid w:val="001F0EEC"/>
    <w:rsid w:val="001F0F17"/>
    <w:rsid w:val="001F1170"/>
    <w:rsid w:val="001F117C"/>
    <w:rsid w:val="001F1681"/>
    <w:rsid w:val="001F17D0"/>
    <w:rsid w:val="001F260F"/>
    <w:rsid w:val="001F278E"/>
    <w:rsid w:val="001F2F66"/>
    <w:rsid w:val="001F3347"/>
    <w:rsid w:val="001F4123"/>
    <w:rsid w:val="001F4418"/>
    <w:rsid w:val="001F48B5"/>
    <w:rsid w:val="001F4BE4"/>
    <w:rsid w:val="001F4C00"/>
    <w:rsid w:val="001F4C74"/>
    <w:rsid w:val="001F4DDE"/>
    <w:rsid w:val="001F5242"/>
    <w:rsid w:val="001F540F"/>
    <w:rsid w:val="001F56BD"/>
    <w:rsid w:val="001F584E"/>
    <w:rsid w:val="001F5BA3"/>
    <w:rsid w:val="001F5BC8"/>
    <w:rsid w:val="001F5F29"/>
    <w:rsid w:val="001F69E4"/>
    <w:rsid w:val="001F6E01"/>
    <w:rsid w:val="001F731B"/>
    <w:rsid w:val="001F7581"/>
    <w:rsid w:val="001F7A46"/>
    <w:rsid w:val="00200BB5"/>
    <w:rsid w:val="00200CBF"/>
    <w:rsid w:val="00201DE4"/>
    <w:rsid w:val="00202006"/>
    <w:rsid w:val="0020272D"/>
    <w:rsid w:val="002027CC"/>
    <w:rsid w:val="00202952"/>
    <w:rsid w:val="00202E52"/>
    <w:rsid w:val="002030CB"/>
    <w:rsid w:val="002035AE"/>
    <w:rsid w:val="00203FCB"/>
    <w:rsid w:val="002041DD"/>
    <w:rsid w:val="00204240"/>
    <w:rsid w:val="00204802"/>
    <w:rsid w:val="00204BB0"/>
    <w:rsid w:val="00204E30"/>
    <w:rsid w:val="00205238"/>
    <w:rsid w:val="002053C4"/>
    <w:rsid w:val="0020634C"/>
    <w:rsid w:val="00206BC8"/>
    <w:rsid w:val="00207166"/>
    <w:rsid w:val="00207311"/>
    <w:rsid w:val="002073A9"/>
    <w:rsid w:val="00207963"/>
    <w:rsid w:val="00207A07"/>
    <w:rsid w:val="00207DD7"/>
    <w:rsid w:val="0021040F"/>
    <w:rsid w:val="0021146A"/>
    <w:rsid w:val="00211678"/>
    <w:rsid w:val="00211878"/>
    <w:rsid w:val="00211B05"/>
    <w:rsid w:val="00212258"/>
    <w:rsid w:val="002125B4"/>
    <w:rsid w:val="002130DB"/>
    <w:rsid w:val="00213360"/>
    <w:rsid w:val="00213450"/>
    <w:rsid w:val="002134EB"/>
    <w:rsid w:val="002137A0"/>
    <w:rsid w:val="00213CBC"/>
    <w:rsid w:val="00213D1F"/>
    <w:rsid w:val="00214312"/>
    <w:rsid w:val="002143A1"/>
    <w:rsid w:val="00214FDD"/>
    <w:rsid w:val="0021557A"/>
    <w:rsid w:val="002155B8"/>
    <w:rsid w:val="00215880"/>
    <w:rsid w:val="00215C32"/>
    <w:rsid w:val="002164DF"/>
    <w:rsid w:val="002166B9"/>
    <w:rsid w:val="0021684C"/>
    <w:rsid w:val="00216B70"/>
    <w:rsid w:val="00216B93"/>
    <w:rsid w:val="002203A7"/>
    <w:rsid w:val="002207AB"/>
    <w:rsid w:val="00220DB2"/>
    <w:rsid w:val="00221150"/>
    <w:rsid w:val="002211EA"/>
    <w:rsid w:val="0022181C"/>
    <w:rsid w:val="00221C58"/>
    <w:rsid w:val="0022271F"/>
    <w:rsid w:val="00222D10"/>
    <w:rsid w:val="00222EA8"/>
    <w:rsid w:val="00222FD7"/>
    <w:rsid w:val="00223404"/>
    <w:rsid w:val="002234C4"/>
    <w:rsid w:val="002234E6"/>
    <w:rsid w:val="0022380D"/>
    <w:rsid w:val="0022393C"/>
    <w:rsid w:val="0022455C"/>
    <w:rsid w:val="002246FF"/>
    <w:rsid w:val="00224839"/>
    <w:rsid w:val="002249B2"/>
    <w:rsid w:val="00224DE8"/>
    <w:rsid w:val="002251AC"/>
    <w:rsid w:val="00225F5F"/>
    <w:rsid w:val="00226445"/>
    <w:rsid w:val="00226574"/>
    <w:rsid w:val="002267E5"/>
    <w:rsid w:val="00226BA6"/>
    <w:rsid w:val="00227091"/>
    <w:rsid w:val="0022716A"/>
    <w:rsid w:val="002275CD"/>
    <w:rsid w:val="002278EC"/>
    <w:rsid w:val="00227B48"/>
    <w:rsid w:val="00227BD3"/>
    <w:rsid w:val="00227D2A"/>
    <w:rsid w:val="00227FD4"/>
    <w:rsid w:val="0023028A"/>
    <w:rsid w:val="002309E1"/>
    <w:rsid w:val="00230ABC"/>
    <w:rsid w:val="002311A8"/>
    <w:rsid w:val="0023127C"/>
    <w:rsid w:val="00231650"/>
    <w:rsid w:val="00231C42"/>
    <w:rsid w:val="00231C44"/>
    <w:rsid w:val="00232277"/>
    <w:rsid w:val="0023280E"/>
    <w:rsid w:val="002329E3"/>
    <w:rsid w:val="00232BD1"/>
    <w:rsid w:val="00233111"/>
    <w:rsid w:val="00233F76"/>
    <w:rsid w:val="00233FD1"/>
    <w:rsid w:val="0023477D"/>
    <w:rsid w:val="00234A7F"/>
    <w:rsid w:val="00234CAE"/>
    <w:rsid w:val="00235506"/>
    <w:rsid w:val="00235C05"/>
    <w:rsid w:val="00235FA6"/>
    <w:rsid w:val="0023648E"/>
    <w:rsid w:val="00236576"/>
    <w:rsid w:val="00236690"/>
    <w:rsid w:val="0023687E"/>
    <w:rsid w:val="00236B68"/>
    <w:rsid w:val="00236D6A"/>
    <w:rsid w:val="00236D8E"/>
    <w:rsid w:val="002377D1"/>
    <w:rsid w:val="00237B23"/>
    <w:rsid w:val="00237CB2"/>
    <w:rsid w:val="00237E6E"/>
    <w:rsid w:val="002407A7"/>
    <w:rsid w:val="00240BE8"/>
    <w:rsid w:val="00240C6B"/>
    <w:rsid w:val="00240E5E"/>
    <w:rsid w:val="00241B8B"/>
    <w:rsid w:val="00241D08"/>
    <w:rsid w:val="00242136"/>
    <w:rsid w:val="002426BC"/>
    <w:rsid w:val="002427FF"/>
    <w:rsid w:val="00242A4F"/>
    <w:rsid w:val="00242B02"/>
    <w:rsid w:val="002432A0"/>
    <w:rsid w:val="002439E2"/>
    <w:rsid w:val="00243BCF"/>
    <w:rsid w:val="00243FC3"/>
    <w:rsid w:val="002442ED"/>
    <w:rsid w:val="002457A1"/>
    <w:rsid w:val="00245F6B"/>
    <w:rsid w:val="00247B7A"/>
    <w:rsid w:val="00247B9B"/>
    <w:rsid w:val="00247CF6"/>
    <w:rsid w:val="00247F19"/>
    <w:rsid w:val="002506BC"/>
    <w:rsid w:val="0025084A"/>
    <w:rsid w:val="00250D30"/>
    <w:rsid w:val="0025101D"/>
    <w:rsid w:val="00251308"/>
    <w:rsid w:val="0025154B"/>
    <w:rsid w:val="00252515"/>
    <w:rsid w:val="00252A78"/>
    <w:rsid w:val="00252C92"/>
    <w:rsid w:val="00253A27"/>
    <w:rsid w:val="00253B47"/>
    <w:rsid w:val="00253BFF"/>
    <w:rsid w:val="00253D28"/>
    <w:rsid w:val="00253D2A"/>
    <w:rsid w:val="00253E99"/>
    <w:rsid w:val="00253EE1"/>
    <w:rsid w:val="0025422C"/>
    <w:rsid w:val="00254345"/>
    <w:rsid w:val="002544A9"/>
    <w:rsid w:val="00254A96"/>
    <w:rsid w:val="00255516"/>
    <w:rsid w:val="00255B73"/>
    <w:rsid w:val="002562CF"/>
    <w:rsid w:val="00256619"/>
    <w:rsid w:val="00256A28"/>
    <w:rsid w:val="00256C64"/>
    <w:rsid w:val="00257979"/>
    <w:rsid w:val="0025797B"/>
    <w:rsid w:val="00257D01"/>
    <w:rsid w:val="00257DB6"/>
    <w:rsid w:val="002601D7"/>
    <w:rsid w:val="00260D22"/>
    <w:rsid w:val="00260F0F"/>
    <w:rsid w:val="00261650"/>
    <w:rsid w:val="00261B77"/>
    <w:rsid w:val="00262361"/>
    <w:rsid w:val="00262475"/>
    <w:rsid w:val="002624D9"/>
    <w:rsid w:val="002625D2"/>
    <w:rsid w:val="00262A78"/>
    <w:rsid w:val="00262BE6"/>
    <w:rsid w:val="00263B68"/>
    <w:rsid w:val="00263B6E"/>
    <w:rsid w:val="002641BE"/>
    <w:rsid w:val="00264477"/>
    <w:rsid w:val="00264557"/>
    <w:rsid w:val="00264940"/>
    <w:rsid w:val="00264E4F"/>
    <w:rsid w:val="00265F07"/>
    <w:rsid w:val="00266539"/>
    <w:rsid w:val="002666A9"/>
    <w:rsid w:val="00266BEF"/>
    <w:rsid w:val="00266F5F"/>
    <w:rsid w:val="00267748"/>
    <w:rsid w:val="00267DFB"/>
    <w:rsid w:val="00267FB1"/>
    <w:rsid w:val="002709CF"/>
    <w:rsid w:val="00270EFA"/>
    <w:rsid w:val="00271128"/>
    <w:rsid w:val="00271459"/>
    <w:rsid w:val="002717E8"/>
    <w:rsid w:val="0027205C"/>
    <w:rsid w:val="002721EF"/>
    <w:rsid w:val="00272A35"/>
    <w:rsid w:val="00272AAE"/>
    <w:rsid w:val="00273192"/>
    <w:rsid w:val="002734F2"/>
    <w:rsid w:val="002742D9"/>
    <w:rsid w:val="00274B97"/>
    <w:rsid w:val="002757E6"/>
    <w:rsid w:val="00275B20"/>
    <w:rsid w:val="00275CC3"/>
    <w:rsid w:val="00275E9C"/>
    <w:rsid w:val="00276518"/>
    <w:rsid w:val="00276548"/>
    <w:rsid w:val="00276D05"/>
    <w:rsid w:val="00276D77"/>
    <w:rsid w:val="002774DF"/>
    <w:rsid w:val="00277ADD"/>
    <w:rsid w:val="00277E49"/>
    <w:rsid w:val="002802B2"/>
    <w:rsid w:val="0028056C"/>
    <w:rsid w:val="002805AB"/>
    <w:rsid w:val="002808E9"/>
    <w:rsid w:val="00280AAC"/>
    <w:rsid w:val="00280D3A"/>
    <w:rsid w:val="00280D6F"/>
    <w:rsid w:val="00281417"/>
    <w:rsid w:val="00281DA8"/>
    <w:rsid w:val="00281E5E"/>
    <w:rsid w:val="00282947"/>
    <w:rsid w:val="00282A26"/>
    <w:rsid w:val="00282DD6"/>
    <w:rsid w:val="002830D6"/>
    <w:rsid w:val="00284204"/>
    <w:rsid w:val="0028448E"/>
    <w:rsid w:val="00284733"/>
    <w:rsid w:val="00284FCA"/>
    <w:rsid w:val="002853CC"/>
    <w:rsid w:val="00285F30"/>
    <w:rsid w:val="00286028"/>
    <w:rsid w:val="00286F67"/>
    <w:rsid w:val="002873E6"/>
    <w:rsid w:val="002874A3"/>
    <w:rsid w:val="002875C8"/>
    <w:rsid w:val="00287939"/>
    <w:rsid w:val="00287965"/>
    <w:rsid w:val="00287AB2"/>
    <w:rsid w:val="00287F3F"/>
    <w:rsid w:val="00290B78"/>
    <w:rsid w:val="00290C65"/>
    <w:rsid w:val="0029107F"/>
    <w:rsid w:val="00291115"/>
    <w:rsid w:val="00291225"/>
    <w:rsid w:val="00291773"/>
    <w:rsid w:val="002923FD"/>
    <w:rsid w:val="00292549"/>
    <w:rsid w:val="002928A0"/>
    <w:rsid w:val="00292F4A"/>
    <w:rsid w:val="00293090"/>
    <w:rsid w:val="00293B06"/>
    <w:rsid w:val="002940AB"/>
    <w:rsid w:val="0029449F"/>
    <w:rsid w:val="0029563D"/>
    <w:rsid w:val="00295C96"/>
    <w:rsid w:val="002963C0"/>
    <w:rsid w:val="00296838"/>
    <w:rsid w:val="00296BA4"/>
    <w:rsid w:val="00296BE2"/>
    <w:rsid w:val="00296E2D"/>
    <w:rsid w:val="00297088"/>
    <w:rsid w:val="002970F4"/>
    <w:rsid w:val="00297894"/>
    <w:rsid w:val="00297EE7"/>
    <w:rsid w:val="002A077D"/>
    <w:rsid w:val="002A0838"/>
    <w:rsid w:val="002A0CD7"/>
    <w:rsid w:val="002A1127"/>
    <w:rsid w:val="002A14D3"/>
    <w:rsid w:val="002A168C"/>
    <w:rsid w:val="002A179D"/>
    <w:rsid w:val="002A19B7"/>
    <w:rsid w:val="002A1EFB"/>
    <w:rsid w:val="002A265A"/>
    <w:rsid w:val="002A36D2"/>
    <w:rsid w:val="002A3914"/>
    <w:rsid w:val="002A3D83"/>
    <w:rsid w:val="002A3DC7"/>
    <w:rsid w:val="002A412F"/>
    <w:rsid w:val="002A41E5"/>
    <w:rsid w:val="002A42F9"/>
    <w:rsid w:val="002A445D"/>
    <w:rsid w:val="002A4514"/>
    <w:rsid w:val="002A5E9B"/>
    <w:rsid w:val="002A632E"/>
    <w:rsid w:val="002A6541"/>
    <w:rsid w:val="002A6609"/>
    <w:rsid w:val="002A6A65"/>
    <w:rsid w:val="002A6F0A"/>
    <w:rsid w:val="002A7EEF"/>
    <w:rsid w:val="002B0B08"/>
    <w:rsid w:val="002B0F8B"/>
    <w:rsid w:val="002B1138"/>
    <w:rsid w:val="002B1BF8"/>
    <w:rsid w:val="002B279E"/>
    <w:rsid w:val="002B2CC2"/>
    <w:rsid w:val="002B2F81"/>
    <w:rsid w:val="002B3013"/>
    <w:rsid w:val="002B3BEE"/>
    <w:rsid w:val="002B3C04"/>
    <w:rsid w:val="002B3F01"/>
    <w:rsid w:val="002B440D"/>
    <w:rsid w:val="002B4840"/>
    <w:rsid w:val="002B49E2"/>
    <w:rsid w:val="002B4E4E"/>
    <w:rsid w:val="002B56DB"/>
    <w:rsid w:val="002B62D5"/>
    <w:rsid w:val="002B644C"/>
    <w:rsid w:val="002B6F3F"/>
    <w:rsid w:val="002B7054"/>
    <w:rsid w:val="002B74DA"/>
    <w:rsid w:val="002B7B00"/>
    <w:rsid w:val="002B7B8D"/>
    <w:rsid w:val="002B7C44"/>
    <w:rsid w:val="002B7DF7"/>
    <w:rsid w:val="002C0485"/>
    <w:rsid w:val="002C0CAC"/>
    <w:rsid w:val="002C0DAF"/>
    <w:rsid w:val="002C0E7A"/>
    <w:rsid w:val="002C0EB8"/>
    <w:rsid w:val="002C1303"/>
    <w:rsid w:val="002C1587"/>
    <w:rsid w:val="002C16DA"/>
    <w:rsid w:val="002C180F"/>
    <w:rsid w:val="002C1AE8"/>
    <w:rsid w:val="002C1C46"/>
    <w:rsid w:val="002C1F7F"/>
    <w:rsid w:val="002C207E"/>
    <w:rsid w:val="002C2347"/>
    <w:rsid w:val="002C2B17"/>
    <w:rsid w:val="002C32A6"/>
    <w:rsid w:val="002C37CC"/>
    <w:rsid w:val="002C3971"/>
    <w:rsid w:val="002C415B"/>
    <w:rsid w:val="002C42B1"/>
    <w:rsid w:val="002C4425"/>
    <w:rsid w:val="002C4573"/>
    <w:rsid w:val="002C482A"/>
    <w:rsid w:val="002C49AB"/>
    <w:rsid w:val="002C5347"/>
    <w:rsid w:val="002C5971"/>
    <w:rsid w:val="002C6435"/>
    <w:rsid w:val="002C6B38"/>
    <w:rsid w:val="002C6B68"/>
    <w:rsid w:val="002C712E"/>
    <w:rsid w:val="002C7244"/>
    <w:rsid w:val="002D0764"/>
    <w:rsid w:val="002D1700"/>
    <w:rsid w:val="002D177A"/>
    <w:rsid w:val="002D1BF3"/>
    <w:rsid w:val="002D1C07"/>
    <w:rsid w:val="002D1CD1"/>
    <w:rsid w:val="002D2511"/>
    <w:rsid w:val="002D2960"/>
    <w:rsid w:val="002D2A91"/>
    <w:rsid w:val="002D2EC0"/>
    <w:rsid w:val="002D2FF7"/>
    <w:rsid w:val="002D32DC"/>
    <w:rsid w:val="002D384B"/>
    <w:rsid w:val="002D3DD0"/>
    <w:rsid w:val="002D4193"/>
    <w:rsid w:val="002D4ACA"/>
    <w:rsid w:val="002D4AFC"/>
    <w:rsid w:val="002D5398"/>
    <w:rsid w:val="002D5E85"/>
    <w:rsid w:val="002D5F22"/>
    <w:rsid w:val="002D605B"/>
    <w:rsid w:val="002D6124"/>
    <w:rsid w:val="002D6204"/>
    <w:rsid w:val="002D6484"/>
    <w:rsid w:val="002D66C3"/>
    <w:rsid w:val="002D6DE4"/>
    <w:rsid w:val="002D7718"/>
    <w:rsid w:val="002D7851"/>
    <w:rsid w:val="002D7FC5"/>
    <w:rsid w:val="002E0296"/>
    <w:rsid w:val="002E0467"/>
    <w:rsid w:val="002E0DA0"/>
    <w:rsid w:val="002E107F"/>
    <w:rsid w:val="002E1270"/>
    <w:rsid w:val="002E14C2"/>
    <w:rsid w:val="002E16A4"/>
    <w:rsid w:val="002E1CF8"/>
    <w:rsid w:val="002E1E8C"/>
    <w:rsid w:val="002E1F3A"/>
    <w:rsid w:val="002E298A"/>
    <w:rsid w:val="002E2CB7"/>
    <w:rsid w:val="002E3071"/>
    <w:rsid w:val="002E35E4"/>
    <w:rsid w:val="002E3B08"/>
    <w:rsid w:val="002E408E"/>
    <w:rsid w:val="002E4A48"/>
    <w:rsid w:val="002E4CD3"/>
    <w:rsid w:val="002E4FCF"/>
    <w:rsid w:val="002E4FF5"/>
    <w:rsid w:val="002E5BC0"/>
    <w:rsid w:val="002E5F27"/>
    <w:rsid w:val="002E66F5"/>
    <w:rsid w:val="002E75C4"/>
    <w:rsid w:val="002E79DA"/>
    <w:rsid w:val="002E7D2C"/>
    <w:rsid w:val="002E7E29"/>
    <w:rsid w:val="002F0F4A"/>
    <w:rsid w:val="002F15F2"/>
    <w:rsid w:val="002F18DA"/>
    <w:rsid w:val="002F1F45"/>
    <w:rsid w:val="002F2159"/>
    <w:rsid w:val="002F2EB6"/>
    <w:rsid w:val="002F3680"/>
    <w:rsid w:val="002F3D3A"/>
    <w:rsid w:val="002F4124"/>
    <w:rsid w:val="002F4644"/>
    <w:rsid w:val="002F4776"/>
    <w:rsid w:val="002F4BCC"/>
    <w:rsid w:val="002F4E63"/>
    <w:rsid w:val="002F5502"/>
    <w:rsid w:val="002F583F"/>
    <w:rsid w:val="002F61D3"/>
    <w:rsid w:val="002F658C"/>
    <w:rsid w:val="002F73AB"/>
    <w:rsid w:val="00300207"/>
    <w:rsid w:val="00300888"/>
    <w:rsid w:val="00300C2A"/>
    <w:rsid w:val="00300D23"/>
    <w:rsid w:val="00300F08"/>
    <w:rsid w:val="00301978"/>
    <w:rsid w:val="00301FC7"/>
    <w:rsid w:val="00302137"/>
    <w:rsid w:val="0030271C"/>
    <w:rsid w:val="00302AEA"/>
    <w:rsid w:val="00302F00"/>
    <w:rsid w:val="003030F9"/>
    <w:rsid w:val="0030332C"/>
    <w:rsid w:val="0030367A"/>
    <w:rsid w:val="00303702"/>
    <w:rsid w:val="00303A05"/>
    <w:rsid w:val="00303DA6"/>
    <w:rsid w:val="003051C2"/>
    <w:rsid w:val="0030522E"/>
    <w:rsid w:val="00305833"/>
    <w:rsid w:val="00305ADD"/>
    <w:rsid w:val="00306156"/>
    <w:rsid w:val="003062AF"/>
    <w:rsid w:val="00306EDA"/>
    <w:rsid w:val="00306F4A"/>
    <w:rsid w:val="00306F7D"/>
    <w:rsid w:val="003075A5"/>
    <w:rsid w:val="003078B5"/>
    <w:rsid w:val="003078DF"/>
    <w:rsid w:val="00307910"/>
    <w:rsid w:val="00307AB6"/>
    <w:rsid w:val="00307C7A"/>
    <w:rsid w:val="00307FD2"/>
    <w:rsid w:val="00307FF1"/>
    <w:rsid w:val="003100C9"/>
    <w:rsid w:val="00310937"/>
    <w:rsid w:val="00310ECD"/>
    <w:rsid w:val="00310F9A"/>
    <w:rsid w:val="0031186B"/>
    <w:rsid w:val="00311BE7"/>
    <w:rsid w:val="00312296"/>
    <w:rsid w:val="00312A11"/>
    <w:rsid w:val="00312F8B"/>
    <w:rsid w:val="00313B4F"/>
    <w:rsid w:val="00313D5B"/>
    <w:rsid w:val="00314437"/>
    <w:rsid w:val="003146CA"/>
    <w:rsid w:val="00314BE9"/>
    <w:rsid w:val="00314F0E"/>
    <w:rsid w:val="003155F5"/>
    <w:rsid w:val="00315990"/>
    <w:rsid w:val="00315C2C"/>
    <w:rsid w:val="003161B8"/>
    <w:rsid w:val="00316A88"/>
    <w:rsid w:val="00316F1C"/>
    <w:rsid w:val="00316FA8"/>
    <w:rsid w:val="003170A9"/>
    <w:rsid w:val="003173A1"/>
    <w:rsid w:val="003175DE"/>
    <w:rsid w:val="00317875"/>
    <w:rsid w:val="00317992"/>
    <w:rsid w:val="00317C79"/>
    <w:rsid w:val="003209CE"/>
    <w:rsid w:val="00321842"/>
    <w:rsid w:val="00321D8E"/>
    <w:rsid w:val="0032242F"/>
    <w:rsid w:val="003224F2"/>
    <w:rsid w:val="00322B2D"/>
    <w:rsid w:val="003232B3"/>
    <w:rsid w:val="003236B8"/>
    <w:rsid w:val="00323BA4"/>
    <w:rsid w:val="00324307"/>
    <w:rsid w:val="00324967"/>
    <w:rsid w:val="00324EAE"/>
    <w:rsid w:val="00325447"/>
    <w:rsid w:val="00325928"/>
    <w:rsid w:val="00325936"/>
    <w:rsid w:val="0032621C"/>
    <w:rsid w:val="003265B8"/>
    <w:rsid w:val="0032732E"/>
    <w:rsid w:val="00327AFE"/>
    <w:rsid w:val="00327E9B"/>
    <w:rsid w:val="00330645"/>
    <w:rsid w:val="00330D08"/>
    <w:rsid w:val="00331480"/>
    <w:rsid w:val="00331742"/>
    <w:rsid w:val="00331C23"/>
    <w:rsid w:val="00331D46"/>
    <w:rsid w:val="00332863"/>
    <w:rsid w:val="003328D4"/>
    <w:rsid w:val="00332CAD"/>
    <w:rsid w:val="00332D75"/>
    <w:rsid w:val="003331CB"/>
    <w:rsid w:val="003332D0"/>
    <w:rsid w:val="003340AC"/>
    <w:rsid w:val="00334539"/>
    <w:rsid w:val="00334907"/>
    <w:rsid w:val="00334C26"/>
    <w:rsid w:val="0033521E"/>
    <w:rsid w:val="003357E7"/>
    <w:rsid w:val="003362A6"/>
    <w:rsid w:val="00336489"/>
    <w:rsid w:val="0033659F"/>
    <w:rsid w:val="0033684D"/>
    <w:rsid w:val="00336DF3"/>
    <w:rsid w:val="00337B42"/>
    <w:rsid w:val="003407F0"/>
    <w:rsid w:val="00340BE1"/>
    <w:rsid w:val="003414A3"/>
    <w:rsid w:val="0034167F"/>
    <w:rsid w:val="003416EE"/>
    <w:rsid w:val="00341B07"/>
    <w:rsid w:val="00341B42"/>
    <w:rsid w:val="00342B89"/>
    <w:rsid w:val="00342DFA"/>
    <w:rsid w:val="00342FEF"/>
    <w:rsid w:val="0034304C"/>
    <w:rsid w:val="0034348F"/>
    <w:rsid w:val="00343530"/>
    <w:rsid w:val="00343532"/>
    <w:rsid w:val="00343A4A"/>
    <w:rsid w:val="00343AE3"/>
    <w:rsid w:val="00343B57"/>
    <w:rsid w:val="00343C8A"/>
    <w:rsid w:val="00344289"/>
    <w:rsid w:val="00344495"/>
    <w:rsid w:val="00345014"/>
    <w:rsid w:val="00345342"/>
    <w:rsid w:val="00345E0B"/>
    <w:rsid w:val="003461F9"/>
    <w:rsid w:val="00347733"/>
    <w:rsid w:val="00347CFD"/>
    <w:rsid w:val="0035053A"/>
    <w:rsid w:val="0035056D"/>
    <w:rsid w:val="003517A9"/>
    <w:rsid w:val="00351AEC"/>
    <w:rsid w:val="00351C60"/>
    <w:rsid w:val="00352EC0"/>
    <w:rsid w:val="0035333E"/>
    <w:rsid w:val="00353536"/>
    <w:rsid w:val="003539E6"/>
    <w:rsid w:val="00353DF3"/>
    <w:rsid w:val="00353F48"/>
    <w:rsid w:val="003542A5"/>
    <w:rsid w:val="00354D35"/>
    <w:rsid w:val="003553FF"/>
    <w:rsid w:val="00355845"/>
    <w:rsid w:val="00355A7C"/>
    <w:rsid w:val="00355D02"/>
    <w:rsid w:val="00355E2D"/>
    <w:rsid w:val="00355F78"/>
    <w:rsid w:val="00356653"/>
    <w:rsid w:val="003566A4"/>
    <w:rsid w:val="003567FD"/>
    <w:rsid w:val="00356863"/>
    <w:rsid w:val="0035722E"/>
    <w:rsid w:val="00357397"/>
    <w:rsid w:val="003573C0"/>
    <w:rsid w:val="0035743F"/>
    <w:rsid w:val="003575AC"/>
    <w:rsid w:val="00357804"/>
    <w:rsid w:val="0035788D"/>
    <w:rsid w:val="0035794F"/>
    <w:rsid w:val="00357A87"/>
    <w:rsid w:val="00357B6B"/>
    <w:rsid w:val="00357BE2"/>
    <w:rsid w:val="0036018F"/>
    <w:rsid w:val="00360600"/>
    <w:rsid w:val="00360614"/>
    <w:rsid w:val="003606F4"/>
    <w:rsid w:val="0036170C"/>
    <w:rsid w:val="0036170E"/>
    <w:rsid w:val="00361F2D"/>
    <w:rsid w:val="003621A9"/>
    <w:rsid w:val="00362F3C"/>
    <w:rsid w:val="003632DF"/>
    <w:rsid w:val="0036386E"/>
    <w:rsid w:val="003639B4"/>
    <w:rsid w:val="00363A3E"/>
    <w:rsid w:val="0036450C"/>
    <w:rsid w:val="003645F4"/>
    <w:rsid w:val="00364AEC"/>
    <w:rsid w:val="00364F37"/>
    <w:rsid w:val="00365883"/>
    <w:rsid w:val="0036597F"/>
    <w:rsid w:val="00365C72"/>
    <w:rsid w:val="00366652"/>
    <w:rsid w:val="003666D2"/>
    <w:rsid w:val="00366984"/>
    <w:rsid w:val="00366E0F"/>
    <w:rsid w:val="00366E6F"/>
    <w:rsid w:val="00367931"/>
    <w:rsid w:val="00370464"/>
    <w:rsid w:val="003707A9"/>
    <w:rsid w:val="0037089B"/>
    <w:rsid w:val="00370DEA"/>
    <w:rsid w:val="00370E63"/>
    <w:rsid w:val="0037129C"/>
    <w:rsid w:val="00371849"/>
    <w:rsid w:val="00371A49"/>
    <w:rsid w:val="00372BE7"/>
    <w:rsid w:val="0037304D"/>
    <w:rsid w:val="003737F3"/>
    <w:rsid w:val="003741B4"/>
    <w:rsid w:val="00374482"/>
    <w:rsid w:val="00374BF7"/>
    <w:rsid w:val="00374D58"/>
    <w:rsid w:val="0037558D"/>
    <w:rsid w:val="003761DE"/>
    <w:rsid w:val="0037658E"/>
    <w:rsid w:val="003765FB"/>
    <w:rsid w:val="003766F1"/>
    <w:rsid w:val="00376FD7"/>
    <w:rsid w:val="003771D1"/>
    <w:rsid w:val="00377533"/>
    <w:rsid w:val="00377731"/>
    <w:rsid w:val="00377B89"/>
    <w:rsid w:val="003802E1"/>
    <w:rsid w:val="0038046D"/>
    <w:rsid w:val="00380B9F"/>
    <w:rsid w:val="00380C4A"/>
    <w:rsid w:val="003818CD"/>
    <w:rsid w:val="003819BB"/>
    <w:rsid w:val="00381A72"/>
    <w:rsid w:val="00381BAB"/>
    <w:rsid w:val="00381DD5"/>
    <w:rsid w:val="0038227A"/>
    <w:rsid w:val="0038343F"/>
    <w:rsid w:val="00383CFB"/>
    <w:rsid w:val="00384332"/>
    <w:rsid w:val="003843C5"/>
    <w:rsid w:val="0038461C"/>
    <w:rsid w:val="00384676"/>
    <w:rsid w:val="00384994"/>
    <w:rsid w:val="003850F1"/>
    <w:rsid w:val="003854FD"/>
    <w:rsid w:val="00385E86"/>
    <w:rsid w:val="0038657D"/>
    <w:rsid w:val="00386585"/>
    <w:rsid w:val="0038695D"/>
    <w:rsid w:val="00386B19"/>
    <w:rsid w:val="00387318"/>
    <w:rsid w:val="0038735D"/>
    <w:rsid w:val="003876B0"/>
    <w:rsid w:val="00387843"/>
    <w:rsid w:val="00387888"/>
    <w:rsid w:val="00387897"/>
    <w:rsid w:val="00387B67"/>
    <w:rsid w:val="003907F3"/>
    <w:rsid w:val="00390857"/>
    <w:rsid w:val="00391896"/>
    <w:rsid w:val="00392138"/>
    <w:rsid w:val="003922F1"/>
    <w:rsid w:val="003927FD"/>
    <w:rsid w:val="0039340D"/>
    <w:rsid w:val="003937F4"/>
    <w:rsid w:val="00393B8B"/>
    <w:rsid w:val="0039433D"/>
    <w:rsid w:val="0039451E"/>
    <w:rsid w:val="00394E30"/>
    <w:rsid w:val="00394ECE"/>
    <w:rsid w:val="003955D4"/>
    <w:rsid w:val="00395771"/>
    <w:rsid w:val="00395E36"/>
    <w:rsid w:val="00395E68"/>
    <w:rsid w:val="00395E88"/>
    <w:rsid w:val="003970D1"/>
    <w:rsid w:val="003973A0"/>
    <w:rsid w:val="00397572"/>
    <w:rsid w:val="003976BA"/>
    <w:rsid w:val="00397787"/>
    <w:rsid w:val="00397C91"/>
    <w:rsid w:val="003A04E1"/>
    <w:rsid w:val="003A1256"/>
    <w:rsid w:val="003A1BCA"/>
    <w:rsid w:val="003A2054"/>
    <w:rsid w:val="003A2209"/>
    <w:rsid w:val="003A28DE"/>
    <w:rsid w:val="003A2922"/>
    <w:rsid w:val="003A2FDB"/>
    <w:rsid w:val="003A3673"/>
    <w:rsid w:val="003A48AA"/>
    <w:rsid w:val="003A4BF3"/>
    <w:rsid w:val="003A4DDE"/>
    <w:rsid w:val="003A665D"/>
    <w:rsid w:val="003A6BEF"/>
    <w:rsid w:val="003A705D"/>
    <w:rsid w:val="003A7102"/>
    <w:rsid w:val="003A742C"/>
    <w:rsid w:val="003A76AE"/>
    <w:rsid w:val="003A7D33"/>
    <w:rsid w:val="003B08BE"/>
    <w:rsid w:val="003B2BEE"/>
    <w:rsid w:val="003B3534"/>
    <w:rsid w:val="003B3584"/>
    <w:rsid w:val="003B3841"/>
    <w:rsid w:val="003B3975"/>
    <w:rsid w:val="003B3AD9"/>
    <w:rsid w:val="003B3DDB"/>
    <w:rsid w:val="003B420D"/>
    <w:rsid w:val="003B46C4"/>
    <w:rsid w:val="003B4844"/>
    <w:rsid w:val="003B5457"/>
    <w:rsid w:val="003B5928"/>
    <w:rsid w:val="003B6B84"/>
    <w:rsid w:val="003B723E"/>
    <w:rsid w:val="003B76D4"/>
    <w:rsid w:val="003B7895"/>
    <w:rsid w:val="003C0200"/>
    <w:rsid w:val="003C09F1"/>
    <w:rsid w:val="003C0A15"/>
    <w:rsid w:val="003C0A3E"/>
    <w:rsid w:val="003C10D3"/>
    <w:rsid w:val="003C1298"/>
    <w:rsid w:val="003C1475"/>
    <w:rsid w:val="003C1A82"/>
    <w:rsid w:val="003C1D4D"/>
    <w:rsid w:val="003C2059"/>
    <w:rsid w:val="003C27B4"/>
    <w:rsid w:val="003C27CC"/>
    <w:rsid w:val="003C3168"/>
    <w:rsid w:val="003C357C"/>
    <w:rsid w:val="003C3A37"/>
    <w:rsid w:val="003C3AC5"/>
    <w:rsid w:val="003C453D"/>
    <w:rsid w:val="003C4C97"/>
    <w:rsid w:val="003C5537"/>
    <w:rsid w:val="003C622B"/>
    <w:rsid w:val="003C64BC"/>
    <w:rsid w:val="003C6A18"/>
    <w:rsid w:val="003C6B58"/>
    <w:rsid w:val="003C6BB6"/>
    <w:rsid w:val="003C6C16"/>
    <w:rsid w:val="003C6F93"/>
    <w:rsid w:val="003C706C"/>
    <w:rsid w:val="003C74CD"/>
    <w:rsid w:val="003C7751"/>
    <w:rsid w:val="003C79EB"/>
    <w:rsid w:val="003D0937"/>
    <w:rsid w:val="003D1678"/>
    <w:rsid w:val="003D1CA3"/>
    <w:rsid w:val="003D25C4"/>
    <w:rsid w:val="003D2754"/>
    <w:rsid w:val="003D27BE"/>
    <w:rsid w:val="003D2830"/>
    <w:rsid w:val="003D28C8"/>
    <w:rsid w:val="003D2DD5"/>
    <w:rsid w:val="003D30D0"/>
    <w:rsid w:val="003D3136"/>
    <w:rsid w:val="003D38D0"/>
    <w:rsid w:val="003D3B62"/>
    <w:rsid w:val="003D46B1"/>
    <w:rsid w:val="003D49BF"/>
    <w:rsid w:val="003D5A10"/>
    <w:rsid w:val="003D5C51"/>
    <w:rsid w:val="003D63DB"/>
    <w:rsid w:val="003D6C0E"/>
    <w:rsid w:val="003D73E0"/>
    <w:rsid w:val="003D73ED"/>
    <w:rsid w:val="003D7460"/>
    <w:rsid w:val="003D761A"/>
    <w:rsid w:val="003D78DE"/>
    <w:rsid w:val="003D794D"/>
    <w:rsid w:val="003D7B8E"/>
    <w:rsid w:val="003D7CBB"/>
    <w:rsid w:val="003E0450"/>
    <w:rsid w:val="003E06F8"/>
    <w:rsid w:val="003E0B64"/>
    <w:rsid w:val="003E15D9"/>
    <w:rsid w:val="003E1C68"/>
    <w:rsid w:val="003E1CFC"/>
    <w:rsid w:val="003E24B3"/>
    <w:rsid w:val="003E2836"/>
    <w:rsid w:val="003E283C"/>
    <w:rsid w:val="003E3058"/>
    <w:rsid w:val="003E430A"/>
    <w:rsid w:val="003E6323"/>
    <w:rsid w:val="003E65AB"/>
    <w:rsid w:val="003E68F7"/>
    <w:rsid w:val="003E71CD"/>
    <w:rsid w:val="003E73BF"/>
    <w:rsid w:val="003E76A9"/>
    <w:rsid w:val="003E793F"/>
    <w:rsid w:val="003E7CA0"/>
    <w:rsid w:val="003E7CA8"/>
    <w:rsid w:val="003F001C"/>
    <w:rsid w:val="003F00EE"/>
    <w:rsid w:val="003F010B"/>
    <w:rsid w:val="003F013A"/>
    <w:rsid w:val="003F0532"/>
    <w:rsid w:val="003F0809"/>
    <w:rsid w:val="003F086F"/>
    <w:rsid w:val="003F0CB6"/>
    <w:rsid w:val="003F0D5C"/>
    <w:rsid w:val="003F122C"/>
    <w:rsid w:val="003F19A5"/>
    <w:rsid w:val="003F23AC"/>
    <w:rsid w:val="003F28AD"/>
    <w:rsid w:val="003F29C2"/>
    <w:rsid w:val="003F2E6A"/>
    <w:rsid w:val="003F377D"/>
    <w:rsid w:val="003F3A3E"/>
    <w:rsid w:val="003F40A2"/>
    <w:rsid w:val="003F4567"/>
    <w:rsid w:val="003F4B35"/>
    <w:rsid w:val="003F54B8"/>
    <w:rsid w:val="003F5790"/>
    <w:rsid w:val="003F5A66"/>
    <w:rsid w:val="003F5E6B"/>
    <w:rsid w:val="003F6A8C"/>
    <w:rsid w:val="003F6B0A"/>
    <w:rsid w:val="003F7021"/>
    <w:rsid w:val="003F7537"/>
    <w:rsid w:val="003F755C"/>
    <w:rsid w:val="003F7CC2"/>
    <w:rsid w:val="00400894"/>
    <w:rsid w:val="0040119A"/>
    <w:rsid w:val="00401859"/>
    <w:rsid w:val="004018C0"/>
    <w:rsid w:val="00401A60"/>
    <w:rsid w:val="00402196"/>
    <w:rsid w:val="00402A5F"/>
    <w:rsid w:val="00402AE9"/>
    <w:rsid w:val="00402D39"/>
    <w:rsid w:val="00402F1F"/>
    <w:rsid w:val="004035E3"/>
    <w:rsid w:val="00403778"/>
    <w:rsid w:val="00403872"/>
    <w:rsid w:val="00403F45"/>
    <w:rsid w:val="004049F0"/>
    <w:rsid w:val="00404A86"/>
    <w:rsid w:val="00404CFE"/>
    <w:rsid w:val="0040545A"/>
    <w:rsid w:val="004056DB"/>
    <w:rsid w:val="004058A3"/>
    <w:rsid w:val="00405A79"/>
    <w:rsid w:val="00405ADA"/>
    <w:rsid w:val="00405BED"/>
    <w:rsid w:val="00405F84"/>
    <w:rsid w:val="004066EE"/>
    <w:rsid w:val="0040690C"/>
    <w:rsid w:val="00406A1F"/>
    <w:rsid w:val="00406F01"/>
    <w:rsid w:val="004073CA"/>
    <w:rsid w:val="00410379"/>
    <w:rsid w:val="004104E6"/>
    <w:rsid w:val="00411297"/>
    <w:rsid w:val="004117E0"/>
    <w:rsid w:val="00411AD7"/>
    <w:rsid w:val="004122F9"/>
    <w:rsid w:val="00412998"/>
    <w:rsid w:val="00412A6F"/>
    <w:rsid w:val="00412D48"/>
    <w:rsid w:val="00412F9E"/>
    <w:rsid w:val="0041384D"/>
    <w:rsid w:val="004140A2"/>
    <w:rsid w:val="004144D6"/>
    <w:rsid w:val="004145E7"/>
    <w:rsid w:val="0041481C"/>
    <w:rsid w:val="00414DB2"/>
    <w:rsid w:val="00414DE0"/>
    <w:rsid w:val="00415203"/>
    <w:rsid w:val="00415933"/>
    <w:rsid w:val="00415DB1"/>
    <w:rsid w:val="00415F02"/>
    <w:rsid w:val="00415FA5"/>
    <w:rsid w:val="00416021"/>
    <w:rsid w:val="004167C5"/>
    <w:rsid w:val="004169AA"/>
    <w:rsid w:val="00416D50"/>
    <w:rsid w:val="00416FD5"/>
    <w:rsid w:val="0041707B"/>
    <w:rsid w:val="00417683"/>
    <w:rsid w:val="00417772"/>
    <w:rsid w:val="0041791D"/>
    <w:rsid w:val="00417BBF"/>
    <w:rsid w:val="00420BE6"/>
    <w:rsid w:val="00420D64"/>
    <w:rsid w:val="00420E6A"/>
    <w:rsid w:val="00421075"/>
    <w:rsid w:val="004211A3"/>
    <w:rsid w:val="004219D5"/>
    <w:rsid w:val="004222A6"/>
    <w:rsid w:val="00422D3F"/>
    <w:rsid w:val="00422F51"/>
    <w:rsid w:val="00423020"/>
    <w:rsid w:val="00423273"/>
    <w:rsid w:val="00423568"/>
    <w:rsid w:val="00423CDB"/>
    <w:rsid w:val="004240BA"/>
    <w:rsid w:val="00424110"/>
    <w:rsid w:val="0042415D"/>
    <w:rsid w:val="0042438F"/>
    <w:rsid w:val="00424AFA"/>
    <w:rsid w:val="00424EEE"/>
    <w:rsid w:val="00425A9E"/>
    <w:rsid w:val="00425C2A"/>
    <w:rsid w:val="00426046"/>
    <w:rsid w:val="00426D6B"/>
    <w:rsid w:val="00427DFB"/>
    <w:rsid w:val="00427F58"/>
    <w:rsid w:val="004308E0"/>
    <w:rsid w:val="004309F3"/>
    <w:rsid w:val="00430A4E"/>
    <w:rsid w:val="00431179"/>
    <w:rsid w:val="00431763"/>
    <w:rsid w:val="004317F6"/>
    <w:rsid w:val="0043198A"/>
    <w:rsid w:val="00431C7C"/>
    <w:rsid w:val="00431E48"/>
    <w:rsid w:val="00431E6C"/>
    <w:rsid w:val="00432182"/>
    <w:rsid w:val="0043225C"/>
    <w:rsid w:val="0043236B"/>
    <w:rsid w:val="00432E54"/>
    <w:rsid w:val="00433959"/>
    <w:rsid w:val="00433CE7"/>
    <w:rsid w:val="00433D55"/>
    <w:rsid w:val="004341B3"/>
    <w:rsid w:val="00434344"/>
    <w:rsid w:val="004344AB"/>
    <w:rsid w:val="00434D5F"/>
    <w:rsid w:val="004354D7"/>
    <w:rsid w:val="00435566"/>
    <w:rsid w:val="004355AF"/>
    <w:rsid w:val="004356E5"/>
    <w:rsid w:val="00435732"/>
    <w:rsid w:val="00435C3A"/>
    <w:rsid w:val="00435DD1"/>
    <w:rsid w:val="0043622B"/>
    <w:rsid w:val="004367D4"/>
    <w:rsid w:val="00437166"/>
    <w:rsid w:val="004374EE"/>
    <w:rsid w:val="004376AA"/>
    <w:rsid w:val="00437755"/>
    <w:rsid w:val="004377CF"/>
    <w:rsid w:val="00437A3E"/>
    <w:rsid w:val="00440359"/>
    <w:rsid w:val="00440498"/>
    <w:rsid w:val="00440C56"/>
    <w:rsid w:val="00442382"/>
    <w:rsid w:val="00442BDE"/>
    <w:rsid w:val="004431F5"/>
    <w:rsid w:val="00443555"/>
    <w:rsid w:val="00443BC0"/>
    <w:rsid w:val="00443D7F"/>
    <w:rsid w:val="00443DA3"/>
    <w:rsid w:val="00444BE6"/>
    <w:rsid w:val="00445F74"/>
    <w:rsid w:val="00446091"/>
    <w:rsid w:val="004463F7"/>
    <w:rsid w:val="004464BD"/>
    <w:rsid w:val="004468BE"/>
    <w:rsid w:val="00447C94"/>
    <w:rsid w:val="00447D2A"/>
    <w:rsid w:val="00450425"/>
    <w:rsid w:val="004506DE"/>
    <w:rsid w:val="00451267"/>
    <w:rsid w:val="00451A1A"/>
    <w:rsid w:val="004520E8"/>
    <w:rsid w:val="00452738"/>
    <w:rsid w:val="00452A2B"/>
    <w:rsid w:val="00453337"/>
    <w:rsid w:val="00453B42"/>
    <w:rsid w:val="0045415F"/>
    <w:rsid w:val="00454292"/>
    <w:rsid w:val="004545F0"/>
    <w:rsid w:val="00454767"/>
    <w:rsid w:val="00454B79"/>
    <w:rsid w:val="00455AA7"/>
    <w:rsid w:val="00455C37"/>
    <w:rsid w:val="00456091"/>
    <w:rsid w:val="00456232"/>
    <w:rsid w:val="00456429"/>
    <w:rsid w:val="004570E5"/>
    <w:rsid w:val="004577AB"/>
    <w:rsid w:val="004577F9"/>
    <w:rsid w:val="00457E9C"/>
    <w:rsid w:val="004608CD"/>
    <w:rsid w:val="00460C43"/>
    <w:rsid w:val="00460E36"/>
    <w:rsid w:val="00461018"/>
    <w:rsid w:val="0046111A"/>
    <w:rsid w:val="0046111F"/>
    <w:rsid w:val="00461215"/>
    <w:rsid w:val="00461391"/>
    <w:rsid w:val="004613A6"/>
    <w:rsid w:val="0046188B"/>
    <w:rsid w:val="004621F7"/>
    <w:rsid w:val="00462564"/>
    <w:rsid w:val="00463303"/>
    <w:rsid w:val="004637FC"/>
    <w:rsid w:val="00463919"/>
    <w:rsid w:val="00463C1B"/>
    <w:rsid w:val="00463EC9"/>
    <w:rsid w:val="00463FA5"/>
    <w:rsid w:val="00464530"/>
    <w:rsid w:val="00464B3E"/>
    <w:rsid w:val="00464F55"/>
    <w:rsid w:val="00465A59"/>
    <w:rsid w:val="0046616B"/>
    <w:rsid w:val="00466321"/>
    <w:rsid w:val="00466472"/>
    <w:rsid w:val="00466820"/>
    <w:rsid w:val="00466830"/>
    <w:rsid w:val="00466DB7"/>
    <w:rsid w:val="0046767A"/>
    <w:rsid w:val="00467792"/>
    <w:rsid w:val="00467826"/>
    <w:rsid w:val="00467A67"/>
    <w:rsid w:val="00467DF8"/>
    <w:rsid w:val="0047012E"/>
    <w:rsid w:val="00470147"/>
    <w:rsid w:val="00470556"/>
    <w:rsid w:val="00470ECF"/>
    <w:rsid w:val="004716EE"/>
    <w:rsid w:val="004717BE"/>
    <w:rsid w:val="004719CB"/>
    <w:rsid w:val="00471DB4"/>
    <w:rsid w:val="00472C4D"/>
    <w:rsid w:val="00472C73"/>
    <w:rsid w:val="00472C81"/>
    <w:rsid w:val="00472D56"/>
    <w:rsid w:val="00472E4D"/>
    <w:rsid w:val="00472FAA"/>
    <w:rsid w:val="00473040"/>
    <w:rsid w:val="004730BA"/>
    <w:rsid w:val="00473656"/>
    <w:rsid w:val="00473739"/>
    <w:rsid w:val="004738D4"/>
    <w:rsid w:val="004739A5"/>
    <w:rsid w:val="00473F4D"/>
    <w:rsid w:val="0047431B"/>
    <w:rsid w:val="00474A45"/>
    <w:rsid w:val="004758D1"/>
    <w:rsid w:val="00476109"/>
    <w:rsid w:val="00476432"/>
    <w:rsid w:val="004766BB"/>
    <w:rsid w:val="0047739A"/>
    <w:rsid w:val="004774F6"/>
    <w:rsid w:val="00477849"/>
    <w:rsid w:val="00477E79"/>
    <w:rsid w:val="00477F03"/>
    <w:rsid w:val="0048013F"/>
    <w:rsid w:val="00480161"/>
    <w:rsid w:val="0048064F"/>
    <w:rsid w:val="00480FCD"/>
    <w:rsid w:val="00481001"/>
    <w:rsid w:val="00481BDE"/>
    <w:rsid w:val="00481CAB"/>
    <w:rsid w:val="00481DF9"/>
    <w:rsid w:val="004820D0"/>
    <w:rsid w:val="00482A9A"/>
    <w:rsid w:val="00482CCB"/>
    <w:rsid w:val="00482F34"/>
    <w:rsid w:val="004830BA"/>
    <w:rsid w:val="004837F7"/>
    <w:rsid w:val="0048406A"/>
    <w:rsid w:val="00484A42"/>
    <w:rsid w:val="00484B9B"/>
    <w:rsid w:val="00484C61"/>
    <w:rsid w:val="004851F1"/>
    <w:rsid w:val="0048557E"/>
    <w:rsid w:val="004855F6"/>
    <w:rsid w:val="004857C3"/>
    <w:rsid w:val="0048598D"/>
    <w:rsid w:val="0048661E"/>
    <w:rsid w:val="00486EA1"/>
    <w:rsid w:val="00487045"/>
    <w:rsid w:val="004870E7"/>
    <w:rsid w:val="0048733B"/>
    <w:rsid w:val="004876B5"/>
    <w:rsid w:val="0048777E"/>
    <w:rsid w:val="00487874"/>
    <w:rsid w:val="004900DB"/>
    <w:rsid w:val="00490BDA"/>
    <w:rsid w:val="00490D8B"/>
    <w:rsid w:val="00490EFA"/>
    <w:rsid w:val="004911A5"/>
    <w:rsid w:val="0049135B"/>
    <w:rsid w:val="00491871"/>
    <w:rsid w:val="0049190C"/>
    <w:rsid w:val="00492131"/>
    <w:rsid w:val="0049217C"/>
    <w:rsid w:val="004922E4"/>
    <w:rsid w:val="0049255E"/>
    <w:rsid w:val="004929C1"/>
    <w:rsid w:val="00492A21"/>
    <w:rsid w:val="00492AEC"/>
    <w:rsid w:val="00492C85"/>
    <w:rsid w:val="00492D98"/>
    <w:rsid w:val="00493166"/>
    <w:rsid w:val="004931EB"/>
    <w:rsid w:val="004934C3"/>
    <w:rsid w:val="004935C6"/>
    <w:rsid w:val="004937DD"/>
    <w:rsid w:val="00493841"/>
    <w:rsid w:val="00493901"/>
    <w:rsid w:val="00493CC8"/>
    <w:rsid w:val="00494670"/>
    <w:rsid w:val="004947C8"/>
    <w:rsid w:val="00494AF5"/>
    <w:rsid w:val="00495815"/>
    <w:rsid w:val="0049606F"/>
    <w:rsid w:val="00496085"/>
    <w:rsid w:val="004961E0"/>
    <w:rsid w:val="0049655D"/>
    <w:rsid w:val="004968AC"/>
    <w:rsid w:val="00496D7E"/>
    <w:rsid w:val="004972D9"/>
    <w:rsid w:val="004A03CF"/>
    <w:rsid w:val="004A0EAF"/>
    <w:rsid w:val="004A14F8"/>
    <w:rsid w:val="004A16E7"/>
    <w:rsid w:val="004A1E66"/>
    <w:rsid w:val="004A1F89"/>
    <w:rsid w:val="004A1FB2"/>
    <w:rsid w:val="004A251C"/>
    <w:rsid w:val="004A2897"/>
    <w:rsid w:val="004A2B2B"/>
    <w:rsid w:val="004A2C9C"/>
    <w:rsid w:val="004A2D18"/>
    <w:rsid w:val="004A2D1D"/>
    <w:rsid w:val="004A3505"/>
    <w:rsid w:val="004A36C7"/>
    <w:rsid w:val="004A3823"/>
    <w:rsid w:val="004A3B92"/>
    <w:rsid w:val="004A3C6E"/>
    <w:rsid w:val="004A3F85"/>
    <w:rsid w:val="004A4056"/>
    <w:rsid w:val="004A4058"/>
    <w:rsid w:val="004A42DF"/>
    <w:rsid w:val="004A49E1"/>
    <w:rsid w:val="004A54B1"/>
    <w:rsid w:val="004A5794"/>
    <w:rsid w:val="004A63C7"/>
    <w:rsid w:val="004A6B40"/>
    <w:rsid w:val="004A6D23"/>
    <w:rsid w:val="004A7221"/>
    <w:rsid w:val="004A7ADB"/>
    <w:rsid w:val="004B0284"/>
    <w:rsid w:val="004B106B"/>
    <w:rsid w:val="004B1083"/>
    <w:rsid w:val="004B10BF"/>
    <w:rsid w:val="004B1149"/>
    <w:rsid w:val="004B16C1"/>
    <w:rsid w:val="004B2E11"/>
    <w:rsid w:val="004B2F50"/>
    <w:rsid w:val="004B395B"/>
    <w:rsid w:val="004B3CC8"/>
    <w:rsid w:val="004B3DBD"/>
    <w:rsid w:val="004B4352"/>
    <w:rsid w:val="004B45DE"/>
    <w:rsid w:val="004B520B"/>
    <w:rsid w:val="004B5506"/>
    <w:rsid w:val="004B5A81"/>
    <w:rsid w:val="004B5CCC"/>
    <w:rsid w:val="004B6BA6"/>
    <w:rsid w:val="004B76DD"/>
    <w:rsid w:val="004B7869"/>
    <w:rsid w:val="004B79B7"/>
    <w:rsid w:val="004B7A49"/>
    <w:rsid w:val="004B7CB4"/>
    <w:rsid w:val="004B7EBA"/>
    <w:rsid w:val="004C06BD"/>
    <w:rsid w:val="004C0A78"/>
    <w:rsid w:val="004C1117"/>
    <w:rsid w:val="004C140B"/>
    <w:rsid w:val="004C14D0"/>
    <w:rsid w:val="004C175E"/>
    <w:rsid w:val="004C17FA"/>
    <w:rsid w:val="004C1968"/>
    <w:rsid w:val="004C196B"/>
    <w:rsid w:val="004C20E5"/>
    <w:rsid w:val="004C24B0"/>
    <w:rsid w:val="004C3500"/>
    <w:rsid w:val="004C3991"/>
    <w:rsid w:val="004C433E"/>
    <w:rsid w:val="004C4576"/>
    <w:rsid w:val="004C4927"/>
    <w:rsid w:val="004C512A"/>
    <w:rsid w:val="004C517B"/>
    <w:rsid w:val="004C5E1B"/>
    <w:rsid w:val="004C5F0D"/>
    <w:rsid w:val="004C6074"/>
    <w:rsid w:val="004C644E"/>
    <w:rsid w:val="004C6753"/>
    <w:rsid w:val="004C6907"/>
    <w:rsid w:val="004C6F27"/>
    <w:rsid w:val="004C7005"/>
    <w:rsid w:val="004C7353"/>
    <w:rsid w:val="004D06D1"/>
    <w:rsid w:val="004D1114"/>
    <w:rsid w:val="004D12AA"/>
    <w:rsid w:val="004D1843"/>
    <w:rsid w:val="004D1D2D"/>
    <w:rsid w:val="004D1DF0"/>
    <w:rsid w:val="004D2494"/>
    <w:rsid w:val="004D2CB7"/>
    <w:rsid w:val="004D351E"/>
    <w:rsid w:val="004D4F7A"/>
    <w:rsid w:val="004D503C"/>
    <w:rsid w:val="004D5A5A"/>
    <w:rsid w:val="004D5D2E"/>
    <w:rsid w:val="004D601A"/>
    <w:rsid w:val="004D6521"/>
    <w:rsid w:val="004D6953"/>
    <w:rsid w:val="004D6AEA"/>
    <w:rsid w:val="004D7928"/>
    <w:rsid w:val="004D7B1D"/>
    <w:rsid w:val="004D7F65"/>
    <w:rsid w:val="004E0487"/>
    <w:rsid w:val="004E0516"/>
    <w:rsid w:val="004E10E3"/>
    <w:rsid w:val="004E13B0"/>
    <w:rsid w:val="004E1893"/>
    <w:rsid w:val="004E23D3"/>
    <w:rsid w:val="004E2995"/>
    <w:rsid w:val="004E29B8"/>
    <w:rsid w:val="004E2B99"/>
    <w:rsid w:val="004E2E8B"/>
    <w:rsid w:val="004E2EF7"/>
    <w:rsid w:val="004E2F5F"/>
    <w:rsid w:val="004E31C7"/>
    <w:rsid w:val="004E32FE"/>
    <w:rsid w:val="004E380C"/>
    <w:rsid w:val="004E3C31"/>
    <w:rsid w:val="004E3CB4"/>
    <w:rsid w:val="004E3F67"/>
    <w:rsid w:val="004E44DE"/>
    <w:rsid w:val="004E4996"/>
    <w:rsid w:val="004E4B30"/>
    <w:rsid w:val="004E4BAE"/>
    <w:rsid w:val="004E5239"/>
    <w:rsid w:val="004E5573"/>
    <w:rsid w:val="004E55D8"/>
    <w:rsid w:val="004E6946"/>
    <w:rsid w:val="004E6A65"/>
    <w:rsid w:val="004E6F45"/>
    <w:rsid w:val="004E7067"/>
    <w:rsid w:val="004E75DA"/>
    <w:rsid w:val="004E764E"/>
    <w:rsid w:val="004E77E0"/>
    <w:rsid w:val="004F05A6"/>
    <w:rsid w:val="004F0A72"/>
    <w:rsid w:val="004F0A80"/>
    <w:rsid w:val="004F0D8E"/>
    <w:rsid w:val="004F10BC"/>
    <w:rsid w:val="004F1AD8"/>
    <w:rsid w:val="004F1B46"/>
    <w:rsid w:val="004F24E6"/>
    <w:rsid w:val="004F27F7"/>
    <w:rsid w:val="004F2E32"/>
    <w:rsid w:val="004F33ED"/>
    <w:rsid w:val="004F38B3"/>
    <w:rsid w:val="004F42E1"/>
    <w:rsid w:val="004F4B2C"/>
    <w:rsid w:val="004F564D"/>
    <w:rsid w:val="004F5790"/>
    <w:rsid w:val="004F6B3E"/>
    <w:rsid w:val="004F7283"/>
    <w:rsid w:val="004F7838"/>
    <w:rsid w:val="004F7866"/>
    <w:rsid w:val="004F7D97"/>
    <w:rsid w:val="004F7F1C"/>
    <w:rsid w:val="004F7F2C"/>
    <w:rsid w:val="005003FE"/>
    <w:rsid w:val="00500B41"/>
    <w:rsid w:val="00500E8B"/>
    <w:rsid w:val="005013E6"/>
    <w:rsid w:val="005016FA"/>
    <w:rsid w:val="00501AFE"/>
    <w:rsid w:val="00502713"/>
    <w:rsid w:val="00502907"/>
    <w:rsid w:val="0050347E"/>
    <w:rsid w:val="005036F4"/>
    <w:rsid w:val="005039CB"/>
    <w:rsid w:val="0050407C"/>
    <w:rsid w:val="005041DD"/>
    <w:rsid w:val="00504305"/>
    <w:rsid w:val="00504FE4"/>
    <w:rsid w:val="0050558F"/>
    <w:rsid w:val="00505908"/>
    <w:rsid w:val="00505911"/>
    <w:rsid w:val="00505D35"/>
    <w:rsid w:val="00506286"/>
    <w:rsid w:val="00506375"/>
    <w:rsid w:val="005073D7"/>
    <w:rsid w:val="00507FB9"/>
    <w:rsid w:val="00510199"/>
    <w:rsid w:val="00510813"/>
    <w:rsid w:val="00510C9F"/>
    <w:rsid w:val="0051110C"/>
    <w:rsid w:val="0051190A"/>
    <w:rsid w:val="00511990"/>
    <w:rsid w:val="00511DE0"/>
    <w:rsid w:val="005123C8"/>
    <w:rsid w:val="0051244A"/>
    <w:rsid w:val="00512A6A"/>
    <w:rsid w:val="00512AB5"/>
    <w:rsid w:val="00512BBC"/>
    <w:rsid w:val="00512D1B"/>
    <w:rsid w:val="005138B5"/>
    <w:rsid w:val="005141AD"/>
    <w:rsid w:val="005142B3"/>
    <w:rsid w:val="00514870"/>
    <w:rsid w:val="005148A1"/>
    <w:rsid w:val="00514959"/>
    <w:rsid w:val="00514B9B"/>
    <w:rsid w:val="00514C3A"/>
    <w:rsid w:val="00514E72"/>
    <w:rsid w:val="00514EF9"/>
    <w:rsid w:val="0051523C"/>
    <w:rsid w:val="00515BF0"/>
    <w:rsid w:val="00515C73"/>
    <w:rsid w:val="00516594"/>
    <w:rsid w:val="005168CC"/>
    <w:rsid w:val="005168DF"/>
    <w:rsid w:val="00516B74"/>
    <w:rsid w:val="00516C31"/>
    <w:rsid w:val="00517B41"/>
    <w:rsid w:val="00517F02"/>
    <w:rsid w:val="00520C23"/>
    <w:rsid w:val="00520FD0"/>
    <w:rsid w:val="0052132A"/>
    <w:rsid w:val="005213DC"/>
    <w:rsid w:val="005213E4"/>
    <w:rsid w:val="0052154E"/>
    <w:rsid w:val="005215D3"/>
    <w:rsid w:val="00521B03"/>
    <w:rsid w:val="00521CFE"/>
    <w:rsid w:val="005224C8"/>
    <w:rsid w:val="005230C9"/>
    <w:rsid w:val="005233E2"/>
    <w:rsid w:val="0052341B"/>
    <w:rsid w:val="00523AF0"/>
    <w:rsid w:val="00523B91"/>
    <w:rsid w:val="00524303"/>
    <w:rsid w:val="00524A5C"/>
    <w:rsid w:val="005254D5"/>
    <w:rsid w:val="00525735"/>
    <w:rsid w:val="005258A2"/>
    <w:rsid w:val="00525BB7"/>
    <w:rsid w:val="0052641A"/>
    <w:rsid w:val="00526F8D"/>
    <w:rsid w:val="005274FF"/>
    <w:rsid w:val="00527618"/>
    <w:rsid w:val="00527778"/>
    <w:rsid w:val="00530E6C"/>
    <w:rsid w:val="00532077"/>
    <w:rsid w:val="0053211E"/>
    <w:rsid w:val="00532189"/>
    <w:rsid w:val="005326CF"/>
    <w:rsid w:val="00532B56"/>
    <w:rsid w:val="00532C25"/>
    <w:rsid w:val="00532CB1"/>
    <w:rsid w:val="005334F2"/>
    <w:rsid w:val="00533A77"/>
    <w:rsid w:val="00533B21"/>
    <w:rsid w:val="00533CE1"/>
    <w:rsid w:val="005342C5"/>
    <w:rsid w:val="005344FE"/>
    <w:rsid w:val="00534FF5"/>
    <w:rsid w:val="005359FF"/>
    <w:rsid w:val="0053620E"/>
    <w:rsid w:val="00536854"/>
    <w:rsid w:val="00536E39"/>
    <w:rsid w:val="00536EA0"/>
    <w:rsid w:val="00537063"/>
    <w:rsid w:val="00537402"/>
    <w:rsid w:val="005375A5"/>
    <w:rsid w:val="00537620"/>
    <w:rsid w:val="00537AD3"/>
    <w:rsid w:val="00537D2D"/>
    <w:rsid w:val="005401AE"/>
    <w:rsid w:val="0054036A"/>
    <w:rsid w:val="00540432"/>
    <w:rsid w:val="005408BC"/>
    <w:rsid w:val="00540A8A"/>
    <w:rsid w:val="00540B1E"/>
    <w:rsid w:val="00541DA4"/>
    <w:rsid w:val="00541DDB"/>
    <w:rsid w:val="0054232C"/>
    <w:rsid w:val="0054238D"/>
    <w:rsid w:val="00542AC4"/>
    <w:rsid w:val="00542E07"/>
    <w:rsid w:val="00543049"/>
    <w:rsid w:val="0054386D"/>
    <w:rsid w:val="00543A55"/>
    <w:rsid w:val="00543DB4"/>
    <w:rsid w:val="00543DB5"/>
    <w:rsid w:val="00543E14"/>
    <w:rsid w:val="005445E5"/>
    <w:rsid w:val="00544777"/>
    <w:rsid w:val="00545041"/>
    <w:rsid w:val="00545424"/>
    <w:rsid w:val="005455D4"/>
    <w:rsid w:val="0054578D"/>
    <w:rsid w:val="00545A67"/>
    <w:rsid w:val="00545C70"/>
    <w:rsid w:val="00546301"/>
    <w:rsid w:val="00546401"/>
    <w:rsid w:val="00546D34"/>
    <w:rsid w:val="005475B7"/>
    <w:rsid w:val="00547AB6"/>
    <w:rsid w:val="00547D1F"/>
    <w:rsid w:val="005505B0"/>
    <w:rsid w:val="00551076"/>
    <w:rsid w:val="00551E16"/>
    <w:rsid w:val="005524C6"/>
    <w:rsid w:val="00552856"/>
    <w:rsid w:val="00552F1C"/>
    <w:rsid w:val="005530D1"/>
    <w:rsid w:val="0055324A"/>
    <w:rsid w:val="00553365"/>
    <w:rsid w:val="00553463"/>
    <w:rsid w:val="005546E9"/>
    <w:rsid w:val="00554737"/>
    <w:rsid w:val="00554964"/>
    <w:rsid w:val="00554A7B"/>
    <w:rsid w:val="00554F8C"/>
    <w:rsid w:val="005555CA"/>
    <w:rsid w:val="0055572C"/>
    <w:rsid w:val="00555A24"/>
    <w:rsid w:val="00555A35"/>
    <w:rsid w:val="0055646E"/>
    <w:rsid w:val="00556537"/>
    <w:rsid w:val="0055657F"/>
    <w:rsid w:val="00556677"/>
    <w:rsid w:val="005566B3"/>
    <w:rsid w:val="00556FE4"/>
    <w:rsid w:val="00557240"/>
    <w:rsid w:val="00557722"/>
    <w:rsid w:val="005577A9"/>
    <w:rsid w:val="005577E2"/>
    <w:rsid w:val="0055790A"/>
    <w:rsid w:val="0055793E"/>
    <w:rsid w:val="00557D3B"/>
    <w:rsid w:val="005606B9"/>
    <w:rsid w:val="00560B71"/>
    <w:rsid w:val="00560B7F"/>
    <w:rsid w:val="00560F26"/>
    <w:rsid w:val="0056106A"/>
    <w:rsid w:val="00561739"/>
    <w:rsid w:val="0056186D"/>
    <w:rsid w:val="00563C41"/>
    <w:rsid w:val="005644CF"/>
    <w:rsid w:val="0056464A"/>
    <w:rsid w:val="00564BC4"/>
    <w:rsid w:val="0056546A"/>
    <w:rsid w:val="00565510"/>
    <w:rsid w:val="005658BF"/>
    <w:rsid w:val="00565FD2"/>
    <w:rsid w:val="00566031"/>
    <w:rsid w:val="00566471"/>
    <w:rsid w:val="005668AC"/>
    <w:rsid w:val="00566A6D"/>
    <w:rsid w:val="00566AA9"/>
    <w:rsid w:val="00567A49"/>
    <w:rsid w:val="00567DA4"/>
    <w:rsid w:val="0057057B"/>
    <w:rsid w:val="00571123"/>
    <w:rsid w:val="00571702"/>
    <w:rsid w:val="00571A53"/>
    <w:rsid w:val="00571BEF"/>
    <w:rsid w:val="00571F5F"/>
    <w:rsid w:val="005720AE"/>
    <w:rsid w:val="00572437"/>
    <w:rsid w:val="005726B7"/>
    <w:rsid w:val="00572AA4"/>
    <w:rsid w:val="00573166"/>
    <w:rsid w:val="00573C36"/>
    <w:rsid w:val="00574094"/>
    <w:rsid w:val="005745C3"/>
    <w:rsid w:val="00574724"/>
    <w:rsid w:val="0057479B"/>
    <w:rsid w:val="00574800"/>
    <w:rsid w:val="00574C4A"/>
    <w:rsid w:val="005757CE"/>
    <w:rsid w:val="0057607E"/>
    <w:rsid w:val="0057635E"/>
    <w:rsid w:val="005763EE"/>
    <w:rsid w:val="0057655B"/>
    <w:rsid w:val="00576666"/>
    <w:rsid w:val="00577485"/>
    <w:rsid w:val="005776A6"/>
    <w:rsid w:val="00577899"/>
    <w:rsid w:val="005778CF"/>
    <w:rsid w:val="00577C0E"/>
    <w:rsid w:val="00580B46"/>
    <w:rsid w:val="0058150D"/>
    <w:rsid w:val="00581A20"/>
    <w:rsid w:val="00581C05"/>
    <w:rsid w:val="00582425"/>
    <w:rsid w:val="00582C64"/>
    <w:rsid w:val="00582E41"/>
    <w:rsid w:val="0058342A"/>
    <w:rsid w:val="00583613"/>
    <w:rsid w:val="00583F7D"/>
    <w:rsid w:val="00584077"/>
    <w:rsid w:val="005841EF"/>
    <w:rsid w:val="005844CB"/>
    <w:rsid w:val="00584D2C"/>
    <w:rsid w:val="005856C0"/>
    <w:rsid w:val="00585779"/>
    <w:rsid w:val="00585BC3"/>
    <w:rsid w:val="00585DBB"/>
    <w:rsid w:val="00586D20"/>
    <w:rsid w:val="00587546"/>
    <w:rsid w:val="005907BB"/>
    <w:rsid w:val="005911FF"/>
    <w:rsid w:val="005921B7"/>
    <w:rsid w:val="0059287B"/>
    <w:rsid w:val="0059297F"/>
    <w:rsid w:val="00594131"/>
    <w:rsid w:val="005941CC"/>
    <w:rsid w:val="00594D77"/>
    <w:rsid w:val="005953E9"/>
    <w:rsid w:val="0059563F"/>
    <w:rsid w:val="0059574E"/>
    <w:rsid w:val="00595C51"/>
    <w:rsid w:val="0059645F"/>
    <w:rsid w:val="005969E4"/>
    <w:rsid w:val="005977A9"/>
    <w:rsid w:val="00597892"/>
    <w:rsid w:val="0059799F"/>
    <w:rsid w:val="005A0141"/>
    <w:rsid w:val="005A01BA"/>
    <w:rsid w:val="005A06B7"/>
    <w:rsid w:val="005A0947"/>
    <w:rsid w:val="005A09CF"/>
    <w:rsid w:val="005A09D9"/>
    <w:rsid w:val="005A0BF6"/>
    <w:rsid w:val="005A121E"/>
    <w:rsid w:val="005A13AE"/>
    <w:rsid w:val="005A1603"/>
    <w:rsid w:val="005A1759"/>
    <w:rsid w:val="005A1ACF"/>
    <w:rsid w:val="005A1B49"/>
    <w:rsid w:val="005A1D84"/>
    <w:rsid w:val="005A1EE3"/>
    <w:rsid w:val="005A1F87"/>
    <w:rsid w:val="005A20CA"/>
    <w:rsid w:val="005A32EE"/>
    <w:rsid w:val="005A33B0"/>
    <w:rsid w:val="005A3DD8"/>
    <w:rsid w:val="005A4757"/>
    <w:rsid w:val="005A4890"/>
    <w:rsid w:val="005A4B5F"/>
    <w:rsid w:val="005A4C7D"/>
    <w:rsid w:val="005A52F8"/>
    <w:rsid w:val="005A68A7"/>
    <w:rsid w:val="005A6AAE"/>
    <w:rsid w:val="005A6D03"/>
    <w:rsid w:val="005A73FE"/>
    <w:rsid w:val="005A7AF6"/>
    <w:rsid w:val="005A7D0C"/>
    <w:rsid w:val="005A7EA6"/>
    <w:rsid w:val="005A7ECA"/>
    <w:rsid w:val="005B1328"/>
    <w:rsid w:val="005B17F0"/>
    <w:rsid w:val="005B1CF3"/>
    <w:rsid w:val="005B1E03"/>
    <w:rsid w:val="005B30EB"/>
    <w:rsid w:val="005B339D"/>
    <w:rsid w:val="005B3599"/>
    <w:rsid w:val="005B39FD"/>
    <w:rsid w:val="005B4D18"/>
    <w:rsid w:val="005B54B7"/>
    <w:rsid w:val="005B5588"/>
    <w:rsid w:val="005B5E5D"/>
    <w:rsid w:val="005B687B"/>
    <w:rsid w:val="005B6B93"/>
    <w:rsid w:val="005B7106"/>
    <w:rsid w:val="005B71AA"/>
    <w:rsid w:val="005B71FC"/>
    <w:rsid w:val="005B7809"/>
    <w:rsid w:val="005B7D74"/>
    <w:rsid w:val="005C028B"/>
    <w:rsid w:val="005C02D1"/>
    <w:rsid w:val="005C0FBF"/>
    <w:rsid w:val="005C11C5"/>
    <w:rsid w:val="005C150B"/>
    <w:rsid w:val="005C18D9"/>
    <w:rsid w:val="005C2491"/>
    <w:rsid w:val="005C2547"/>
    <w:rsid w:val="005C2D99"/>
    <w:rsid w:val="005C2EBE"/>
    <w:rsid w:val="005C3438"/>
    <w:rsid w:val="005C40B8"/>
    <w:rsid w:val="005C4DE9"/>
    <w:rsid w:val="005C51B6"/>
    <w:rsid w:val="005C5487"/>
    <w:rsid w:val="005C5B15"/>
    <w:rsid w:val="005C5BF1"/>
    <w:rsid w:val="005C646A"/>
    <w:rsid w:val="005C6CFD"/>
    <w:rsid w:val="005C719D"/>
    <w:rsid w:val="005C7332"/>
    <w:rsid w:val="005C7DA6"/>
    <w:rsid w:val="005D017E"/>
    <w:rsid w:val="005D0345"/>
    <w:rsid w:val="005D0FF4"/>
    <w:rsid w:val="005D12B0"/>
    <w:rsid w:val="005D130E"/>
    <w:rsid w:val="005D134F"/>
    <w:rsid w:val="005D2781"/>
    <w:rsid w:val="005D2B24"/>
    <w:rsid w:val="005D3045"/>
    <w:rsid w:val="005D308A"/>
    <w:rsid w:val="005D3253"/>
    <w:rsid w:val="005D36AB"/>
    <w:rsid w:val="005D3C79"/>
    <w:rsid w:val="005D3DA3"/>
    <w:rsid w:val="005D4B7A"/>
    <w:rsid w:val="005D4E2E"/>
    <w:rsid w:val="005D52F8"/>
    <w:rsid w:val="005D595A"/>
    <w:rsid w:val="005D5D41"/>
    <w:rsid w:val="005D62DC"/>
    <w:rsid w:val="005D66D2"/>
    <w:rsid w:val="005D6A4C"/>
    <w:rsid w:val="005D6A8B"/>
    <w:rsid w:val="005D6BCF"/>
    <w:rsid w:val="005D7099"/>
    <w:rsid w:val="005D7A33"/>
    <w:rsid w:val="005D7E2D"/>
    <w:rsid w:val="005E02A0"/>
    <w:rsid w:val="005E04A1"/>
    <w:rsid w:val="005E05CF"/>
    <w:rsid w:val="005E0B9E"/>
    <w:rsid w:val="005E0F50"/>
    <w:rsid w:val="005E0FC5"/>
    <w:rsid w:val="005E124C"/>
    <w:rsid w:val="005E2A76"/>
    <w:rsid w:val="005E2B54"/>
    <w:rsid w:val="005E30BB"/>
    <w:rsid w:val="005E31D0"/>
    <w:rsid w:val="005E3601"/>
    <w:rsid w:val="005E3627"/>
    <w:rsid w:val="005E3733"/>
    <w:rsid w:val="005E3C29"/>
    <w:rsid w:val="005E3F5D"/>
    <w:rsid w:val="005E4149"/>
    <w:rsid w:val="005E43E4"/>
    <w:rsid w:val="005E5067"/>
    <w:rsid w:val="005E5113"/>
    <w:rsid w:val="005E51B0"/>
    <w:rsid w:val="005E5609"/>
    <w:rsid w:val="005E564E"/>
    <w:rsid w:val="005E5832"/>
    <w:rsid w:val="005E637B"/>
    <w:rsid w:val="005E6D24"/>
    <w:rsid w:val="005E6F3D"/>
    <w:rsid w:val="005E7061"/>
    <w:rsid w:val="005E7576"/>
    <w:rsid w:val="005E77B6"/>
    <w:rsid w:val="005F0210"/>
    <w:rsid w:val="005F02F0"/>
    <w:rsid w:val="005F072C"/>
    <w:rsid w:val="005F082F"/>
    <w:rsid w:val="005F090C"/>
    <w:rsid w:val="005F09AC"/>
    <w:rsid w:val="005F0D97"/>
    <w:rsid w:val="005F17A3"/>
    <w:rsid w:val="005F1FD7"/>
    <w:rsid w:val="005F2267"/>
    <w:rsid w:val="005F26CB"/>
    <w:rsid w:val="005F2892"/>
    <w:rsid w:val="005F2A50"/>
    <w:rsid w:val="005F2A92"/>
    <w:rsid w:val="005F2E65"/>
    <w:rsid w:val="005F313B"/>
    <w:rsid w:val="005F382F"/>
    <w:rsid w:val="005F3F24"/>
    <w:rsid w:val="005F4526"/>
    <w:rsid w:val="005F4776"/>
    <w:rsid w:val="005F507F"/>
    <w:rsid w:val="005F5F7D"/>
    <w:rsid w:val="005F6028"/>
    <w:rsid w:val="005F62F2"/>
    <w:rsid w:val="005F64C6"/>
    <w:rsid w:val="005F6CB1"/>
    <w:rsid w:val="005F758B"/>
    <w:rsid w:val="005F7DB3"/>
    <w:rsid w:val="005F7EEC"/>
    <w:rsid w:val="00600AC8"/>
    <w:rsid w:val="00600DDA"/>
    <w:rsid w:val="0060101A"/>
    <w:rsid w:val="00602787"/>
    <w:rsid w:val="006036DF"/>
    <w:rsid w:val="00603A34"/>
    <w:rsid w:val="00603AD2"/>
    <w:rsid w:val="00603FFD"/>
    <w:rsid w:val="006043FB"/>
    <w:rsid w:val="00604AA1"/>
    <w:rsid w:val="00605655"/>
    <w:rsid w:val="006056B3"/>
    <w:rsid w:val="00606880"/>
    <w:rsid w:val="00606A07"/>
    <w:rsid w:val="006070AE"/>
    <w:rsid w:val="0060738F"/>
    <w:rsid w:val="006074BC"/>
    <w:rsid w:val="006074FB"/>
    <w:rsid w:val="00607B6C"/>
    <w:rsid w:val="006102CD"/>
    <w:rsid w:val="006111D1"/>
    <w:rsid w:val="00611887"/>
    <w:rsid w:val="00612892"/>
    <w:rsid w:val="00612B47"/>
    <w:rsid w:val="00612C1E"/>
    <w:rsid w:val="00612D7E"/>
    <w:rsid w:val="0061334D"/>
    <w:rsid w:val="00613799"/>
    <w:rsid w:val="006137F0"/>
    <w:rsid w:val="00613B01"/>
    <w:rsid w:val="00614156"/>
    <w:rsid w:val="006148C5"/>
    <w:rsid w:val="00614A69"/>
    <w:rsid w:val="00615598"/>
    <w:rsid w:val="00615962"/>
    <w:rsid w:val="00615EA1"/>
    <w:rsid w:val="00616555"/>
    <w:rsid w:val="00616B24"/>
    <w:rsid w:val="006179B4"/>
    <w:rsid w:val="00617CC3"/>
    <w:rsid w:val="00617D40"/>
    <w:rsid w:val="00620A17"/>
    <w:rsid w:val="00620BBD"/>
    <w:rsid w:val="00620E39"/>
    <w:rsid w:val="00621719"/>
    <w:rsid w:val="00621741"/>
    <w:rsid w:val="006219D5"/>
    <w:rsid w:val="00621D8D"/>
    <w:rsid w:val="00621E4A"/>
    <w:rsid w:val="006222D8"/>
    <w:rsid w:val="00622549"/>
    <w:rsid w:val="00622810"/>
    <w:rsid w:val="00622A70"/>
    <w:rsid w:val="006234C6"/>
    <w:rsid w:val="006246D7"/>
    <w:rsid w:val="00624CBA"/>
    <w:rsid w:val="00624D93"/>
    <w:rsid w:val="006251F8"/>
    <w:rsid w:val="00625613"/>
    <w:rsid w:val="006258E4"/>
    <w:rsid w:val="00625E83"/>
    <w:rsid w:val="00626042"/>
    <w:rsid w:val="00626094"/>
    <w:rsid w:val="00626D42"/>
    <w:rsid w:val="00627019"/>
    <w:rsid w:val="00627105"/>
    <w:rsid w:val="00627DE9"/>
    <w:rsid w:val="00627E90"/>
    <w:rsid w:val="00630215"/>
    <w:rsid w:val="00630320"/>
    <w:rsid w:val="00631159"/>
    <w:rsid w:val="0063175F"/>
    <w:rsid w:val="00631842"/>
    <w:rsid w:val="006319B2"/>
    <w:rsid w:val="00631F38"/>
    <w:rsid w:val="006338F0"/>
    <w:rsid w:val="00633C6B"/>
    <w:rsid w:val="00634E1F"/>
    <w:rsid w:val="006355F0"/>
    <w:rsid w:val="006357B6"/>
    <w:rsid w:val="006357DE"/>
    <w:rsid w:val="00635862"/>
    <w:rsid w:val="00635DC2"/>
    <w:rsid w:val="0063609B"/>
    <w:rsid w:val="00636393"/>
    <w:rsid w:val="006366D8"/>
    <w:rsid w:val="0063696D"/>
    <w:rsid w:val="00636C58"/>
    <w:rsid w:val="00636D0E"/>
    <w:rsid w:val="0063763A"/>
    <w:rsid w:val="006377A6"/>
    <w:rsid w:val="00637A3D"/>
    <w:rsid w:val="00637C0C"/>
    <w:rsid w:val="00637F73"/>
    <w:rsid w:val="00640B89"/>
    <w:rsid w:val="0064119C"/>
    <w:rsid w:val="006411EF"/>
    <w:rsid w:val="00641B08"/>
    <w:rsid w:val="00642838"/>
    <w:rsid w:val="0064295A"/>
    <w:rsid w:val="00642A21"/>
    <w:rsid w:val="006431E7"/>
    <w:rsid w:val="00643340"/>
    <w:rsid w:val="006435B2"/>
    <w:rsid w:val="00643B13"/>
    <w:rsid w:val="00644137"/>
    <w:rsid w:val="0064475F"/>
    <w:rsid w:val="006447F8"/>
    <w:rsid w:val="00644802"/>
    <w:rsid w:val="00644820"/>
    <w:rsid w:val="00644B1B"/>
    <w:rsid w:val="00644F22"/>
    <w:rsid w:val="006450B5"/>
    <w:rsid w:val="0064555C"/>
    <w:rsid w:val="00645FE3"/>
    <w:rsid w:val="006460CE"/>
    <w:rsid w:val="006461D6"/>
    <w:rsid w:val="006468FF"/>
    <w:rsid w:val="00646DB5"/>
    <w:rsid w:val="006470C7"/>
    <w:rsid w:val="00647D51"/>
    <w:rsid w:val="0065075D"/>
    <w:rsid w:val="006508B3"/>
    <w:rsid w:val="00651466"/>
    <w:rsid w:val="00651469"/>
    <w:rsid w:val="0065169A"/>
    <w:rsid w:val="006516ED"/>
    <w:rsid w:val="00651B1F"/>
    <w:rsid w:val="006529B6"/>
    <w:rsid w:val="00653503"/>
    <w:rsid w:val="006538B2"/>
    <w:rsid w:val="00654306"/>
    <w:rsid w:val="0065432B"/>
    <w:rsid w:val="0065457A"/>
    <w:rsid w:val="00654736"/>
    <w:rsid w:val="0065481F"/>
    <w:rsid w:val="00654A75"/>
    <w:rsid w:val="00654ED8"/>
    <w:rsid w:val="0065520E"/>
    <w:rsid w:val="00655235"/>
    <w:rsid w:val="0065563A"/>
    <w:rsid w:val="00655648"/>
    <w:rsid w:val="006558E2"/>
    <w:rsid w:val="0065592C"/>
    <w:rsid w:val="00655CCE"/>
    <w:rsid w:val="00656069"/>
    <w:rsid w:val="00656278"/>
    <w:rsid w:val="00656351"/>
    <w:rsid w:val="0065641D"/>
    <w:rsid w:val="006567C8"/>
    <w:rsid w:val="00657B2C"/>
    <w:rsid w:val="006607DE"/>
    <w:rsid w:val="00660924"/>
    <w:rsid w:val="00660BA5"/>
    <w:rsid w:val="0066112A"/>
    <w:rsid w:val="0066170F"/>
    <w:rsid w:val="00661B6D"/>
    <w:rsid w:val="00661BF0"/>
    <w:rsid w:val="00662A76"/>
    <w:rsid w:val="006632E2"/>
    <w:rsid w:val="00664B77"/>
    <w:rsid w:val="00664F00"/>
    <w:rsid w:val="00665177"/>
    <w:rsid w:val="00665507"/>
    <w:rsid w:val="00665747"/>
    <w:rsid w:val="0066672D"/>
    <w:rsid w:val="0066686C"/>
    <w:rsid w:val="006673C0"/>
    <w:rsid w:val="006674A6"/>
    <w:rsid w:val="006676D6"/>
    <w:rsid w:val="0066795C"/>
    <w:rsid w:val="00667E40"/>
    <w:rsid w:val="00671EFF"/>
    <w:rsid w:val="0067221B"/>
    <w:rsid w:val="00672605"/>
    <w:rsid w:val="006726D4"/>
    <w:rsid w:val="00672DEA"/>
    <w:rsid w:val="0067362B"/>
    <w:rsid w:val="00673AAD"/>
    <w:rsid w:val="00673ACC"/>
    <w:rsid w:val="00673E08"/>
    <w:rsid w:val="006748B8"/>
    <w:rsid w:val="00674E1F"/>
    <w:rsid w:val="00674ED0"/>
    <w:rsid w:val="00675190"/>
    <w:rsid w:val="0067588E"/>
    <w:rsid w:val="00675A08"/>
    <w:rsid w:val="00675B83"/>
    <w:rsid w:val="00675ED3"/>
    <w:rsid w:val="00676B31"/>
    <w:rsid w:val="00676C0E"/>
    <w:rsid w:val="006770ED"/>
    <w:rsid w:val="0067724B"/>
    <w:rsid w:val="006775AE"/>
    <w:rsid w:val="006775C3"/>
    <w:rsid w:val="0067780A"/>
    <w:rsid w:val="00677E07"/>
    <w:rsid w:val="006807F8"/>
    <w:rsid w:val="00680C64"/>
    <w:rsid w:val="00681175"/>
    <w:rsid w:val="00681229"/>
    <w:rsid w:val="006814A2"/>
    <w:rsid w:val="006816E5"/>
    <w:rsid w:val="006818D9"/>
    <w:rsid w:val="00681AA1"/>
    <w:rsid w:val="00681D2B"/>
    <w:rsid w:val="0068271F"/>
    <w:rsid w:val="0068286D"/>
    <w:rsid w:val="00682C21"/>
    <w:rsid w:val="00682C3C"/>
    <w:rsid w:val="00682DA2"/>
    <w:rsid w:val="00684694"/>
    <w:rsid w:val="00684A75"/>
    <w:rsid w:val="0068522B"/>
    <w:rsid w:val="0068571B"/>
    <w:rsid w:val="00685905"/>
    <w:rsid w:val="00685B8B"/>
    <w:rsid w:val="00685BEE"/>
    <w:rsid w:val="00685DE1"/>
    <w:rsid w:val="00686452"/>
    <w:rsid w:val="00686668"/>
    <w:rsid w:val="00686889"/>
    <w:rsid w:val="006868DE"/>
    <w:rsid w:val="006868E5"/>
    <w:rsid w:val="00686BCA"/>
    <w:rsid w:val="006871C8"/>
    <w:rsid w:val="00687421"/>
    <w:rsid w:val="006877B4"/>
    <w:rsid w:val="006907A9"/>
    <w:rsid w:val="00690819"/>
    <w:rsid w:val="00690877"/>
    <w:rsid w:val="00690B73"/>
    <w:rsid w:val="0069198A"/>
    <w:rsid w:val="0069202F"/>
    <w:rsid w:val="00692124"/>
    <w:rsid w:val="0069290A"/>
    <w:rsid w:val="0069297C"/>
    <w:rsid w:val="006929C5"/>
    <w:rsid w:val="00693001"/>
    <w:rsid w:val="00693076"/>
    <w:rsid w:val="006947A5"/>
    <w:rsid w:val="00694F7C"/>
    <w:rsid w:val="006951F6"/>
    <w:rsid w:val="00695230"/>
    <w:rsid w:val="00695F76"/>
    <w:rsid w:val="0069655A"/>
    <w:rsid w:val="006965EE"/>
    <w:rsid w:val="00696714"/>
    <w:rsid w:val="00696C7F"/>
    <w:rsid w:val="00696C80"/>
    <w:rsid w:val="006971C0"/>
    <w:rsid w:val="0069775A"/>
    <w:rsid w:val="00697813"/>
    <w:rsid w:val="0069789D"/>
    <w:rsid w:val="006A000B"/>
    <w:rsid w:val="006A00FE"/>
    <w:rsid w:val="006A02DF"/>
    <w:rsid w:val="006A0C7D"/>
    <w:rsid w:val="006A10D3"/>
    <w:rsid w:val="006A1149"/>
    <w:rsid w:val="006A1385"/>
    <w:rsid w:val="006A1E3A"/>
    <w:rsid w:val="006A203D"/>
    <w:rsid w:val="006A2489"/>
    <w:rsid w:val="006A2658"/>
    <w:rsid w:val="006A301D"/>
    <w:rsid w:val="006A335A"/>
    <w:rsid w:val="006A3479"/>
    <w:rsid w:val="006A38A9"/>
    <w:rsid w:val="006A3EE8"/>
    <w:rsid w:val="006A3FB5"/>
    <w:rsid w:val="006A41D8"/>
    <w:rsid w:val="006A42A2"/>
    <w:rsid w:val="006A4C61"/>
    <w:rsid w:val="006A559F"/>
    <w:rsid w:val="006A57D9"/>
    <w:rsid w:val="006A5952"/>
    <w:rsid w:val="006A59C0"/>
    <w:rsid w:val="006A5BC1"/>
    <w:rsid w:val="006A5C6C"/>
    <w:rsid w:val="006A6733"/>
    <w:rsid w:val="006A6B7E"/>
    <w:rsid w:val="006A6C6F"/>
    <w:rsid w:val="006A72BF"/>
    <w:rsid w:val="006A7899"/>
    <w:rsid w:val="006B03F2"/>
    <w:rsid w:val="006B055A"/>
    <w:rsid w:val="006B08FC"/>
    <w:rsid w:val="006B095C"/>
    <w:rsid w:val="006B0CB3"/>
    <w:rsid w:val="006B0CB7"/>
    <w:rsid w:val="006B121B"/>
    <w:rsid w:val="006B1A52"/>
    <w:rsid w:val="006B2855"/>
    <w:rsid w:val="006B2ED4"/>
    <w:rsid w:val="006B31FD"/>
    <w:rsid w:val="006B34D7"/>
    <w:rsid w:val="006B37DC"/>
    <w:rsid w:val="006B3B83"/>
    <w:rsid w:val="006B3CA7"/>
    <w:rsid w:val="006B3FB6"/>
    <w:rsid w:val="006B4095"/>
    <w:rsid w:val="006B4439"/>
    <w:rsid w:val="006B454E"/>
    <w:rsid w:val="006B49FB"/>
    <w:rsid w:val="006B4AD1"/>
    <w:rsid w:val="006B4F49"/>
    <w:rsid w:val="006B4F68"/>
    <w:rsid w:val="006B55BF"/>
    <w:rsid w:val="006B5E41"/>
    <w:rsid w:val="006B6085"/>
    <w:rsid w:val="006B6473"/>
    <w:rsid w:val="006B64B0"/>
    <w:rsid w:val="006B6713"/>
    <w:rsid w:val="006B70EC"/>
    <w:rsid w:val="006B75EE"/>
    <w:rsid w:val="006B7818"/>
    <w:rsid w:val="006B7894"/>
    <w:rsid w:val="006B7E52"/>
    <w:rsid w:val="006C0592"/>
    <w:rsid w:val="006C0976"/>
    <w:rsid w:val="006C182E"/>
    <w:rsid w:val="006C272E"/>
    <w:rsid w:val="006C29F0"/>
    <w:rsid w:val="006C2E99"/>
    <w:rsid w:val="006C32B3"/>
    <w:rsid w:val="006C3588"/>
    <w:rsid w:val="006C37BF"/>
    <w:rsid w:val="006C3F31"/>
    <w:rsid w:val="006C3F77"/>
    <w:rsid w:val="006C4755"/>
    <w:rsid w:val="006C4F76"/>
    <w:rsid w:val="006C4FA1"/>
    <w:rsid w:val="006C4FE6"/>
    <w:rsid w:val="006C5087"/>
    <w:rsid w:val="006C5479"/>
    <w:rsid w:val="006C5528"/>
    <w:rsid w:val="006C5970"/>
    <w:rsid w:val="006C5BFB"/>
    <w:rsid w:val="006C69B7"/>
    <w:rsid w:val="006C6C4D"/>
    <w:rsid w:val="006C742F"/>
    <w:rsid w:val="006C7942"/>
    <w:rsid w:val="006D062C"/>
    <w:rsid w:val="006D09D9"/>
    <w:rsid w:val="006D0E3F"/>
    <w:rsid w:val="006D11BF"/>
    <w:rsid w:val="006D13B5"/>
    <w:rsid w:val="006D178E"/>
    <w:rsid w:val="006D216E"/>
    <w:rsid w:val="006D2300"/>
    <w:rsid w:val="006D2DFF"/>
    <w:rsid w:val="006D31C4"/>
    <w:rsid w:val="006D3B73"/>
    <w:rsid w:val="006D416C"/>
    <w:rsid w:val="006D435C"/>
    <w:rsid w:val="006D44AB"/>
    <w:rsid w:val="006D50D2"/>
    <w:rsid w:val="006D6095"/>
    <w:rsid w:val="006D6FE1"/>
    <w:rsid w:val="006D7368"/>
    <w:rsid w:val="006E0B1A"/>
    <w:rsid w:val="006E0E69"/>
    <w:rsid w:val="006E12FF"/>
    <w:rsid w:val="006E148D"/>
    <w:rsid w:val="006E1E22"/>
    <w:rsid w:val="006E3661"/>
    <w:rsid w:val="006E3ACC"/>
    <w:rsid w:val="006E3D69"/>
    <w:rsid w:val="006E4EF8"/>
    <w:rsid w:val="006E607E"/>
    <w:rsid w:val="006E6341"/>
    <w:rsid w:val="006E63C2"/>
    <w:rsid w:val="006E645A"/>
    <w:rsid w:val="006E64D3"/>
    <w:rsid w:val="006E710B"/>
    <w:rsid w:val="006E73ED"/>
    <w:rsid w:val="006E772F"/>
    <w:rsid w:val="006F0DDC"/>
    <w:rsid w:val="006F1CD0"/>
    <w:rsid w:val="006F2950"/>
    <w:rsid w:val="006F2A2A"/>
    <w:rsid w:val="006F2B21"/>
    <w:rsid w:val="006F349B"/>
    <w:rsid w:val="006F3833"/>
    <w:rsid w:val="006F3ADA"/>
    <w:rsid w:val="006F3C14"/>
    <w:rsid w:val="006F46AD"/>
    <w:rsid w:val="006F4C7C"/>
    <w:rsid w:val="006F4F5C"/>
    <w:rsid w:val="006F5242"/>
    <w:rsid w:val="006F54DF"/>
    <w:rsid w:val="006F5A39"/>
    <w:rsid w:val="006F5D38"/>
    <w:rsid w:val="006F6354"/>
    <w:rsid w:val="006F6359"/>
    <w:rsid w:val="006F6BD8"/>
    <w:rsid w:val="006F6CCB"/>
    <w:rsid w:val="006F6F75"/>
    <w:rsid w:val="006F72D1"/>
    <w:rsid w:val="006F748E"/>
    <w:rsid w:val="006F79BC"/>
    <w:rsid w:val="006F79DE"/>
    <w:rsid w:val="006F7D47"/>
    <w:rsid w:val="006F7FFB"/>
    <w:rsid w:val="0070034C"/>
    <w:rsid w:val="00700357"/>
    <w:rsid w:val="00701393"/>
    <w:rsid w:val="0070171B"/>
    <w:rsid w:val="00701C00"/>
    <w:rsid w:val="00701C59"/>
    <w:rsid w:val="00701D61"/>
    <w:rsid w:val="007031D1"/>
    <w:rsid w:val="00703C9F"/>
    <w:rsid w:val="00703DBB"/>
    <w:rsid w:val="00704266"/>
    <w:rsid w:val="007046A3"/>
    <w:rsid w:val="00704E2C"/>
    <w:rsid w:val="007054B7"/>
    <w:rsid w:val="007054E5"/>
    <w:rsid w:val="00705867"/>
    <w:rsid w:val="0070599A"/>
    <w:rsid w:val="00705A1B"/>
    <w:rsid w:val="00705C19"/>
    <w:rsid w:val="00706122"/>
    <w:rsid w:val="00706429"/>
    <w:rsid w:val="007065F5"/>
    <w:rsid w:val="007066F2"/>
    <w:rsid w:val="00706C5D"/>
    <w:rsid w:val="00706E73"/>
    <w:rsid w:val="00706EAF"/>
    <w:rsid w:val="00706F88"/>
    <w:rsid w:val="007079E1"/>
    <w:rsid w:val="00707AD5"/>
    <w:rsid w:val="00707BD6"/>
    <w:rsid w:val="00707F83"/>
    <w:rsid w:val="007106D5"/>
    <w:rsid w:val="00710B58"/>
    <w:rsid w:val="00710D19"/>
    <w:rsid w:val="00712401"/>
    <w:rsid w:val="00712432"/>
    <w:rsid w:val="0071247B"/>
    <w:rsid w:val="0071287A"/>
    <w:rsid w:val="00712EE1"/>
    <w:rsid w:val="00713CD6"/>
    <w:rsid w:val="00713FF0"/>
    <w:rsid w:val="007141F9"/>
    <w:rsid w:val="007144FA"/>
    <w:rsid w:val="00715313"/>
    <w:rsid w:val="0071548E"/>
    <w:rsid w:val="0071583D"/>
    <w:rsid w:val="00716834"/>
    <w:rsid w:val="007200D2"/>
    <w:rsid w:val="00720C9C"/>
    <w:rsid w:val="00721EF8"/>
    <w:rsid w:val="0072224C"/>
    <w:rsid w:val="00722CB2"/>
    <w:rsid w:val="007230DF"/>
    <w:rsid w:val="007236B7"/>
    <w:rsid w:val="00723A44"/>
    <w:rsid w:val="00724A8C"/>
    <w:rsid w:val="00724AE7"/>
    <w:rsid w:val="00724D5E"/>
    <w:rsid w:val="00724D89"/>
    <w:rsid w:val="007250A3"/>
    <w:rsid w:val="00725621"/>
    <w:rsid w:val="00725876"/>
    <w:rsid w:val="00725C72"/>
    <w:rsid w:val="00725F9B"/>
    <w:rsid w:val="007260BB"/>
    <w:rsid w:val="007260BD"/>
    <w:rsid w:val="00726118"/>
    <w:rsid w:val="0072696F"/>
    <w:rsid w:val="007269EC"/>
    <w:rsid w:val="00726D33"/>
    <w:rsid w:val="00726E09"/>
    <w:rsid w:val="00727068"/>
    <w:rsid w:val="0072731D"/>
    <w:rsid w:val="0072767A"/>
    <w:rsid w:val="00727DEF"/>
    <w:rsid w:val="00727E01"/>
    <w:rsid w:val="00730179"/>
    <w:rsid w:val="00730AC7"/>
    <w:rsid w:val="007317ED"/>
    <w:rsid w:val="00732106"/>
    <w:rsid w:val="007323A7"/>
    <w:rsid w:val="00732922"/>
    <w:rsid w:val="007330C6"/>
    <w:rsid w:val="00734301"/>
    <w:rsid w:val="0073482D"/>
    <w:rsid w:val="00735B5B"/>
    <w:rsid w:val="00735BD1"/>
    <w:rsid w:val="007369D6"/>
    <w:rsid w:val="00736BC3"/>
    <w:rsid w:val="00736BF7"/>
    <w:rsid w:val="007370C6"/>
    <w:rsid w:val="007372C5"/>
    <w:rsid w:val="00737530"/>
    <w:rsid w:val="007379EC"/>
    <w:rsid w:val="00737D86"/>
    <w:rsid w:val="00737DAA"/>
    <w:rsid w:val="00737E72"/>
    <w:rsid w:val="00737E84"/>
    <w:rsid w:val="0074029B"/>
    <w:rsid w:val="00740403"/>
    <w:rsid w:val="0074089D"/>
    <w:rsid w:val="00741A26"/>
    <w:rsid w:val="00741DF4"/>
    <w:rsid w:val="007426DA"/>
    <w:rsid w:val="0074288F"/>
    <w:rsid w:val="00742F70"/>
    <w:rsid w:val="007435E8"/>
    <w:rsid w:val="007435FE"/>
    <w:rsid w:val="00743656"/>
    <w:rsid w:val="00743791"/>
    <w:rsid w:val="00744215"/>
    <w:rsid w:val="007442D5"/>
    <w:rsid w:val="007442E9"/>
    <w:rsid w:val="0074492D"/>
    <w:rsid w:val="00744B58"/>
    <w:rsid w:val="00744E8E"/>
    <w:rsid w:val="0074542D"/>
    <w:rsid w:val="00745A33"/>
    <w:rsid w:val="00746F76"/>
    <w:rsid w:val="007472AF"/>
    <w:rsid w:val="00747790"/>
    <w:rsid w:val="00750034"/>
    <w:rsid w:val="00750340"/>
    <w:rsid w:val="0075045E"/>
    <w:rsid w:val="00750790"/>
    <w:rsid w:val="0075092A"/>
    <w:rsid w:val="00750D8B"/>
    <w:rsid w:val="00751483"/>
    <w:rsid w:val="0075162E"/>
    <w:rsid w:val="007519EA"/>
    <w:rsid w:val="007526CA"/>
    <w:rsid w:val="00753919"/>
    <w:rsid w:val="00753F07"/>
    <w:rsid w:val="00754034"/>
    <w:rsid w:val="0075411D"/>
    <w:rsid w:val="00754577"/>
    <w:rsid w:val="00754644"/>
    <w:rsid w:val="007548F3"/>
    <w:rsid w:val="00754E43"/>
    <w:rsid w:val="00754EF0"/>
    <w:rsid w:val="00755336"/>
    <w:rsid w:val="0075537C"/>
    <w:rsid w:val="007553F2"/>
    <w:rsid w:val="00755635"/>
    <w:rsid w:val="007558FF"/>
    <w:rsid w:val="00755DC1"/>
    <w:rsid w:val="00756556"/>
    <w:rsid w:val="00756CDE"/>
    <w:rsid w:val="00756EAF"/>
    <w:rsid w:val="0075718A"/>
    <w:rsid w:val="00760195"/>
    <w:rsid w:val="00760276"/>
    <w:rsid w:val="00760886"/>
    <w:rsid w:val="00760E28"/>
    <w:rsid w:val="0076185A"/>
    <w:rsid w:val="007618C4"/>
    <w:rsid w:val="00761DA8"/>
    <w:rsid w:val="0076308C"/>
    <w:rsid w:val="00763695"/>
    <w:rsid w:val="00763D52"/>
    <w:rsid w:val="00763DA0"/>
    <w:rsid w:val="00764230"/>
    <w:rsid w:val="007644B6"/>
    <w:rsid w:val="0076482A"/>
    <w:rsid w:val="0076494F"/>
    <w:rsid w:val="00764CBB"/>
    <w:rsid w:val="007656A2"/>
    <w:rsid w:val="00765C38"/>
    <w:rsid w:val="007661AF"/>
    <w:rsid w:val="007662D1"/>
    <w:rsid w:val="00766359"/>
    <w:rsid w:val="0076646C"/>
    <w:rsid w:val="00766507"/>
    <w:rsid w:val="00766852"/>
    <w:rsid w:val="007668E6"/>
    <w:rsid w:val="00766D9D"/>
    <w:rsid w:val="00766EC8"/>
    <w:rsid w:val="007670D9"/>
    <w:rsid w:val="007671E9"/>
    <w:rsid w:val="00767980"/>
    <w:rsid w:val="00770092"/>
    <w:rsid w:val="0077009D"/>
    <w:rsid w:val="00770250"/>
    <w:rsid w:val="00770B19"/>
    <w:rsid w:val="00770DE7"/>
    <w:rsid w:val="007710DA"/>
    <w:rsid w:val="007717DE"/>
    <w:rsid w:val="00771A55"/>
    <w:rsid w:val="007720FC"/>
    <w:rsid w:val="00772AF4"/>
    <w:rsid w:val="00772F46"/>
    <w:rsid w:val="00772FBC"/>
    <w:rsid w:val="00773196"/>
    <w:rsid w:val="00773B64"/>
    <w:rsid w:val="00773DDB"/>
    <w:rsid w:val="00773F8A"/>
    <w:rsid w:val="0077463F"/>
    <w:rsid w:val="00775570"/>
    <w:rsid w:val="00775623"/>
    <w:rsid w:val="00775947"/>
    <w:rsid w:val="00775B4B"/>
    <w:rsid w:val="00775B87"/>
    <w:rsid w:val="0077712D"/>
    <w:rsid w:val="00777BCF"/>
    <w:rsid w:val="00777D54"/>
    <w:rsid w:val="00777DC9"/>
    <w:rsid w:val="007800C7"/>
    <w:rsid w:val="0078018A"/>
    <w:rsid w:val="0078090A"/>
    <w:rsid w:val="0078098D"/>
    <w:rsid w:val="00780AAE"/>
    <w:rsid w:val="00780B61"/>
    <w:rsid w:val="007810C9"/>
    <w:rsid w:val="00781435"/>
    <w:rsid w:val="00782424"/>
    <w:rsid w:val="00782612"/>
    <w:rsid w:val="00782835"/>
    <w:rsid w:val="00782C5D"/>
    <w:rsid w:val="007836EA"/>
    <w:rsid w:val="00783D93"/>
    <w:rsid w:val="00783F9B"/>
    <w:rsid w:val="00784CDA"/>
    <w:rsid w:val="00785018"/>
    <w:rsid w:val="00785A32"/>
    <w:rsid w:val="007862DA"/>
    <w:rsid w:val="0078755E"/>
    <w:rsid w:val="00787AE7"/>
    <w:rsid w:val="00787D91"/>
    <w:rsid w:val="007906C4"/>
    <w:rsid w:val="0079076D"/>
    <w:rsid w:val="00791312"/>
    <w:rsid w:val="00791352"/>
    <w:rsid w:val="00791433"/>
    <w:rsid w:val="007914DB"/>
    <w:rsid w:val="007921B0"/>
    <w:rsid w:val="007924E5"/>
    <w:rsid w:val="00793DDA"/>
    <w:rsid w:val="00793E25"/>
    <w:rsid w:val="00793F9E"/>
    <w:rsid w:val="007940EA"/>
    <w:rsid w:val="00794231"/>
    <w:rsid w:val="00794474"/>
    <w:rsid w:val="0079453C"/>
    <w:rsid w:val="00794D3F"/>
    <w:rsid w:val="0079525D"/>
    <w:rsid w:val="007964A5"/>
    <w:rsid w:val="00796568"/>
    <w:rsid w:val="007967E8"/>
    <w:rsid w:val="00796885"/>
    <w:rsid w:val="0079729B"/>
    <w:rsid w:val="007972DA"/>
    <w:rsid w:val="007977ED"/>
    <w:rsid w:val="00797829"/>
    <w:rsid w:val="00797F87"/>
    <w:rsid w:val="007A0079"/>
    <w:rsid w:val="007A0581"/>
    <w:rsid w:val="007A146F"/>
    <w:rsid w:val="007A1D07"/>
    <w:rsid w:val="007A2046"/>
    <w:rsid w:val="007A2170"/>
    <w:rsid w:val="007A22BF"/>
    <w:rsid w:val="007A2C6A"/>
    <w:rsid w:val="007A2CB3"/>
    <w:rsid w:val="007A2E0B"/>
    <w:rsid w:val="007A3323"/>
    <w:rsid w:val="007A417C"/>
    <w:rsid w:val="007A45B2"/>
    <w:rsid w:val="007A48FD"/>
    <w:rsid w:val="007A49B5"/>
    <w:rsid w:val="007A4D7C"/>
    <w:rsid w:val="007A5641"/>
    <w:rsid w:val="007A56ED"/>
    <w:rsid w:val="007A57C6"/>
    <w:rsid w:val="007A5BCB"/>
    <w:rsid w:val="007A6996"/>
    <w:rsid w:val="007A6E79"/>
    <w:rsid w:val="007A71C9"/>
    <w:rsid w:val="007A7655"/>
    <w:rsid w:val="007A7C92"/>
    <w:rsid w:val="007B0424"/>
    <w:rsid w:val="007B0927"/>
    <w:rsid w:val="007B0DB5"/>
    <w:rsid w:val="007B16DE"/>
    <w:rsid w:val="007B1714"/>
    <w:rsid w:val="007B247B"/>
    <w:rsid w:val="007B25F0"/>
    <w:rsid w:val="007B266C"/>
    <w:rsid w:val="007B2B5A"/>
    <w:rsid w:val="007B3914"/>
    <w:rsid w:val="007B3EF9"/>
    <w:rsid w:val="007B4257"/>
    <w:rsid w:val="007B4323"/>
    <w:rsid w:val="007B4A66"/>
    <w:rsid w:val="007B50C3"/>
    <w:rsid w:val="007B5201"/>
    <w:rsid w:val="007B59F2"/>
    <w:rsid w:val="007B5AA3"/>
    <w:rsid w:val="007B5E60"/>
    <w:rsid w:val="007B5F02"/>
    <w:rsid w:val="007B6162"/>
    <w:rsid w:val="007B72B8"/>
    <w:rsid w:val="007B7A58"/>
    <w:rsid w:val="007C032D"/>
    <w:rsid w:val="007C080C"/>
    <w:rsid w:val="007C09C3"/>
    <w:rsid w:val="007C0CC2"/>
    <w:rsid w:val="007C0DC1"/>
    <w:rsid w:val="007C1675"/>
    <w:rsid w:val="007C16A9"/>
    <w:rsid w:val="007C178D"/>
    <w:rsid w:val="007C1E96"/>
    <w:rsid w:val="007C21B5"/>
    <w:rsid w:val="007C24B7"/>
    <w:rsid w:val="007C2EC0"/>
    <w:rsid w:val="007C3AF3"/>
    <w:rsid w:val="007C3AF7"/>
    <w:rsid w:val="007C409B"/>
    <w:rsid w:val="007C4100"/>
    <w:rsid w:val="007C4473"/>
    <w:rsid w:val="007C4C30"/>
    <w:rsid w:val="007C5153"/>
    <w:rsid w:val="007C5411"/>
    <w:rsid w:val="007C5814"/>
    <w:rsid w:val="007C5E53"/>
    <w:rsid w:val="007C5E5A"/>
    <w:rsid w:val="007C5EE0"/>
    <w:rsid w:val="007C6140"/>
    <w:rsid w:val="007C66D7"/>
    <w:rsid w:val="007C6884"/>
    <w:rsid w:val="007C705D"/>
    <w:rsid w:val="007C7326"/>
    <w:rsid w:val="007C74D4"/>
    <w:rsid w:val="007C78C2"/>
    <w:rsid w:val="007C7D7C"/>
    <w:rsid w:val="007C7EDD"/>
    <w:rsid w:val="007D055A"/>
    <w:rsid w:val="007D0650"/>
    <w:rsid w:val="007D0A9E"/>
    <w:rsid w:val="007D1394"/>
    <w:rsid w:val="007D13CB"/>
    <w:rsid w:val="007D13E3"/>
    <w:rsid w:val="007D1499"/>
    <w:rsid w:val="007D1AD9"/>
    <w:rsid w:val="007D1BC2"/>
    <w:rsid w:val="007D1F8A"/>
    <w:rsid w:val="007D1FDB"/>
    <w:rsid w:val="007D23B4"/>
    <w:rsid w:val="007D242A"/>
    <w:rsid w:val="007D24AD"/>
    <w:rsid w:val="007D2873"/>
    <w:rsid w:val="007D299E"/>
    <w:rsid w:val="007D3279"/>
    <w:rsid w:val="007D346A"/>
    <w:rsid w:val="007D34F5"/>
    <w:rsid w:val="007D3881"/>
    <w:rsid w:val="007D397D"/>
    <w:rsid w:val="007D4554"/>
    <w:rsid w:val="007D4564"/>
    <w:rsid w:val="007D4716"/>
    <w:rsid w:val="007D4729"/>
    <w:rsid w:val="007D4D10"/>
    <w:rsid w:val="007D5C1E"/>
    <w:rsid w:val="007D5C8C"/>
    <w:rsid w:val="007D5D6A"/>
    <w:rsid w:val="007D72F6"/>
    <w:rsid w:val="007D7734"/>
    <w:rsid w:val="007D7D1A"/>
    <w:rsid w:val="007E04AB"/>
    <w:rsid w:val="007E0602"/>
    <w:rsid w:val="007E091E"/>
    <w:rsid w:val="007E0AD6"/>
    <w:rsid w:val="007E10F6"/>
    <w:rsid w:val="007E1264"/>
    <w:rsid w:val="007E12DE"/>
    <w:rsid w:val="007E13C1"/>
    <w:rsid w:val="007E13DE"/>
    <w:rsid w:val="007E1A37"/>
    <w:rsid w:val="007E2883"/>
    <w:rsid w:val="007E2C40"/>
    <w:rsid w:val="007E3237"/>
    <w:rsid w:val="007E3F4D"/>
    <w:rsid w:val="007E44E2"/>
    <w:rsid w:val="007E46E7"/>
    <w:rsid w:val="007E483D"/>
    <w:rsid w:val="007E4977"/>
    <w:rsid w:val="007E4BD2"/>
    <w:rsid w:val="007E60C7"/>
    <w:rsid w:val="007E62D5"/>
    <w:rsid w:val="007E7588"/>
    <w:rsid w:val="007E7891"/>
    <w:rsid w:val="007E794A"/>
    <w:rsid w:val="007F0596"/>
    <w:rsid w:val="007F0933"/>
    <w:rsid w:val="007F0F45"/>
    <w:rsid w:val="007F121E"/>
    <w:rsid w:val="007F12E6"/>
    <w:rsid w:val="007F13CE"/>
    <w:rsid w:val="007F2561"/>
    <w:rsid w:val="007F2880"/>
    <w:rsid w:val="007F2C57"/>
    <w:rsid w:val="007F2FE5"/>
    <w:rsid w:val="007F3073"/>
    <w:rsid w:val="007F3339"/>
    <w:rsid w:val="007F3EAA"/>
    <w:rsid w:val="007F40CE"/>
    <w:rsid w:val="007F4943"/>
    <w:rsid w:val="007F4BC3"/>
    <w:rsid w:val="007F6698"/>
    <w:rsid w:val="007F675C"/>
    <w:rsid w:val="007F6801"/>
    <w:rsid w:val="007F6B09"/>
    <w:rsid w:val="007F6F4D"/>
    <w:rsid w:val="007F7121"/>
    <w:rsid w:val="007F73AA"/>
    <w:rsid w:val="007F7719"/>
    <w:rsid w:val="007F79C5"/>
    <w:rsid w:val="007F7A9F"/>
    <w:rsid w:val="007F7D91"/>
    <w:rsid w:val="007F7DDF"/>
    <w:rsid w:val="00800C3A"/>
    <w:rsid w:val="00800CA7"/>
    <w:rsid w:val="00801393"/>
    <w:rsid w:val="00801741"/>
    <w:rsid w:val="00801885"/>
    <w:rsid w:val="00802146"/>
    <w:rsid w:val="008024C8"/>
    <w:rsid w:val="00802C91"/>
    <w:rsid w:val="00802F88"/>
    <w:rsid w:val="008033D5"/>
    <w:rsid w:val="008034C4"/>
    <w:rsid w:val="0080375D"/>
    <w:rsid w:val="0080392C"/>
    <w:rsid w:val="00803C32"/>
    <w:rsid w:val="00803DB9"/>
    <w:rsid w:val="008041F4"/>
    <w:rsid w:val="00805037"/>
    <w:rsid w:val="0080517F"/>
    <w:rsid w:val="00805256"/>
    <w:rsid w:val="00805784"/>
    <w:rsid w:val="008064F4"/>
    <w:rsid w:val="00807109"/>
    <w:rsid w:val="00807E7D"/>
    <w:rsid w:val="0081057C"/>
    <w:rsid w:val="00810A14"/>
    <w:rsid w:val="00811314"/>
    <w:rsid w:val="008113D1"/>
    <w:rsid w:val="008114A3"/>
    <w:rsid w:val="00811A85"/>
    <w:rsid w:val="00812750"/>
    <w:rsid w:val="008127BC"/>
    <w:rsid w:val="0081293E"/>
    <w:rsid w:val="0081310F"/>
    <w:rsid w:val="008136B2"/>
    <w:rsid w:val="008136FA"/>
    <w:rsid w:val="00814420"/>
    <w:rsid w:val="008147FB"/>
    <w:rsid w:val="00815465"/>
    <w:rsid w:val="0081551F"/>
    <w:rsid w:val="0081553E"/>
    <w:rsid w:val="008159F3"/>
    <w:rsid w:val="00815A79"/>
    <w:rsid w:val="00815BF1"/>
    <w:rsid w:val="00815C15"/>
    <w:rsid w:val="00816246"/>
    <w:rsid w:val="00816B2E"/>
    <w:rsid w:val="00816EB8"/>
    <w:rsid w:val="00817E9A"/>
    <w:rsid w:val="00817FEE"/>
    <w:rsid w:val="008201D7"/>
    <w:rsid w:val="0082086C"/>
    <w:rsid w:val="00820FB3"/>
    <w:rsid w:val="00821003"/>
    <w:rsid w:val="008217BF"/>
    <w:rsid w:val="00821850"/>
    <w:rsid w:val="0082201C"/>
    <w:rsid w:val="00822B59"/>
    <w:rsid w:val="00822EBC"/>
    <w:rsid w:val="00823066"/>
    <w:rsid w:val="00823577"/>
    <w:rsid w:val="00823EFF"/>
    <w:rsid w:val="0082416A"/>
    <w:rsid w:val="00824B8D"/>
    <w:rsid w:val="008258B1"/>
    <w:rsid w:val="00826841"/>
    <w:rsid w:val="008268C7"/>
    <w:rsid w:val="00827B63"/>
    <w:rsid w:val="00830004"/>
    <w:rsid w:val="008300B9"/>
    <w:rsid w:val="00830235"/>
    <w:rsid w:val="008302D5"/>
    <w:rsid w:val="00830493"/>
    <w:rsid w:val="0083062C"/>
    <w:rsid w:val="008306BD"/>
    <w:rsid w:val="008319B9"/>
    <w:rsid w:val="00831A80"/>
    <w:rsid w:val="00831AAE"/>
    <w:rsid w:val="00831B3B"/>
    <w:rsid w:val="00831EBD"/>
    <w:rsid w:val="008320CA"/>
    <w:rsid w:val="008322E6"/>
    <w:rsid w:val="008322F2"/>
    <w:rsid w:val="00832EAB"/>
    <w:rsid w:val="00833460"/>
    <w:rsid w:val="00833743"/>
    <w:rsid w:val="00833FAD"/>
    <w:rsid w:val="008340A4"/>
    <w:rsid w:val="008340AD"/>
    <w:rsid w:val="008340CB"/>
    <w:rsid w:val="008349CD"/>
    <w:rsid w:val="00834EAC"/>
    <w:rsid w:val="00835422"/>
    <w:rsid w:val="00835546"/>
    <w:rsid w:val="0083578C"/>
    <w:rsid w:val="00836057"/>
    <w:rsid w:val="0083630B"/>
    <w:rsid w:val="00836B07"/>
    <w:rsid w:val="00836D0A"/>
    <w:rsid w:val="00837193"/>
    <w:rsid w:val="00840E7A"/>
    <w:rsid w:val="008417B1"/>
    <w:rsid w:val="00842416"/>
    <w:rsid w:val="008424CE"/>
    <w:rsid w:val="00842704"/>
    <w:rsid w:val="008427E8"/>
    <w:rsid w:val="00842A59"/>
    <w:rsid w:val="00843CAA"/>
    <w:rsid w:val="00843EE7"/>
    <w:rsid w:val="0084475F"/>
    <w:rsid w:val="00844AA5"/>
    <w:rsid w:val="00844E66"/>
    <w:rsid w:val="00845014"/>
    <w:rsid w:val="0084522D"/>
    <w:rsid w:val="00845B83"/>
    <w:rsid w:val="00846E27"/>
    <w:rsid w:val="00847B69"/>
    <w:rsid w:val="00847B7D"/>
    <w:rsid w:val="00847C75"/>
    <w:rsid w:val="00847D88"/>
    <w:rsid w:val="0085026B"/>
    <w:rsid w:val="0085027B"/>
    <w:rsid w:val="008504F3"/>
    <w:rsid w:val="0085067A"/>
    <w:rsid w:val="00850702"/>
    <w:rsid w:val="00850C8B"/>
    <w:rsid w:val="00851468"/>
    <w:rsid w:val="00851DF0"/>
    <w:rsid w:val="008524F2"/>
    <w:rsid w:val="00853221"/>
    <w:rsid w:val="0085385C"/>
    <w:rsid w:val="00853B9D"/>
    <w:rsid w:val="00854503"/>
    <w:rsid w:val="0085481D"/>
    <w:rsid w:val="0085488A"/>
    <w:rsid w:val="0085545C"/>
    <w:rsid w:val="00855C2E"/>
    <w:rsid w:val="00856608"/>
    <w:rsid w:val="008576A2"/>
    <w:rsid w:val="008576EB"/>
    <w:rsid w:val="00857932"/>
    <w:rsid w:val="008604BA"/>
    <w:rsid w:val="0086056D"/>
    <w:rsid w:val="008615FF"/>
    <w:rsid w:val="0086168A"/>
    <w:rsid w:val="008616A3"/>
    <w:rsid w:val="0086182B"/>
    <w:rsid w:val="00861B34"/>
    <w:rsid w:val="008627E7"/>
    <w:rsid w:val="00862CD5"/>
    <w:rsid w:val="00862D3E"/>
    <w:rsid w:val="00862FBC"/>
    <w:rsid w:val="00863309"/>
    <w:rsid w:val="0086333C"/>
    <w:rsid w:val="0086381F"/>
    <w:rsid w:val="00863856"/>
    <w:rsid w:val="00863907"/>
    <w:rsid w:val="00863A92"/>
    <w:rsid w:val="00863EFC"/>
    <w:rsid w:val="00864137"/>
    <w:rsid w:val="00864824"/>
    <w:rsid w:val="00864A56"/>
    <w:rsid w:val="00864BDB"/>
    <w:rsid w:val="00865466"/>
    <w:rsid w:val="00865A5E"/>
    <w:rsid w:val="00865EE7"/>
    <w:rsid w:val="00866115"/>
    <w:rsid w:val="00866328"/>
    <w:rsid w:val="008663D1"/>
    <w:rsid w:val="0086646D"/>
    <w:rsid w:val="0087024A"/>
    <w:rsid w:val="00870996"/>
    <w:rsid w:val="00870E45"/>
    <w:rsid w:val="00870FE4"/>
    <w:rsid w:val="0087127A"/>
    <w:rsid w:val="008712CE"/>
    <w:rsid w:val="0087135F"/>
    <w:rsid w:val="008718F1"/>
    <w:rsid w:val="00871B67"/>
    <w:rsid w:val="00871BBD"/>
    <w:rsid w:val="00871BF8"/>
    <w:rsid w:val="00871C33"/>
    <w:rsid w:val="00871DFB"/>
    <w:rsid w:val="00872014"/>
    <w:rsid w:val="00872794"/>
    <w:rsid w:val="008729C3"/>
    <w:rsid w:val="00872CA3"/>
    <w:rsid w:val="00872D94"/>
    <w:rsid w:val="0087417F"/>
    <w:rsid w:val="008742CC"/>
    <w:rsid w:val="00874DC2"/>
    <w:rsid w:val="00875315"/>
    <w:rsid w:val="00875415"/>
    <w:rsid w:val="00875696"/>
    <w:rsid w:val="0087582F"/>
    <w:rsid w:val="00875D07"/>
    <w:rsid w:val="00876312"/>
    <w:rsid w:val="008769EC"/>
    <w:rsid w:val="0087718A"/>
    <w:rsid w:val="008773C0"/>
    <w:rsid w:val="00877E1F"/>
    <w:rsid w:val="00880343"/>
    <w:rsid w:val="00880364"/>
    <w:rsid w:val="00880465"/>
    <w:rsid w:val="008811AD"/>
    <w:rsid w:val="0088123B"/>
    <w:rsid w:val="00881A45"/>
    <w:rsid w:val="00881C2B"/>
    <w:rsid w:val="00881DD5"/>
    <w:rsid w:val="00882927"/>
    <w:rsid w:val="00883225"/>
    <w:rsid w:val="00883A85"/>
    <w:rsid w:val="00883E41"/>
    <w:rsid w:val="00883F05"/>
    <w:rsid w:val="00884416"/>
    <w:rsid w:val="008847E1"/>
    <w:rsid w:val="00884854"/>
    <w:rsid w:val="008850DC"/>
    <w:rsid w:val="00885412"/>
    <w:rsid w:val="00885CD7"/>
    <w:rsid w:val="008861DC"/>
    <w:rsid w:val="00886A31"/>
    <w:rsid w:val="00887063"/>
    <w:rsid w:val="008870DE"/>
    <w:rsid w:val="00887777"/>
    <w:rsid w:val="00887F91"/>
    <w:rsid w:val="00890198"/>
    <w:rsid w:val="0089051F"/>
    <w:rsid w:val="00890804"/>
    <w:rsid w:val="00890966"/>
    <w:rsid w:val="008911A7"/>
    <w:rsid w:val="00891592"/>
    <w:rsid w:val="0089177B"/>
    <w:rsid w:val="00891E9E"/>
    <w:rsid w:val="00892243"/>
    <w:rsid w:val="0089226C"/>
    <w:rsid w:val="0089273D"/>
    <w:rsid w:val="0089308D"/>
    <w:rsid w:val="00893E18"/>
    <w:rsid w:val="00893EC2"/>
    <w:rsid w:val="008949DB"/>
    <w:rsid w:val="00894E9D"/>
    <w:rsid w:val="008959F2"/>
    <w:rsid w:val="00895D84"/>
    <w:rsid w:val="008967A0"/>
    <w:rsid w:val="008969AE"/>
    <w:rsid w:val="00896A2C"/>
    <w:rsid w:val="00896A87"/>
    <w:rsid w:val="00896D19"/>
    <w:rsid w:val="00897154"/>
    <w:rsid w:val="0089767D"/>
    <w:rsid w:val="008A0A95"/>
    <w:rsid w:val="008A0C48"/>
    <w:rsid w:val="008A1051"/>
    <w:rsid w:val="008A1250"/>
    <w:rsid w:val="008A1386"/>
    <w:rsid w:val="008A13E4"/>
    <w:rsid w:val="008A1590"/>
    <w:rsid w:val="008A194F"/>
    <w:rsid w:val="008A1F1A"/>
    <w:rsid w:val="008A26A8"/>
    <w:rsid w:val="008A2F68"/>
    <w:rsid w:val="008A2F95"/>
    <w:rsid w:val="008A3950"/>
    <w:rsid w:val="008A4513"/>
    <w:rsid w:val="008A5004"/>
    <w:rsid w:val="008A5891"/>
    <w:rsid w:val="008A6411"/>
    <w:rsid w:val="008A67EA"/>
    <w:rsid w:val="008A6D62"/>
    <w:rsid w:val="008A708C"/>
    <w:rsid w:val="008A7C89"/>
    <w:rsid w:val="008A7D8C"/>
    <w:rsid w:val="008B06FF"/>
    <w:rsid w:val="008B0B46"/>
    <w:rsid w:val="008B1A5A"/>
    <w:rsid w:val="008B1C05"/>
    <w:rsid w:val="008B1CA9"/>
    <w:rsid w:val="008B1F0D"/>
    <w:rsid w:val="008B2A74"/>
    <w:rsid w:val="008B2B7E"/>
    <w:rsid w:val="008B2D6C"/>
    <w:rsid w:val="008B3113"/>
    <w:rsid w:val="008B381E"/>
    <w:rsid w:val="008B39D9"/>
    <w:rsid w:val="008B4741"/>
    <w:rsid w:val="008B49C6"/>
    <w:rsid w:val="008B4C1E"/>
    <w:rsid w:val="008B4FA6"/>
    <w:rsid w:val="008B5282"/>
    <w:rsid w:val="008B5E1C"/>
    <w:rsid w:val="008B5E20"/>
    <w:rsid w:val="008B6C49"/>
    <w:rsid w:val="008B731B"/>
    <w:rsid w:val="008B7787"/>
    <w:rsid w:val="008B7924"/>
    <w:rsid w:val="008B7C17"/>
    <w:rsid w:val="008C006B"/>
    <w:rsid w:val="008C09B2"/>
    <w:rsid w:val="008C0E8A"/>
    <w:rsid w:val="008C12D7"/>
    <w:rsid w:val="008C1AF2"/>
    <w:rsid w:val="008C2D01"/>
    <w:rsid w:val="008C3164"/>
    <w:rsid w:val="008C37C7"/>
    <w:rsid w:val="008C39C0"/>
    <w:rsid w:val="008C3CE7"/>
    <w:rsid w:val="008C40E6"/>
    <w:rsid w:val="008C415B"/>
    <w:rsid w:val="008C4606"/>
    <w:rsid w:val="008C46E5"/>
    <w:rsid w:val="008C56E0"/>
    <w:rsid w:val="008C5FD4"/>
    <w:rsid w:val="008C6470"/>
    <w:rsid w:val="008C6A1A"/>
    <w:rsid w:val="008C6ECC"/>
    <w:rsid w:val="008C7012"/>
    <w:rsid w:val="008C70A4"/>
    <w:rsid w:val="008C76FF"/>
    <w:rsid w:val="008C7F7A"/>
    <w:rsid w:val="008C7F82"/>
    <w:rsid w:val="008D04A2"/>
    <w:rsid w:val="008D058A"/>
    <w:rsid w:val="008D0A58"/>
    <w:rsid w:val="008D0D2B"/>
    <w:rsid w:val="008D0F7A"/>
    <w:rsid w:val="008D1731"/>
    <w:rsid w:val="008D19F9"/>
    <w:rsid w:val="008D1A1D"/>
    <w:rsid w:val="008D1CF3"/>
    <w:rsid w:val="008D1E23"/>
    <w:rsid w:val="008D217D"/>
    <w:rsid w:val="008D2816"/>
    <w:rsid w:val="008D33EC"/>
    <w:rsid w:val="008D3EE1"/>
    <w:rsid w:val="008D4211"/>
    <w:rsid w:val="008D4EF8"/>
    <w:rsid w:val="008D5072"/>
    <w:rsid w:val="008D5433"/>
    <w:rsid w:val="008D5515"/>
    <w:rsid w:val="008D64A8"/>
    <w:rsid w:val="008D68E4"/>
    <w:rsid w:val="008D731E"/>
    <w:rsid w:val="008D7DD5"/>
    <w:rsid w:val="008E031F"/>
    <w:rsid w:val="008E03DB"/>
    <w:rsid w:val="008E043E"/>
    <w:rsid w:val="008E0506"/>
    <w:rsid w:val="008E0CFF"/>
    <w:rsid w:val="008E10A1"/>
    <w:rsid w:val="008E164C"/>
    <w:rsid w:val="008E1671"/>
    <w:rsid w:val="008E1CA7"/>
    <w:rsid w:val="008E25E4"/>
    <w:rsid w:val="008E2A6A"/>
    <w:rsid w:val="008E2B3E"/>
    <w:rsid w:val="008E2C4A"/>
    <w:rsid w:val="008E30C6"/>
    <w:rsid w:val="008E37A9"/>
    <w:rsid w:val="008E3B80"/>
    <w:rsid w:val="008E3E89"/>
    <w:rsid w:val="008E40A6"/>
    <w:rsid w:val="008E4510"/>
    <w:rsid w:val="008E534A"/>
    <w:rsid w:val="008E5540"/>
    <w:rsid w:val="008E55DF"/>
    <w:rsid w:val="008E5D6B"/>
    <w:rsid w:val="008E6200"/>
    <w:rsid w:val="008E6273"/>
    <w:rsid w:val="008E62FE"/>
    <w:rsid w:val="008E6425"/>
    <w:rsid w:val="008E697B"/>
    <w:rsid w:val="008E6F29"/>
    <w:rsid w:val="008E6F73"/>
    <w:rsid w:val="008E76F0"/>
    <w:rsid w:val="008F050F"/>
    <w:rsid w:val="008F07D0"/>
    <w:rsid w:val="008F15FE"/>
    <w:rsid w:val="008F1BDE"/>
    <w:rsid w:val="008F1D1E"/>
    <w:rsid w:val="008F1F92"/>
    <w:rsid w:val="008F2093"/>
    <w:rsid w:val="008F2A6C"/>
    <w:rsid w:val="008F2D29"/>
    <w:rsid w:val="008F2D7A"/>
    <w:rsid w:val="008F39D8"/>
    <w:rsid w:val="008F3DA1"/>
    <w:rsid w:val="008F41CF"/>
    <w:rsid w:val="008F4555"/>
    <w:rsid w:val="008F472A"/>
    <w:rsid w:val="008F4A1F"/>
    <w:rsid w:val="008F5187"/>
    <w:rsid w:val="008F5261"/>
    <w:rsid w:val="008F565B"/>
    <w:rsid w:val="008F5ACC"/>
    <w:rsid w:val="008F5D38"/>
    <w:rsid w:val="008F60D8"/>
    <w:rsid w:val="008F68F2"/>
    <w:rsid w:val="008F6B56"/>
    <w:rsid w:val="008F6BEE"/>
    <w:rsid w:val="008F7002"/>
    <w:rsid w:val="008F70EE"/>
    <w:rsid w:val="008F7280"/>
    <w:rsid w:val="008F7468"/>
    <w:rsid w:val="008F78E2"/>
    <w:rsid w:val="008F7967"/>
    <w:rsid w:val="008F7F1A"/>
    <w:rsid w:val="0090219C"/>
    <w:rsid w:val="00902360"/>
    <w:rsid w:val="00902727"/>
    <w:rsid w:val="009029FA"/>
    <w:rsid w:val="00902D61"/>
    <w:rsid w:val="00902D99"/>
    <w:rsid w:val="00902FE4"/>
    <w:rsid w:val="00903107"/>
    <w:rsid w:val="0090312B"/>
    <w:rsid w:val="0090358B"/>
    <w:rsid w:val="00903600"/>
    <w:rsid w:val="00903CFB"/>
    <w:rsid w:val="0090407B"/>
    <w:rsid w:val="009040D5"/>
    <w:rsid w:val="0090437F"/>
    <w:rsid w:val="00904C04"/>
    <w:rsid w:val="00904D22"/>
    <w:rsid w:val="00904F5C"/>
    <w:rsid w:val="00905048"/>
    <w:rsid w:val="009051D7"/>
    <w:rsid w:val="009052BF"/>
    <w:rsid w:val="00905472"/>
    <w:rsid w:val="009056CD"/>
    <w:rsid w:val="0090595B"/>
    <w:rsid w:val="0090644E"/>
    <w:rsid w:val="00906AF7"/>
    <w:rsid w:val="00906CB4"/>
    <w:rsid w:val="009079A6"/>
    <w:rsid w:val="00910045"/>
    <w:rsid w:val="00910368"/>
    <w:rsid w:val="0091065D"/>
    <w:rsid w:val="009107C9"/>
    <w:rsid w:val="00910886"/>
    <w:rsid w:val="00910A46"/>
    <w:rsid w:val="00910ADD"/>
    <w:rsid w:val="00910FAB"/>
    <w:rsid w:val="0091113B"/>
    <w:rsid w:val="0091134E"/>
    <w:rsid w:val="0091147A"/>
    <w:rsid w:val="009116D1"/>
    <w:rsid w:val="009118D2"/>
    <w:rsid w:val="00911B1C"/>
    <w:rsid w:val="0091269E"/>
    <w:rsid w:val="00912720"/>
    <w:rsid w:val="00912CFC"/>
    <w:rsid w:val="00912DC1"/>
    <w:rsid w:val="00912F90"/>
    <w:rsid w:val="00913221"/>
    <w:rsid w:val="00913A19"/>
    <w:rsid w:val="00914148"/>
    <w:rsid w:val="009149CC"/>
    <w:rsid w:val="00914C48"/>
    <w:rsid w:val="00914FF6"/>
    <w:rsid w:val="009153A8"/>
    <w:rsid w:val="009153C2"/>
    <w:rsid w:val="00915664"/>
    <w:rsid w:val="00915AFD"/>
    <w:rsid w:val="00915B7A"/>
    <w:rsid w:val="00915C7A"/>
    <w:rsid w:val="00916D58"/>
    <w:rsid w:val="0091736D"/>
    <w:rsid w:val="00917DB0"/>
    <w:rsid w:val="00920107"/>
    <w:rsid w:val="009204D2"/>
    <w:rsid w:val="00920593"/>
    <w:rsid w:val="00920A75"/>
    <w:rsid w:val="00921119"/>
    <w:rsid w:val="00921F70"/>
    <w:rsid w:val="00922C52"/>
    <w:rsid w:val="00922CE4"/>
    <w:rsid w:val="00922FF8"/>
    <w:rsid w:val="0092427F"/>
    <w:rsid w:val="009245FD"/>
    <w:rsid w:val="009247FE"/>
    <w:rsid w:val="00924B64"/>
    <w:rsid w:val="00924D73"/>
    <w:rsid w:val="00924D87"/>
    <w:rsid w:val="00924DDD"/>
    <w:rsid w:val="009258D9"/>
    <w:rsid w:val="009261B9"/>
    <w:rsid w:val="009264A2"/>
    <w:rsid w:val="0092697E"/>
    <w:rsid w:val="00926DB1"/>
    <w:rsid w:val="009276D5"/>
    <w:rsid w:val="009278DD"/>
    <w:rsid w:val="00927ABC"/>
    <w:rsid w:val="00927C91"/>
    <w:rsid w:val="00927D6C"/>
    <w:rsid w:val="0093021C"/>
    <w:rsid w:val="0093037A"/>
    <w:rsid w:val="0093043D"/>
    <w:rsid w:val="00930589"/>
    <w:rsid w:val="009305EB"/>
    <w:rsid w:val="00930665"/>
    <w:rsid w:val="009306E9"/>
    <w:rsid w:val="009307DE"/>
    <w:rsid w:val="00930FA9"/>
    <w:rsid w:val="00931004"/>
    <w:rsid w:val="00931254"/>
    <w:rsid w:val="00931A60"/>
    <w:rsid w:val="00931BCA"/>
    <w:rsid w:val="00931D5E"/>
    <w:rsid w:val="009328F3"/>
    <w:rsid w:val="00932B4E"/>
    <w:rsid w:val="009331FC"/>
    <w:rsid w:val="00934024"/>
    <w:rsid w:val="009340D1"/>
    <w:rsid w:val="00934C50"/>
    <w:rsid w:val="00935378"/>
    <w:rsid w:val="0093544D"/>
    <w:rsid w:val="0093615B"/>
    <w:rsid w:val="009362A4"/>
    <w:rsid w:val="0093655F"/>
    <w:rsid w:val="00936DD9"/>
    <w:rsid w:val="00937859"/>
    <w:rsid w:val="009401F5"/>
    <w:rsid w:val="009403B0"/>
    <w:rsid w:val="00940CC6"/>
    <w:rsid w:val="00940E2E"/>
    <w:rsid w:val="00940F04"/>
    <w:rsid w:val="0094154D"/>
    <w:rsid w:val="00941C1C"/>
    <w:rsid w:val="009421FC"/>
    <w:rsid w:val="0094247E"/>
    <w:rsid w:val="009424D7"/>
    <w:rsid w:val="0094278E"/>
    <w:rsid w:val="00942940"/>
    <w:rsid w:val="00942C26"/>
    <w:rsid w:val="0094332A"/>
    <w:rsid w:val="0094363C"/>
    <w:rsid w:val="009436F7"/>
    <w:rsid w:val="0094387D"/>
    <w:rsid w:val="00943883"/>
    <w:rsid w:val="00943B42"/>
    <w:rsid w:val="00943BDD"/>
    <w:rsid w:val="00943FEA"/>
    <w:rsid w:val="009442FC"/>
    <w:rsid w:val="00944531"/>
    <w:rsid w:val="00944C81"/>
    <w:rsid w:val="00944E93"/>
    <w:rsid w:val="009456FF"/>
    <w:rsid w:val="00945B8E"/>
    <w:rsid w:val="00945C0D"/>
    <w:rsid w:val="00946158"/>
    <w:rsid w:val="009464C0"/>
    <w:rsid w:val="00946BDF"/>
    <w:rsid w:val="00946E7D"/>
    <w:rsid w:val="00946ED1"/>
    <w:rsid w:val="009504D3"/>
    <w:rsid w:val="00950890"/>
    <w:rsid w:val="00950D0D"/>
    <w:rsid w:val="009510C9"/>
    <w:rsid w:val="0095155F"/>
    <w:rsid w:val="00951883"/>
    <w:rsid w:val="00951F11"/>
    <w:rsid w:val="00952030"/>
    <w:rsid w:val="00952706"/>
    <w:rsid w:val="00952D0F"/>
    <w:rsid w:val="00952DC1"/>
    <w:rsid w:val="009538A3"/>
    <w:rsid w:val="00954429"/>
    <w:rsid w:val="00954957"/>
    <w:rsid w:val="009552B5"/>
    <w:rsid w:val="009553DB"/>
    <w:rsid w:val="009556A1"/>
    <w:rsid w:val="00956316"/>
    <w:rsid w:val="009563CE"/>
    <w:rsid w:val="0095640A"/>
    <w:rsid w:val="00956DCB"/>
    <w:rsid w:val="00956F23"/>
    <w:rsid w:val="009570CC"/>
    <w:rsid w:val="0095726E"/>
    <w:rsid w:val="00957569"/>
    <w:rsid w:val="00957777"/>
    <w:rsid w:val="00957B4B"/>
    <w:rsid w:val="00960A87"/>
    <w:rsid w:val="00960ED2"/>
    <w:rsid w:val="00961B81"/>
    <w:rsid w:val="00961DC8"/>
    <w:rsid w:val="00961FF3"/>
    <w:rsid w:val="0096203A"/>
    <w:rsid w:val="00962B15"/>
    <w:rsid w:val="00962E13"/>
    <w:rsid w:val="0096342A"/>
    <w:rsid w:val="00963D16"/>
    <w:rsid w:val="009640F7"/>
    <w:rsid w:val="009643A8"/>
    <w:rsid w:val="00965186"/>
    <w:rsid w:val="009669E9"/>
    <w:rsid w:val="00966BDC"/>
    <w:rsid w:val="00966E3A"/>
    <w:rsid w:val="00967241"/>
    <w:rsid w:val="00967CD0"/>
    <w:rsid w:val="0097033F"/>
    <w:rsid w:val="00970743"/>
    <w:rsid w:val="00970950"/>
    <w:rsid w:val="00970C38"/>
    <w:rsid w:val="00971B1A"/>
    <w:rsid w:val="009727C8"/>
    <w:rsid w:val="009730BD"/>
    <w:rsid w:val="00973780"/>
    <w:rsid w:val="0097381E"/>
    <w:rsid w:val="00973990"/>
    <w:rsid w:val="00973C7B"/>
    <w:rsid w:val="00974FF3"/>
    <w:rsid w:val="0097563E"/>
    <w:rsid w:val="00975987"/>
    <w:rsid w:val="00975CB2"/>
    <w:rsid w:val="00975CD5"/>
    <w:rsid w:val="00976328"/>
    <w:rsid w:val="009764AE"/>
    <w:rsid w:val="0097680D"/>
    <w:rsid w:val="0097691E"/>
    <w:rsid w:val="009769B2"/>
    <w:rsid w:val="00977064"/>
    <w:rsid w:val="00977289"/>
    <w:rsid w:val="0097751E"/>
    <w:rsid w:val="00977691"/>
    <w:rsid w:val="009778A9"/>
    <w:rsid w:val="00977B18"/>
    <w:rsid w:val="00980121"/>
    <w:rsid w:val="00980335"/>
    <w:rsid w:val="0098084A"/>
    <w:rsid w:val="00980A23"/>
    <w:rsid w:val="00980EC1"/>
    <w:rsid w:val="00980FEA"/>
    <w:rsid w:val="009817A1"/>
    <w:rsid w:val="00981CA7"/>
    <w:rsid w:val="00982438"/>
    <w:rsid w:val="009827F4"/>
    <w:rsid w:val="00982862"/>
    <w:rsid w:val="0098286F"/>
    <w:rsid w:val="00982A29"/>
    <w:rsid w:val="00982F4C"/>
    <w:rsid w:val="009832F3"/>
    <w:rsid w:val="00983340"/>
    <w:rsid w:val="0098404C"/>
    <w:rsid w:val="009841BA"/>
    <w:rsid w:val="0098475C"/>
    <w:rsid w:val="00984A34"/>
    <w:rsid w:val="00984AAD"/>
    <w:rsid w:val="00984C8B"/>
    <w:rsid w:val="00985283"/>
    <w:rsid w:val="009854EA"/>
    <w:rsid w:val="009857C6"/>
    <w:rsid w:val="0098611F"/>
    <w:rsid w:val="0098625B"/>
    <w:rsid w:val="00986422"/>
    <w:rsid w:val="009866E4"/>
    <w:rsid w:val="009875B5"/>
    <w:rsid w:val="00987871"/>
    <w:rsid w:val="00987BEE"/>
    <w:rsid w:val="00987ECF"/>
    <w:rsid w:val="009903D1"/>
    <w:rsid w:val="00990574"/>
    <w:rsid w:val="00991409"/>
    <w:rsid w:val="009915AA"/>
    <w:rsid w:val="009924C3"/>
    <w:rsid w:val="0099264A"/>
    <w:rsid w:val="0099274F"/>
    <w:rsid w:val="0099354C"/>
    <w:rsid w:val="00993AA0"/>
    <w:rsid w:val="00993E7B"/>
    <w:rsid w:val="00993FDC"/>
    <w:rsid w:val="009940FF"/>
    <w:rsid w:val="00994923"/>
    <w:rsid w:val="00994F3F"/>
    <w:rsid w:val="009955A7"/>
    <w:rsid w:val="009955EC"/>
    <w:rsid w:val="00995992"/>
    <w:rsid w:val="00995AFB"/>
    <w:rsid w:val="00996778"/>
    <w:rsid w:val="009979E1"/>
    <w:rsid w:val="00997B42"/>
    <w:rsid w:val="00997EF1"/>
    <w:rsid w:val="00997F1C"/>
    <w:rsid w:val="009A02BE"/>
    <w:rsid w:val="009A03D6"/>
    <w:rsid w:val="009A03E5"/>
    <w:rsid w:val="009A03F5"/>
    <w:rsid w:val="009A0948"/>
    <w:rsid w:val="009A0F00"/>
    <w:rsid w:val="009A0F02"/>
    <w:rsid w:val="009A0F3B"/>
    <w:rsid w:val="009A144B"/>
    <w:rsid w:val="009A1BB4"/>
    <w:rsid w:val="009A2628"/>
    <w:rsid w:val="009A2A01"/>
    <w:rsid w:val="009A2E54"/>
    <w:rsid w:val="009A3200"/>
    <w:rsid w:val="009A3626"/>
    <w:rsid w:val="009A38B1"/>
    <w:rsid w:val="009A3911"/>
    <w:rsid w:val="009A3AE8"/>
    <w:rsid w:val="009A3B32"/>
    <w:rsid w:val="009A40DF"/>
    <w:rsid w:val="009A4624"/>
    <w:rsid w:val="009A47F9"/>
    <w:rsid w:val="009A4AF2"/>
    <w:rsid w:val="009A535B"/>
    <w:rsid w:val="009A554A"/>
    <w:rsid w:val="009A568B"/>
    <w:rsid w:val="009A5C48"/>
    <w:rsid w:val="009A5FB0"/>
    <w:rsid w:val="009A64F5"/>
    <w:rsid w:val="009A6643"/>
    <w:rsid w:val="009A6DC6"/>
    <w:rsid w:val="009A770D"/>
    <w:rsid w:val="009A7E05"/>
    <w:rsid w:val="009A7EE7"/>
    <w:rsid w:val="009B01D7"/>
    <w:rsid w:val="009B086A"/>
    <w:rsid w:val="009B0897"/>
    <w:rsid w:val="009B0C1F"/>
    <w:rsid w:val="009B0E03"/>
    <w:rsid w:val="009B156A"/>
    <w:rsid w:val="009B1B30"/>
    <w:rsid w:val="009B201B"/>
    <w:rsid w:val="009B2E93"/>
    <w:rsid w:val="009B325C"/>
    <w:rsid w:val="009B3815"/>
    <w:rsid w:val="009B39C4"/>
    <w:rsid w:val="009B3F5E"/>
    <w:rsid w:val="009B41A4"/>
    <w:rsid w:val="009B4373"/>
    <w:rsid w:val="009B437F"/>
    <w:rsid w:val="009B4A30"/>
    <w:rsid w:val="009B4BF6"/>
    <w:rsid w:val="009B6B84"/>
    <w:rsid w:val="009B6C6E"/>
    <w:rsid w:val="009B6EDC"/>
    <w:rsid w:val="009B706C"/>
    <w:rsid w:val="009B7497"/>
    <w:rsid w:val="009B78F5"/>
    <w:rsid w:val="009B7BD9"/>
    <w:rsid w:val="009B7F3A"/>
    <w:rsid w:val="009C0870"/>
    <w:rsid w:val="009C0D9F"/>
    <w:rsid w:val="009C0EEB"/>
    <w:rsid w:val="009C107D"/>
    <w:rsid w:val="009C1540"/>
    <w:rsid w:val="009C2886"/>
    <w:rsid w:val="009C32EE"/>
    <w:rsid w:val="009C36FE"/>
    <w:rsid w:val="009C3ECB"/>
    <w:rsid w:val="009C4276"/>
    <w:rsid w:val="009C4394"/>
    <w:rsid w:val="009C462A"/>
    <w:rsid w:val="009C520F"/>
    <w:rsid w:val="009C5AA8"/>
    <w:rsid w:val="009C6006"/>
    <w:rsid w:val="009C791B"/>
    <w:rsid w:val="009C7DB2"/>
    <w:rsid w:val="009C7DD5"/>
    <w:rsid w:val="009D007F"/>
    <w:rsid w:val="009D0430"/>
    <w:rsid w:val="009D0D77"/>
    <w:rsid w:val="009D0EDF"/>
    <w:rsid w:val="009D2685"/>
    <w:rsid w:val="009D2FE9"/>
    <w:rsid w:val="009D3136"/>
    <w:rsid w:val="009D3719"/>
    <w:rsid w:val="009D3D35"/>
    <w:rsid w:val="009D439F"/>
    <w:rsid w:val="009D47AA"/>
    <w:rsid w:val="009D4C9E"/>
    <w:rsid w:val="009D54EF"/>
    <w:rsid w:val="009D5614"/>
    <w:rsid w:val="009D5BE3"/>
    <w:rsid w:val="009D5BEF"/>
    <w:rsid w:val="009D605A"/>
    <w:rsid w:val="009D63CA"/>
    <w:rsid w:val="009D6D41"/>
    <w:rsid w:val="009D6FAD"/>
    <w:rsid w:val="009D721D"/>
    <w:rsid w:val="009D75D1"/>
    <w:rsid w:val="009E0B53"/>
    <w:rsid w:val="009E0F19"/>
    <w:rsid w:val="009E1767"/>
    <w:rsid w:val="009E212D"/>
    <w:rsid w:val="009E227D"/>
    <w:rsid w:val="009E268A"/>
    <w:rsid w:val="009E2B2A"/>
    <w:rsid w:val="009E2BB3"/>
    <w:rsid w:val="009E38DA"/>
    <w:rsid w:val="009E3C02"/>
    <w:rsid w:val="009E41B9"/>
    <w:rsid w:val="009E42B8"/>
    <w:rsid w:val="009E444E"/>
    <w:rsid w:val="009E449D"/>
    <w:rsid w:val="009E5019"/>
    <w:rsid w:val="009E53F1"/>
    <w:rsid w:val="009E55C9"/>
    <w:rsid w:val="009E627D"/>
    <w:rsid w:val="009E6427"/>
    <w:rsid w:val="009E7DCC"/>
    <w:rsid w:val="009F0A91"/>
    <w:rsid w:val="009F0B77"/>
    <w:rsid w:val="009F0CDD"/>
    <w:rsid w:val="009F117B"/>
    <w:rsid w:val="009F1337"/>
    <w:rsid w:val="009F16DA"/>
    <w:rsid w:val="009F192A"/>
    <w:rsid w:val="009F213F"/>
    <w:rsid w:val="009F2615"/>
    <w:rsid w:val="009F2AD6"/>
    <w:rsid w:val="009F2CAF"/>
    <w:rsid w:val="009F2DC9"/>
    <w:rsid w:val="009F2E1F"/>
    <w:rsid w:val="009F2F66"/>
    <w:rsid w:val="009F3168"/>
    <w:rsid w:val="009F35E6"/>
    <w:rsid w:val="009F360F"/>
    <w:rsid w:val="009F3815"/>
    <w:rsid w:val="009F3E95"/>
    <w:rsid w:val="009F3FCB"/>
    <w:rsid w:val="009F407C"/>
    <w:rsid w:val="009F56AA"/>
    <w:rsid w:val="009F56F4"/>
    <w:rsid w:val="009F5A2E"/>
    <w:rsid w:val="009F5B02"/>
    <w:rsid w:val="009F6200"/>
    <w:rsid w:val="009F67A1"/>
    <w:rsid w:val="009F6A5E"/>
    <w:rsid w:val="009F6EFA"/>
    <w:rsid w:val="009F73B6"/>
    <w:rsid w:val="009F79C6"/>
    <w:rsid w:val="009F7E63"/>
    <w:rsid w:val="00A0003B"/>
    <w:rsid w:val="00A01428"/>
    <w:rsid w:val="00A014C0"/>
    <w:rsid w:val="00A01660"/>
    <w:rsid w:val="00A01BBE"/>
    <w:rsid w:val="00A01FE1"/>
    <w:rsid w:val="00A02064"/>
    <w:rsid w:val="00A022EC"/>
    <w:rsid w:val="00A02309"/>
    <w:rsid w:val="00A02C8E"/>
    <w:rsid w:val="00A02EA8"/>
    <w:rsid w:val="00A03881"/>
    <w:rsid w:val="00A03D8D"/>
    <w:rsid w:val="00A0402F"/>
    <w:rsid w:val="00A0450C"/>
    <w:rsid w:val="00A04F1B"/>
    <w:rsid w:val="00A0501B"/>
    <w:rsid w:val="00A05214"/>
    <w:rsid w:val="00A057B9"/>
    <w:rsid w:val="00A05AA5"/>
    <w:rsid w:val="00A05CB5"/>
    <w:rsid w:val="00A06616"/>
    <w:rsid w:val="00A06B79"/>
    <w:rsid w:val="00A06DC1"/>
    <w:rsid w:val="00A070D0"/>
    <w:rsid w:val="00A07652"/>
    <w:rsid w:val="00A0767B"/>
    <w:rsid w:val="00A07F89"/>
    <w:rsid w:val="00A1049D"/>
    <w:rsid w:val="00A10566"/>
    <w:rsid w:val="00A106F9"/>
    <w:rsid w:val="00A118C8"/>
    <w:rsid w:val="00A11B06"/>
    <w:rsid w:val="00A11E2F"/>
    <w:rsid w:val="00A12189"/>
    <w:rsid w:val="00A12566"/>
    <w:rsid w:val="00A12637"/>
    <w:rsid w:val="00A128CC"/>
    <w:rsid w:val="00A12A43"/>
    <w:rsid w:val="00A1443E"/>
    <w:rsid w:val="00A1458E"/>
    <w:rsid w:val="00A147E4"/>
    <w:rsid w:val="00A14947"/>
    <w:rsid w:val="00A14D9F"/>
    <w:rsid w:val="00A15158"/>
    <w:rsid w:val="00A15284"/>
    <w:rsid w:val="00A1552E"/>
    <w:rsid w:val="00A15A0D"/>
    <w:rsid w:val="00A15B32"/>
    <w:rsid w:val="00A15C6D"/>
    <w:rsid w:val="00A16DB4"/>
    <w:rsid w:val="00A16F3B"/>
    <w:rsid w:val="00A205CC"/>
    <w:rsid w:val="00A20A33"/>
    <w:rsid w:val="00A21872"/>
    <w:rsid w:val="00A219F5"/>
    <w:rsid w:val="00A21CA6"/>
    <w:rsid w:val="00A22931"/>
    <w:rsid w:val="00A229A7"/>
    <w:rsid w:val="00A22BCA"/>
    <w:rsid w:val="00A22BFC"/>
    <w:rsid w:val="00A232CC"/>
    <w:rsid w:val="00A23D19"/>
    <w:rsid w:val="00A24073"/>
    <w:rsid w:val="00A243AB"/>
    <w:rsid w:val="00A24C65"/>
    <w:rsid w:val="00A24EBB"/>
    <w:rsid w:val="00A25232"/>
    <w:rsid w:val="00A2634C"/>
    <w:rsid w:val="00A270BA"/>
    <w:rsid w:val="00A276AD"/>
    <w:rsid w:val="00A27985"/>
    <w:rsid w:val="00A3004F"/>
    <w:rsid w:val="00A30451"/>
    <w:rsid w:val="00A31459"/>
    <w:rsid w:val="00A31896"/>
    <w:rsid w:val="00A3195A"/>
    <w:rsid w:val="00A319C6"/>
    <w:rsid w:val="00A31CE8"/>
    <w:rsid w:val="00A31E97"/>
    <w:rsid w:val="00A32385"/>
    <w:rsid w:val="00A32A83"/>
    <w:rsid w:val="00A32B3A"/>
    <w:rsid w:val="00A32C10"/>
    <w:rsid w:val="00A33007"/>
    <w:rsid w:val="00A332FF"/>
    <w:rsid w:val="00A33F3B"/>
    <w:rsid w:val="00A34278"/>
    <w:rsid w:val="00A34347"/>
    <w:rsid w:val="00A344BA"/>
    <w:rsid w:val="00A346E3"/>
    <w:rsid w:val="00A34763"/>
    <w:rsid w:val="00A34827"/>
    <w:rsid w:val="00A34C69"/>
    <w:rsid w:val="00A351E1"/>
    <w:rsid w:val="00A35338"/>
    <w:rsid w:val="00A35484"/>
    <w:rsid w:val="00A36090"/>
    <w:rsid w:val="00A368DB"/>
    <w:rsid w:val="00A36D7B"/>
    <w:rsid w:val="00A36F68"/>
    <w:rsid w:val="00A3731C"/>
    <w:rsid w:val="00A3731D"/>
    <w:rsid w:val="00A37683"/>
    <w:rsid w:val="00A37918"/>
    <w:rsid w:val="00A37BFF"/>
    <w:rsid w:val="00A40870"/>
    <w:rsid w:val="00A41008"/>
    <w:rsid w:val="00A41172"/>
    <w:rsid w:val="00A4165A"/>
    <w:rsid w:val="00A423AA"/>
    <w:rsid w:val="00A43D77"/>
    <w:rsid w:val="00A44021"/>
    <w:rsid w:val="00A45A1A"/>
    <w:rsid w:val="00A45D8D"/>
    <w:rsid w:val="00A4620A"/>
    <w:rsid w:val="00A463E2"/>
    <w:rsid w:val="00A464D9"/>
    <w:rsid w:val="00A466B4"/>
    <w:rsid w:val="00A46C13"/>
    <w:rsid w:val="00A472C4"/>
    <w:rsid w:val="00A477DE"/>
    <w:rsid w:val="00A47C87"/>
    <w:rsid w:val="00A504F2"/>
    <w:rsid w:val="00A50C66"/>
    <w:rsid w:val="00A51784"/>
    <w:rsid w:val="00A519FE"/>
    <w:rsid w:val="00A51C07"/>
    <w:rsid w:val="00A51F8E"/>
    <w:rsid w:val="00A5212B"/>
    <w:rsid w:val="00A527E5"/>
    <w:rsid w:val="00A528A2"/>
    <w:rsid w:val="00A53EC6"/>
    <w:rsid w:val="00A53EF2"/>
    <w:rsid w:val="00A54238"/>
    <w:rsid w:val="00A542DF"/>
    <w:rsid w:val="00A54340"/>
    <w:rsid w:val="00A54AA9"/>
    <w:rsid w:val="00A5599D"/>
    <w:rsid w:val="00A55C0F"/>
    <w:rsid w:val="00A55D1C"/>
    <w:rsid w:val="00A55D25"/>
    <w:rsid w:val="00A55FFA"/>
    <w:rsid w:val="00A56A7D"/>
    <w:rsid w:val="00A573A4"/>
    <w:rsid w:val="00A573F0"/>
    <w:rsid w:val="00A57568"/>
    <w:rsid w:val="00A577AD"/>
    <w:rsid w:val="00A60572"/>
    <w:rsid w:val="00A613F4"/>
    <w:rsid w:val="00A61479"/>
    <w:rsid w:val="00A619CA"/>
    <w:rsid w:val="00A631C4"/>
    <w:rsid w:val="00A6433F"/>
    <w:rsid w:val="00A64454"/>
    <w:rsid w:val="00A645C8"/>
    <w:rsid w:val="00A64635"/>
    <w:rsid w:val="00A6465C"/>
    <w:rsid w:val="00A64661"/>
    <w:rsid w:val="00A64715"/>
    <w:rsid w:val="00A64793"/>
    <w:rsid w:val="00A64DD1"/>
    <w:rsid w:val="00A64E67"/>
    <w:rsid w:val="00A652D6"/>
    <w:rsid w:val="00A6633D"/>
    <w:rsid w:val="00A66ADB"/>
    <w:rsid w:val="00A66C3F"/>
    <w:rsid w:val="00A67265"/>
    <w:rsid w:val="00A67A28"/>
    <w:rsid w:val="00A67BCC"/>
    <w:rsid w:val="00A67F6B"/>
    <w:rsid w:val="00A701B1"/>
    <w:rsid w:val="00A701CE"/>
    <w:rsid w:val="00A702F5"/>
    <w:rsid w:val="00A71067"/>
    <w:rsid w:val="00A7182D"/>
    <w:rsid w:val="00A725B2"/>
    <w:rsid w:val="00A72DE7"/>
    <w:rsid w:val="00A72EFE"/>
    <w:rsid w:val="00A73240"/>
    <w:rsid w:val="00A734EA"/>
    <w:rsid w:val="00A73918"/>
    <w:rsid w:val="00A739B3"/>
    <w:rsid w:val="00A748FB"/>
    <w:rsid w:val="00A74C03"/>
    <w:rsid w:val="00A74ED5"/>
    <w:rsid w:val="00A7534F"/>
    <w:rsid w:val="00A75F98"/>
    <w:rsid w:val="00A7620B"/>
    <w:rsid w:val="00A76379"/>
    <w:rsid w:val="00A766B8"/>
    <w:rsid w:val="00A76A1A"/>
    <w:rsid w:val="00A76F78"/>
    <w:rsid w:val="00A771D9"/>
    <w:rsid w:val="00A7730B"/>
    <w:rsid w:val="00A77543"/>
    <w:rsid w:val="00A776C7"/>
    <w:rsid w:val="00A77DAF"/>
    <w:rsid w:val="00A80C2B"/>
    <w:rsid w:val="00A811CC"/>
    <w:rsid w:val="00A813BF"/>
    <w:rsid w:val="00A81B84"/>
    <w:rsid w:val="00A823F7"/>
    <w:rsid w:val="00A8261D"/>
    <w:rsid w:val="00A83810"/>
    <w:rsid w:val="00A840F9"/>
    <w:rsid w:val="00A8462C"/>
    <w:rsid w:val="00A846ED"/>
    <w:rsid w:val="00A84E14"/>
    <w:rsid w:val="00A85748"/>
    <w:rsid w:val="00A85899"/>
    <w:rsid w:val="00A85C71"/>
    <w:rsid w:val="00A85CDE"/>
    <w:rsid w:val="00A86270"/>
    <w:rsid w:val="00A865E1"/>
    <w:rsid w:val="00A86631"/>
    <w:rsid w:val="00A86706"/>
    <w:rsid w:val="00A8713F"/>
    <w:rsid w:val="00A872FB"/>
    <w:rsid w:val="00A902E1"/>
    <w:rsid w:val="00A90423"/>
    <w:rsid w:val="00A90BA1"/>
    <w:rsid w:val="00A91649"/>
    <w:rsid w:val="00A91804"/>
    <w:rsid w:val="00A91B9B"/>
    <w:rsid w:val="00A921B7"/>
    <w:rsid w:val="00A924C1"/>
    <w:rsid w:val="00A93AAC"/>
    <w:rsid w:val="00A9413E"/>
    <w:rsid w:val="00A9470F"/>
    <w:rsid w:val="00A94B3D"/>
    <w:rsid w:val="00A94CF9"/>
    <w:rsid w:val="00A94E83"/>
    <w:rsid w:val="00A94F56"/>
    <w:rsid w:val="00A95544"/>
    <w:rsid w:val="00A96038"/>
    <w:rsid w:val="00A96373"/>
    <w:rsid w:val="00A96AFC"/>
    <w:rsid w:val="00A97665"/>
    <w:rsid w:val="00A97A9A"/>
    <w:rsid w:val="00AA0671"/>
    <w:rsid w:val="00AA0C7B"/>
    <w:rsid w:val="00AA100A"/>
    <w:rsid w:val="00AA1965"/>
    <w:rsid w:val="00AA1C83"/>
    <w:rsid w:val="00AA1DC1"/>
    <w:rsid w:val="00AA2531"/>
    <w:rsid w:val="00AA2580"/>
    <w:rsid w:val="00AA2838"/>
    <w:rsid w:val="00AA2D7F"/>
    <w:rsid w:val="00AA3D49"/>
    <w:rsid w:val="00AA44E2"/>
    <w:rsid w:val="00AA4902"/>
    <w:rsid w:val="00AA4C40"/>
    <w:rsid w:val="00AA4FA3"/>
    <w:rsid w:val="00AA509B"/>
    <w:rsid w:val="00AA61E0"/>
    <w:rsid w:val="00AA655E"/>
    <w:rsid w:val="00AA6A03"/>
    <w:rsid w:val="00AA6D1E"/>
    <w:rsid w:val="00AA736D"/>
    <w:rsid w:val="00AA7626"/>
    <w:rsid w:val="00AA7747"/>
    <w:rsid w:val="00AA7812"/>
    <w:rsid w:val="00AA7E66"/>
    <w:rsid w:val="00AB036C"/>
    <w:rsid w:val="00AB0692"/>
    <w:rsid w:val="00AB0F94"/>
    <w:rsid w:val="00AB174E"/>
    <w:rsid w:val="00AB1792"/>
    <w:rsid w:val="00AB17EF"/>
    <w:rsid w:val="00AB1A0C"/>
    <w:rsid w:val="00AB1E09"/>
    <w:rsid w:val="00AB2A9A"/>
    <w:rsid w:val="00AB3378"/>
    <w:rsid w:val="00AB360E"/>
    <w:rsid w:val="00AB394E"/>
    <w:rsid w:val="00AB3EB8"/>
    <w:rsid w:val="00AB403C"/>
    <w:rsid w:val="00AB4174"/>
    <w:rsid w:val="00AB4271"/>
    <w:rsid w:val="00AB4859"/>
    <w:rsid w:val="00AB4CE9"/>
    <w:rsid w:val="00AB52C1"/>
    <w:rsid w:val="00AB5330"/>
    <w:rsid w:val="00AB561E"/>
    <w:rsid w:val="00AB575C"/>
    <w:rsid w:val="00AB58DB"/>
    <w:rsid w:val="00AB5D04"/>
    <w:rsid w:val="00AB5E2F"/>
    <w:rsid w:val="00AB6322"/>
    <w:rsid w:val="00AB667E"/>
    <w:rsid w:val="00AB688A"/>
    <w:rsid w:val="00AB68F2"/>
    <w:rsid w:val="00AB6979"/>
    <w:rsid w:val="00AB6CD1"/>
    <w:rsid w:val="00AB70EB"/>
    <w:rsid w:val="00AB729C"/>
    <w:rsid w:val="00AB7544"/>
    <w:rsid w:val="00AB7747"/>
    <w:rsid w:val="00AB77BE"/>
    <w:rsid w:val="00AB78B0"/>
    <w:rsid w:val="00AB7A40"/>
    <w:rsid w:val="00AC07CB"/>
    <w:rsid w:val="00AC101B"/>
    <w:rsid w:val="00AC14CE"/>
    <w:rsid w:val="00AC1512"/>
    <w:rsid w:val="00AC1859"/>
    <w:rsid w:val="00AC1BFE"/>
    <w:rsid w:val="00AC2A56"/>
    <w:rsid w:val="00AC2E30"/>
    <w:rsid w:val="00AC35DC"/>
    <w:rsid w:val="00AC3B15"/>
    <w:rsid w:val="00AC44D5"/>
    <w:rsid w:val="00AC48ED"/>
    <w:rsid w:val="00AC4D1D"/>
    <w:rsid w:val="00AC4E0D"/>
    <w:rsid w:val="00AC4FC0"/>
    <w:rsid w:val="00AC6966"/>
    <w:rsid w:val="00AC775D"/>
    <w:rsid w:val="00AC7A7E"/>
    <w:rsid w:val="00AC7AA6"/>
    <w:rsid w:val="00AD0135"/>
    <w:rsid w:val="00AD01F6"/>
    <w:rsid w:val="00AD055E"/>
    <w:rsid w:val="00AD0FC3"/>
    <w:rsid w:val="00AD13C4"/>
    <w:rsid w:val="00AD14D9"/>
    <w:rsid w:val="00AD1765"/>
    <w:rsid w:val="00AD1910"/>
    <w:rsid w:val="00AD1DE9"/>
    <w:rsid w:val="00AD24D0"/>
    <w:rsid w:val="00AD2E0C"/>
    <w:rsid w:val="00AD3314"/>
    <w:rsid w:val="00AD33B0"/>
    <w:rsid w:val="00AD33C8"/>
    <w:rsid w:val="00AD4071"/>
    <w:rsid w:val="00AD47A7"/>
    <w:rsid w:val="00AD4D0A"/>
    <w:rsid w:val="00AD4DB5"/>
    <w:rsid w:val="00AD5383"/>
    <w:rsid w:val="00AD5672"/>
    <w:rsid w:val="00AD56AC"/>
    <w:rsid w:val="00AD5A6D"/>
    <w:rsid w:val="00AD5BBA"/>
    <w:rsid w:val="00AD5EBA"/>
    <w:rsid w:val="00AD5FE2"/>
    <w:rsid w:val="00AD6A35"/>
    <w:rsid w:val="00AD70D0"/>
    <w:rsid w:val="00AD744B"/>
    <w:rsid w:val="00AD7FAD"/>
    <w:rsid w:val="00AE051F"/>
    <w:rsid w:val="00AE0520"/>
    <w:rsid w:val="00AE0CBA"/>
    <w:rsid w:val="00AE1123"/>
    <w:rsid w:val="00AE18CF"/>
    <w:rsid w:val="00AE1CC9"/>
    <w:rsid w:val="00AE1E98"/>
    <w:rsid w:val="00AE2FC1"/>
    <w:rsid w:val="00AE330E"/>
    <w:rsid w:val="00AE34ED"/>
    <w:rsid w:val="00AE3E9E"/>
    <w:rsid w:val="00AE4387"/>
    <w:rsid w:val="00AE48B6"/>
    <w:rsid w:val="00AE4E5A"/>
    <w:rsid w:val="00AE5510"/>
    <w:rsid w:val="00AE558E"/>
    <w:rsid w:val="00AE5605"/>
    <w:rsid w:val="00AE5CFA"/>
    <w:rsid w:val="00AE6561"/>
    <w:rsid w:val="00AE6791"/>
    <w:rsid w:val="00AE67CE"/>
    <w:rsid w:val="00AE7B3A"/>
    <w:rsid w:val="00AE7D99"/>
    <w:rsid w:val="00AF057F"/>
    <w:rsid w:val="00AF08C5"/>
    <w:rsid w:val="00AF094E"/>
    <w:rsid w:val="00AF0A4E"/>
    <w:rsid w:val="00AF0A66"/>
    <w:rsid w:val="00AF0CBF"/>
    <w:rsid w:val="00AF11BC"/>
    <w:rsid w:val="00AF1849"/>
    <w:rsid w:val="00AF1AF6"/>
    <w:rsid w:val="00AF1DEE"/>
    <w:rsid w:val="00AF257F"/>
    <w:rsid w:val="00AF2637"/>
    <w:rsid w:val="00AF33CF"/>
    <w:rsid w:val="00AF3F3E"/>
    <w:rsid w:val="00AF3FDD"/>
    <w:rsid w:val="00AF401F"/>
    <w:rsid w:val="00AF42C7"/>
    <w:rsid w:val="00AF46F4"/>
    <w:rsid w:val="00AF486D"/>
    <w:rsid w:val="00AF4B19"/>
    <w:rsid w:val="00AF4C37"/>
    <w:rsid w:val="00AF4D50"/>
    <w:rsid w:val="00AF5340"/>
    <w:rsid w:val="00AF5378"/>
    <w:rsid w:val="00AF5890"/>
    <w:rsid w:val="00AF59DE"/>
    <w:rsid w:val="00AF6179"/>
    <w:rsid w:val="00AF68BC"/>
    <w:rsid w:val="00AF6E1A"/>
    <w:rsid w:val="00AF722F"/>
    <w:rsid w:val="00AF79DD"/>
    <w:rsid w:val="00AF79F4"/>
    <w:rsid w:val="00B00EE8"/>
    <w:rsid w:val="00B0165C"/>
    <w:rsid w:val="00B024D5"/>
    <w:rsid w:val="00B0289F"/>
    <w:rsid w:val="00B02A24"/>
    <w:rsid w:val="00B02B82"/>
    <w:rsid w:val="00B02E48"/>
    <w:rsid w:val="00B040C7"/>
    <w:rsid w:val="00B04151"/>
    <w:rsid w:val="00B04609"/>
    <w:rsid w:val="00B04D43"/>
    <w:rsid w:val="00B055D8"/>
    <w:rsid w:val="00B05E0B"/>
    <w:rsid w:val="00B065E4"/>
    <w:rsid w:val="00B067FF"/>
    <w:rsid w:val="00B06963"/>
    <w:rsid w:val="00B06FCB"/>
    <w:rsid w:val="00B070D9"/>
    <w:rsid w:val="00B108FA"/>
    <w:rsid w:val="00B109E9"/>
    <w:rsid w:val="00B10A7B"/>
    <w:rsid w:val="00B10D12"/>
    <w:rsid w:val="00B11007"/>
    <w:rsid w:val="00B11B21"/>
    <w:rsid w:val="00B11E4E"/>
    <w:rsid w:val="00B1287A"/>
    <w:rsid w:val="00B1295A"/>
    <w:rsid w:val="00B12C2D"/>
    <w:rsid w:val="00B12E75"/>
    <w:rsid w:val="00B12E81"/>
    <w:rsid w:val="00B13544"/>
    <w:rsid w:val="00B13E5F"/>
    <w:rsid w:val="00B1428D"/>
    <w:rsid w:val="00B144C7"/>
    <w:rsid w:val="00B14D45"/>
    <w:rsid w:val="00B1586C"/>
    <w:rsid w:val="00B1594E"/>
    <w:rsid w:val="00B159D7"/>
    <w:rsid w:val="00B161C2"/>
    <w:rsid w:val="00B164EC"/>
    <w:rsid w:val="00B1661C"/>
    <w:rsid w:val="00B1669D"/>
    <w:rsid w:val="00B16EE9"/>
    <w:rsid w:val="00B17093"/>
    <w:rsid w:val="00B1749D"/>
    <w:rsid w:val="00B17E3A"/>
    <w:rsid w:val="00B2060A"/>
    <w:rsid w:val="00B20720"/>
    <w:rsid w:val="00B20825"/>
    <w:rsid w:val="00B20A45"/>
    <w:rsid w:val="00B21A9E"/>
    <w:rsid w:val="00B220DD"/>
    <w:rsid w:val="00B227E4"/>
    <w:rsid w:val="00B22C5C"/>
    <w:rsid w:val="00B231A7"/>
    <w:rsid w:val="00B2334C"/>
    <w:rsid w:val="00B234E2"/>
    <w:rsid w:val="00B24054"/>
    <w:rsid w:val="00B24833"/>
    <w:rsid w:val="00B24F30"/>
    <w:rsid w:val="00B24F82"/>
    <w:rsid w:val="00B25D19"/>
    <w:rsid w:val="00B25E83"/>
    <w:rsid w:val="00B267A9"/>
    <w:rsid w:val="00B2749D"/>
    <w:rsid w:val="00B27CAE"/>
    <w:rsid w:val="00B30586"/>
    <w:rsid w:val="00B309F4"/>
    <w:rsid w:val="00B30E48"/>
    <w:rsid w:val="00B312EA"/>
    <w:rsid w:val="00B313D5"/>
    <w:rsid w:val="00B3171C"/>
    <w:rsid w:val="00B31748"/>
    <w:rsid w:val="00B3176B"/>
    <w:rsid w:val="00B31ABF"/>
    <w:rsid w:val="00B321CF"/>
    <w:rsid w:val="00B3254B"/>
    <w:rsid w:val="00B32779"/>
    <w:rsid w:val="00B327B6"/>
    <w:rsid w:val="00B32975"/>
    <w:rsid w:val="00B32984"/>
    <w:rsid w:val="00B32AC9"/>
    <w:rsid w:val="00B32B04"/>
    <w:rsid w:val="00B32CBB"/>
    <w:rsid w:val="00B32F5A"/>
    <w:rsid w:val="00B3304F"/>
    <w:rsid w:val="00B3324F"/>
    <w:rsid w:val="00B33BE3"/>
    <w:rsid w:val="00B34085"/>
    <w:rsid w:val="00B34852"/>
    <w:rsid w:val="00B34AF0"/>
    <w:rsid w:val="00B35408"/>
    <w:rsid w:val="00B35E71"/>
    <w:rsid w:val="00B36AC9"/>
    <w:rsid w:val="00B372AB"/>
    <w:rsid w:val="00B37442"/>
    <w:rsid w:val="00B3794B"/>
    <w:rsid w:val="00B37A37"/>
    <w:rsid w:val="00B40472"/>
    <w:rsid w:val="00B40512"/>
    <w:rsid w:val="00B41C6F"/>
    <w:rsid w:val="00B4280D"/>
    <w:rsid w:val="00B4280E"/>
    <w:rsid w:val="00B429E3"/>
    <w:rsid w:val="00B42AB8"/>
    <w:rsid w:val="00B43337"/>
    <w:rsid w:val="00B438FD"/>
    <w:rsid w:val="00B43CDC"/>
    <w:rsid w:val="00B44262"/>
    <w:rsid w:val="00B443D6"/>
    <w:rsid w:val="00B4443B"/>
    <w:rsid w:val="00B44503"/>
    <w:rsid w:val="00B448B9"/>
    <w:rsid w:val="00B45574"/>
    <w:rsid w:val="00B4591E"/>
    <w:rsid w:val="00B467A2"/>
    <w:rsid w:val="00B46B23"/>
    <w:rsid w:val="00B46C3E"/>
    <w:rsid w:val="00B46CAB"/>
    <w:rsid w:val="00B46DD4"/>
    <w:rsid w:val="00B47364"/>
    <w:rsid w:val="00B473D5"/>
    <w:rsid w:val="00B47485"/>
    <w:rsid w:val="00B476E0"/>
    <w:rsid w:val="00B47D36"/>
    <w:rsid w:val="00B47E1F"/>
    <w:rsid w:val="00B506DF"/>
    <w:rsid w:val="00B51116"/>
    <w:rsid w:val="00B5124F"/>
    <w:rsid w:val="00B513A7"/>
    <w:rsid w:val="00B51692"/>
    <w:rsid w:val="00B51D3A"/>
    <w:rsid w:val="00B51F09"/>
    <w:rsid w:val="00B5272A"/>
    <w:rsid w:val="00B52831"/>
    <w:rsid w:val="00B52A65"/>
    <w:rsid w:val="00B53B5D"/>
    <w:rsid w:val="00B53BD9"/>
    <w:rsid w:val="00B541D1"/>
    <w:rsid w:val="00B542B5"/>
    <w:rsid w:val="00B54609"/>
    <w:rsid w:val="00B553AA"/>
    <w:rsid w:val="00B55AE1"/>
    <w:rsid w:val="00B55DE9"/>
    <w:rsid w:val="00B55F7B"/>
    <w:rsid w:val="00B55FF6"/>
    <w:rsid w:val="00B56252"/>
    <w:rsid w:val="00B5681E"/>
    <w:rsid w:val="00B571FB"/>
    <w:rsid w:val="00B57BFC"/>
    <w:rsid w:val="00B6055E"/>
    <w:rsid w:val="00B605CE"/>
    <w:rsid w:val="00B605CF"/>
    <w:rsid w:val="00B609A5"/>
    <w:rsid w:val="00B60E19"/>
    <w:rsid w:val="00B6105F"/>
    <w:rsid w:val="00B613E6"/>
    <w:rsid w:val="00B6161F"/>
    <w:rsid w:val="00B617AD"/>
    <w:rsid w:val="00B61815"/>
    <w:rsid w:val="00B61F4E"/>
    <w:rsid w:val="00B61F7C"/>
    <w:rsid w:val="00B62257"/>
    <w:rsid w:val="00B626D6"/>
    <w:rsid w:val="00B6276A"/>
    <w:rsid w:val="00B62805"/>
    <w:rsid w:val="00B62D70"/>
    <w:rsid w:val="00B62E29"/>
    <w:rsid w:val="00B6317D"/>
    <w:rsid w:val="00B6378E"/>
    <w:rsid w:val="00B63EEC"/>
    <w:rsid w:val="00B64CE3"/>
    <w:rsid w:val="00B65CA7"/>
    <w:rsid w:val="00B66565"/>
    <w:rsid w:val="00B66C30"/>
    <w:rsid w:val="00B66C81"/>
    <w:rsid w:val="00B67077"/>
    <w:rsid w:val="00B6726D"/>
    <w:rsid w:val="00B6786C"/>
    <w:rsid w:val="00B67B76"/>
    <w:rsid w:val="00B67E2F"/>
    <w:rsid w:val="00B70A6F"/>
    <w:rsid w:val="00B70CE9"/>
    <w:rsid w:val="00B7129F"/>
    <w:rsid w:val="00B717B8"/>
    <w:rsid w:val="00B71E2B"/>
    <w:rsid w:val="00B71FC3"/>
    <w:rsid w:val="00B72356"/>
    <w:rsid w:val="00B72635"/>
    <w:rsid w:val="00B736BB"/>
    <w:rsid w:val="00B73D50"/>
    <w:rsid w:val="00B73DEB"/>
    <w:rsid w:val="00B73E02"/>
    <w:rsid w:val="00B73FCE"/>
    <w:rsid w:val="00B74632"/>
    <w:rsid w:val="00B74847"/>
    <w:rsid w:val="00B74B52"/>
    <w:rsid w:val="00B7507F"/>
    <w:rsid w:val="00B75C3E"/>
    <w:rsid w:val="00B75C7F"/>
    <w:rsid w:val="00B75EE2"/>
    <w:rsid w:val="00B76B66"/>
    <w:rsid w:val="00B7723F"/>
    <w:rsid w:val="00B773E8"/>
    <w:rsid w:val="00B77426"/>
    <w:rsid w:val="00B77428"/>
    <w:rsid w:val="00B80534"/>
    <w:rsid w:val="00B80B98"/>
    <w:rsid w:val="00B80E80"/>
    <w:rsid w:val="00B83137"/>
    <w:rsid w:val="00B84039"/>
    <w:rsid w:val="00B8433C"/>
    <w:rsid w:val="00B84916"/>
    <w:rsid w:val="00B8594A"/>
    <w:rsid w:val="00B85E0C"/>
    <w:rsid w:val="00B86268"/>
    <w:rsid w:val="00B86DCA"/>
    <w:rsid w:val="00B87491"/>
    <w:rsid w:val="00B87517"/>
    <w:rsid w:val="00B90269"/>
    <w:rsid w:val="00B90305"/>
    <w:rsid w:val="00B905E0"/>
    <w:rsid w:val="00B90FD7"/>
    <w:rsid w:val="00B91CA7"/>
    <w:rsid w:val="00B91EED"/>
    <w:rsid w:val="00B92ADC"/>
    <w:rsid w:val="00B93FAB"/>
    <w:rsid w:val="00B947F8"/>
    <w:rsid w:val="00B94C81"/>
    <w:rsid w:val="00B95C3E"/>
    <w:rsid w:val="00B95D45"/>
    <w:rsid w:val="00B95EA5"/>
    <w:rsid w:val="00B9644B"/>
    <w:rsid w:val="00B968B7"/>
    <w:rsid w:val="00B96AE5"/>
    <w:rsid w:val="00B97656"/>
    <w:rsid w:val="00B976D1"/>
    <w:rsid w:val="00BA00BF"/>
    <w:rsid w:val="00BA0616"/>
    <w:rsid w:val="00BA0626"/>
    <w:rsid w:val="00BA0E18"/>
    <w:rsid w:val="00BA19E2"/>
    <w:rsid w:val="00BA215A"/>
    <w:rsid w:val="00BA23D3"/>
    <w:rsid w:val="00BA2642"/>
    <w:rsid w:val="00BA26C2"/>
    <w:rsid w:val="00BA29E9"/>
    <w:rsid w:val="00BA2D5A"/>
    <w:rsid w:val="00BA3037"/>
    <w:rsid w:val="00BA3144"/>
    <w:rsid w:val="00BA3683"/>
    <w:rsid w:val="00BA39E4"/>
    <w:rsid w:val="00BA3BBC"/>
    <w:rsid w:val="00BA43A6"/>
    <w:rsid w:val="00BA477D"/>
    <w:rsid w:val="00BA4CF5"/>
    <w:rsid w:val="00BA4F62"/>
    <w:rsid w:val="00BA50BF"/>
    <w:rsid w:val="00BA59CC"/>
    <w:rsid w:val="00BA5A94"/>
    <w:rsid w:val="00BA5C08"/>
    <w:rsid w:val="00BA5DE2"/>
    <w:rsid w:val="00BA6157"/>
    <w:rsid w:val="00BA69A4"/>
    <w:rsid w:val="00BA6A7D"/>
    <w:rsid w:val="00BA6ACF"/>
    <w:rsid w:val="00BA7142"/>
    <w:rsid w:val="00BA72C8"/>
    <w:rsid w:val="00BA7C82"/>
    <w:rsid w:val="00BA7EBE"/>
    <w:rsid w:val="00BA7F9C"/>
    <w:rsid w:val="00BB0648"/>
    <w:rsid w:val="00BB0771"/>
    <w:rsid w:val="00BB1158"/>
    <w:rsid w:val="00BB144C"/>
    <w:rsid w:val="00BB16C0"/>
    <w:rsid w:val="00BB18C5"/>
    <w:rsid w:val="00BB19AE"/>
    <w:rsid w:val="00BB1E70"/>
    <w:rsid w:val="00BB22A5"/>
    <w:rsid w:val="00BB237C"/>
    <w:rsid w:val="00BB23BA"/>
    <w:rsid w:val="00BB2D2E"/>
    <w:rsid w:val="00BB3728"/>
    <w:rsid w:val="00BB41A3"/>
    <w:rsid w:val="00BB4E2A"/>
    <w:rsid w:val="00BB5165"/>
    <w:rsid w:val="00BB52C6"/>
    <w:rsid w:val="00BB567E"/>
    <w:rsid w:val="00BB5A18"/>
    <w:rsid w:val="00BB5A8A"/>
    <w:rsid w:val="00BB66D7"/>
    <w:rsid w:val="00BB6CB3"/>
    <w:rsid w:val="00BB6F4C"/>
    <w:rsid w:val="00BB7448"/>
    <w:rsid w:val="00BC04A9"/>
    <w:rsid w:val="00BC086B"/>
    <w:rsid w:val="00BC08E7"/>
    <w:rsid w:val="00BC0B9F"/>
    <w:rsid w:val="00BC0BDA"/>
    <w:rsid w:val="00BC147C"/>
    <w:rsid w:val="00BC1BF4"/>
    <w:rsid w:val="00BC1F57"/>
    <w:rsid w:val="00BC261E"/>
    <w:rsid w:val="00BC2AE9"/>
    <w:rsid w:val="00BC32DC"/>
    <w:rsid w:val="00BC33C3"/>
    <w:rsid w:val="00BC35B6"/>
    <w:rsid w:val="00BC386C"/>
    <w:rsid w:val="00BC3DA2"/>
    <w:rsid w:val="00BC4263"/>
    <w:rsid w:val="00BC4546"/>
    <w:rsid w:val="00BC49D7"/>
    <w:rsid w:val="00BC4B28"/>
    <w:rsid w:val="00BC4ED4"/>
    <w:rsid w:val="00BC4F15"/>
    <w:rsid w:val="00BC51EA"/>
    <w:rsid w:val="00BC556D"/>
    <w:rsid w:val="00BC5F02"/>
    <w:rsid w:val="00BC60E4"/>
    <w:rsid w:val="00BC63B7"/>
    <w:rsid w:val="00BC6BEB"/>
    <w:rsid w:val="00BC7017"/>
    <w:rsid w:val="00BC78B8"/>
    <w:rsid w:val="00BD10F7"/>
    <w:rsid w:val="00BD11D4"/>
    <w:rsid w:val="00BD1592"/>
    <w:rsid w:val="00BD1B51"/>
    <w:rsid w:val="00BD1E4A"/>
    <w:rsid w:val="00BD252B"/>
    <w:rsid w:val="00BD29AC"/>
    <w:rsid w:val="00BD2D70"/>
    <w:rsid w:val="00BD3BEC"/>
    <w:rsid w:val="00BD3C1E"/>
    <w:rsid w:val="00BD3FA3"/>
    <w:rsid w:val="00BD4029"/>
    <w:rsid w:val="00BD4128"/>
    <w:rsid w:val="00BD4497"/>
    <w:rsid w:val="00BD4596"/>
    <w:rsid w:val="00BD462E"/>
    <w:rsid w:val="00BD464D"/>
    <w:rsid w:val="00BD4B01"/>
    <w:rsid w:val="00BD5C8D"/>
    <w:rsid w:val="00BD5E05"/>
    <w:rsid w:val="00BD6CD7"/>
    <w:rsid w:val="00BD792B"/>
    <w:rsid w:val="00BE0544"/>
    <w:rsid w:val="00BE0A7C"/>
    <w:rsid w:val="00BE12AF"/>
    <w:rsid w:val="00BE1405"/>
    <w:rsid w:val="00BE1424"/>
    <w:rsid w:val="00BE2166"/>
    <w:rsid w:val="00BE262F"/>
    <w:rsid w:val="00BE295F"/>
    <w:rsid w:val="00BE2C72"/>
    <w:rsid w:val="00BE2C92"/>
    <w:rsid w:val="00BE312D"/>
    <w:rsid w:val="00BE3CBF"/>
    <w:rsid w:val="00BE3D83"/>
    <w:rsid w:val="00BE3DCE"/>
    <w:rsid w:val="00BE3E32"/>
    <w:rsid w:val="00BE510C"/>
    <w:rsid w:val="00BE553B"/>
    <w:rsid w:val="00BE5686"/>
    <w:rsid w:val="00BE5E78"/>
    <w:rsid w:val="00BE67F0"/>
    <w:rsid w:val="00BE680D"/>
    <w:rsid w:val="00BE6A3B"/>
    <w:rsid w:val="00BE70C3"/>
    <w:rsid w:val="00BE7107"/>
    <w:rsid w:val="00BE711A"/>
    <w:rsid w:val="00BE7468"/>
    <w:rsid w:val="00BE77D4"/>
    <w:rsid w:val="00BE789D"/>
    <w:rsid w:val="00BE7C89"/>
    <w:rsid w:val="00BF0143"/>
    <w:rsid w:val="00BF048D"/>
    <w:rsid w:val="00BF0713"/>
    <w:rsid w:val="00BF0795"/>
    <w:rsid w:val="00BF07D7"/>
    <w:rsid w:val="00BF07FD"/>
    <w:rsid w:val="00BF0BEE"/>
    <w:rsid w:val="00BF1C20"/>
    <w:rsid w:val="00BF1D9B"/>
    <w:rsid w:val="00BF25D6"/>
    <w:rsid w:val="00BF2840"/>
    <w:rsid w:val="00BF2A35"/>
    <w:rsid w:val="00BF3CBE"/>
    <w:rsid w:val="00BF47AA"/>
    <w:rsid w:val="00BF48BA"/>
    <w:rsid w:val="00BF4BA0"/>
    <w:rsid w:val="00BF55FC"/>
    <w:rsid w:val="00BF5AF2"/>
    <w:rsid w:val="00BF5ECC"/>
    <w:rsid w:val="00BF61E7"/>
    <w:rsid w:val="00BF62E1"/>
    <w:rsid w:val="00BF645D"/>
    <w:rsid w:val="00BF6749"/>
    <w:rsid w:val="00BF79FE"/>
    <w:rsid w:val="00C000CB"/>
    <w:rsid w:val="00C01396"/>
    <w:rsid w:val="00C01B89"/>
    <w:rsid w:val="00C02221"/>
    <w:rsid w:val="00C02441"/>
    <w:rsid w:val="00C02D94"/>
    <w:rsid w:val="00C035B0"/>
    <w:rsid w:val="00C03671"/>
    <w:rsid w:val="00C036D9"/>
    <w:rsid w:val="00C037A8"/>
    <w:rsid w:val="00C038B6"/>
    <w:rsid w:val="00C03E44"/>
    <w:rsid w:val="00C042E9"/>
    <w:rsid w:val="00C04332"/>
    <w:rsid w:val="00C04626"/>
    <w:rsid w:val="00C04CB8"/>
    <w:rsid w:val="00C04D38"/>
    <w:rsid w:val="00C05357"/>
    <w:rsid w:val="00C05971"/>
    <w:rsid w:val="00C059EC"/>
    <w:rsid w:val="00C0619E"/>
    <w:rsid w:val="00C06A43"/>
    <w:rsid w:val="00C06CDB"/>
    <w:rsid w:val="00C0730D"/>
    <w:rsid w:val="00C07C69"/>
    <w:rsid w:val="00C07E1F"/>
    <w:rsid w:val="00C07E45"/>
    <w:rsid w:val="00C102CC"/>
    <w:rsid w:val="00C10578"/>
    <w:rsid w:val="00C10E77"/>
    <w:rsid w:val="00C1195D"/>
    <w:rsid w:val="00C1215B"/>
    <w:rsid w:val="00C12566"/>
    <w:rsid w:val="00C12892"/>
    <w:rsid w:val="00C12B26"/>
    <w:rsid w:val="00C132B4"/>
    <w:rsid w:val="00C134FD"/>
    <w:rsid w:val="00C135BC"/>
    <w:rsid w:val="00C13734"/>
    <w:rsid w:val="00C13911"/>
    <w:rsid w:val="00C13952"/>
    <w:rsid w:val="00C14463"/>
    <w:rsid w:val="00C14EFB"/>
    <w:rsid w:val="00C156D1"/>
    <w:rsid w:val="00C158B6"/>
    <w:rsid w:val="00C159E2"/>
    <w:rsid w:val="00C15A41"/>
    <w:rsid w:val="00C15A44"/>
    <w:rsid w:val="00C15B53"/>
    <w:rsid w:val="00C15B6D"/>
    <w:rsid w:val="00C15B7C"/>
    <w:rsid w:val="00C15C95"/>
    <w:rsid w:val="00C15C99"/>
    <w:rsid w:val="00C15EAE"/>
    <w:rsid w:val="00C169D9"/>
    <w:rsid w:val="00C16DC5"/>
    <w:rsid w:val="00C16F67"/>
    <w:rsid w:val="00C16F79"/>
    <w:rsid w:val="00C1708C"/>
    <w:rsid w:val="00C17BE6"/>
    <w:rsid w:val="00C2022F"/>
    <w:rsid w:val="00C20DCD"/>
    <w:rsid w:val="00C2146F"/>
    <w:rsid w:val="00C217F6"/>
    <w:rsid w:val="00C21B40"/>
    <w:rsid w:val="00C21C0F"/>
    <w:rsid w:val="00C21DBA"/>
    <w:rsid w:val="00C22616"/>
    <w:rsid w:val="00C2286C"/>
    <w:rsid w:val="00C229D8"/>
    <w:rsid w:val="00C23431"/>
    <w:rsid w:val="00C23576"/>
    <w:rsid w:val="00C237E0"/>
    <w:rsid w:val="00C23865"/>
    <w:rsid w:val="00C23A7C"/>
    <w:rsid w:val="00C2422F"/>
    <w:rsid w:val="00C243C8"/>
    <w:rsid w:val="00C243FB"/>
    <w:rsid w:val="00C24451"/>
    <w:rsid w:val="00C24606"/>
    <w:rsid w:val="00C24A38"/>
    <w:rsid w:val="00C24AB5"/>
    <w:rsid w:val="00C255B9"/>
    <w:rsid w:val="00C25685"/>
    <w:rsid w:val="00C2596A"/>
    <w:rsid w:val="00C25B16"/>
    <w:rsid w:val="00C25DA7"/>
    <w:rsid w:val="00C263D4"/>
    <w:rsid w:val="00C26457"/>
    <w:rsid w:val="00C268CC"/>
    <w:rsid w:val="00C26C8F"/>
    <w:rsid w:val="00C270F6"/>
    <w:rsid w:val="00C27537"/>
    <w:rsid w:val="00C275B0"/>
    <w:rsid w:val="00C27B2B"/>
    <w:rsid w:val="00C27C01"/>
    <w:rsid w:val="00C3060F"/>
    <w:rsid w:val="00C30A85"/>
    <w:rsid w:val="00C30FC0"/>
    <w:rsid w:val="00C30FC1"/>
    <w:rsid w:val="00C30FFE"/>
    <w:rsid w:val="00C31642"/>
    <w:rsid w:val="00C31AEA"/>
    <w:rsid w:val="00C31C86"/>
    <w:rsid w:val="00C3206A"/>
    <w:rsid w:val="00C328FE"/>
    <w:rsid w:val="00C32D92"/>
    <w:rsid w:val="00C33507"/>
    <w:rsid w:val="00C33CB0"/>
    <w:rsid w:val="00C343A3"/>
    <w:rsid w:val="00C3457B"/>
    <w:rsid w:val="00C345DE"/>
    <w:rsid w:val="00C34FE2"/>
    <w:rsid w:val="00C3565C"/>
    <w:rsid w:val="00C3582C"/>
    <w:rsid w:val="00C35B6F"/>
    <w:rsid w:val="00C35E68"/>
    <w:rsid w:val="00C35F87"/>
    <w:rsid w:val="00C3644F"/>
    <w:rsid w:val="00C36559"/>
    <w:rsid w:val="00C367A9"/>
    <w:rsid w:val="00C367AF"/>
    <w:rsid w:val="00C36B38"/>
    <w:rsid w:val="00C3726C"/>
    <w:rsid w:val="00C37600"/>
    <w:rsid w:val="00C37939"/>
    <w:rsid w:val="00C37A0B"/>
    <w:rsid w:val="00C37C34"/>
    <w:rsid w:val="00C401E9"/>
    <w:rsid w:val="00C4034C"/>
    <w:rsid w:val="00C40963"/>
    <w:rsid w:val="00C409FE"/>
    <w:rsid w:val="00C40C73"/>
    <w:rsid w:val="00C40FEF"/>
    <w:rsid w:val="00C41057"/>
    <w:rsid w:val="00C41457"/>
    <w:rsid w:val="00C41DB3"/>
    <w:rsid w:val="00C4261D"/>
    <w:rsid w:val="00C4273E"/>
    <w:rsid w:val="00C43222"/>
    <w:rsid w:val="00C432F1"/>
    <w:rsid w:val="00C43A3D"/>
    <w:rsid w:val="00C43ADD"/>
    <w:rsid w:val="00C43B65"/>
    <w:rsid w:val="00C43F05"/>
    <w:rsid w:val="00C4409D"/>
    <w:rsid w:val="00C445E2"/>
    <w:rsid w:val="00C44B44"/>
    <w:rsid w:val="00C44DB8"/>
    <w:rsid w:val="00C44E72"/>
    <w:rsid w:val="00C45092"/>
    <w:rsid w:val="00C457E1"/>
    <w:rsid w:val="00C45A06"/>
    <w:rsid w:val="00C45AE8"/>
    <w:rsid w:val="00C45DB4"/>
    <w:rsid w:val="00C46AAD"/>
    <w:rsid w:val="00C477F9"/>
    <w:rsid w:val="00C47E41"/>
    <w:rsid w:val="00C47E5B"/>
    <w:rsid w:val="00C47F19"/>
    <w:rsid w:val="00C51685"/>
    <w:rsid w:val="00C51896"/>
    <w:rsid w:val="00C52247"/>
    <w:rsid w:val="00C52A3E"/>
    <w:rsid w:val="00C52C0E"/>
    <w:rsid w:val="00C52F46"/>
    <w:rsid w:val="00C53C7F"/>
    <w:rsid w:val="00C53D7D"/>
    <w:rsid w:val="00C54001"/>
    <w:rsid w:val="00C5434F"/>
    <w:rsid w:val="00C54C05"/>
    <w:rsid w:val="00C54C1E"/>
    <w:rsid w:val="00C550CF"/>
    <w:rsid w:val="00C5517F"/>
    <w:rsid w:val="00C56D67"/>
    <w:rsid w:val="00C5791F"/>
    <w:rsid w:val="00C57956"/>
    <w:rsid w:val="00C6005D"/>
    <w:rsid w:val="00C602FB"/>
    <w:rsid w:val="00C6073F"/>
    <w:rsid w:val="00C61858"/>
    <w:rsid w:val="00C61A2F"/>
    <w:rsid w:val="00C61BE0"/>
    <w:rsid w:val="00C61E4B"/>
    <w:rsid w:val="00C61EC0"/>
    <w:rsid w:val="00C62192"/>
    <w:rsid w:val="00C624EE"/>
    <w:rsid w:val="00C62532"/>
    <w:rsid w:val="00C6255D"/>
    <w:rsid w:val="00C628A0"/>
    <w:rsid w:val="00C62A6D"/>
    <w:rsid w:val="00C6381B"/>
    <w:rsid w:val="00C646ED"/>
    <w:rsid w:val="00C64BFF"/>
    <w:rsid w:val="00C64DFF"/>
    <w:rsid w:val="00C65658"/>
    <w:rsid w:val="00C65A27"/>
    <w:rsid w:val="00C65CB7"/>
    <w:rsid w:val="00C65EB2"/>
    <w:rsid w:val="00C65FDB"/>
    <w:rsid w:val="00C66311"/>
    <w:rsid w:val="00C66FDE"/>
    <w:rsid w:val="00C70069"/>
    <w:rsid w:val="00C70181"/>
    <w:rsid w:val="00C70213"/>
    <w:rsid w:val="00C704E9"/>
    <w:rsid w:val="00C70AA1"/>
    <w:rsid w:val="00C70E03"/>
    <w:rsid w:val="00C70FAC"/>
    <w:rsid w:val="00C71178"/>
    <w:rsid w:val="00C71EDE"/>
    <w:rsid w:val="00C72118"/>
    <w:rsid w:val="00C72A7F"/>
    <w:rsid w:val="00C7317A"/>
    <w:rsid w:val="00C732A2"/>
    <w:rsid w:val="00C7336C"/>
    <w:rsid w:val="00C73967"/>
    <w:rsid w:val="00C73AD2"/>
    <w:rsid w:val="00C73E49"/>
    <w:rsid w:val="00C73EB2"/>
    <w:rsid w:val="00C745D2"/>
    <w:rsid w:val="00C74A97"/>
    <w:rsid w:val="00C74DBB"/>
    <w:rsid w:val="00C7559F"/>
    <w:rsid w:val="00C75D53"/>
    <w:rsid w:val="00C760F7"/>
    <w:rsid w:val="00C76186"/>
    <w:rsid w:val="00C763C9"/>
    <w:rsid w:val="00C76E11"/>
    <w:rsid w:val="00C77093"/>
    <w:rsid w:val="00C778DA"/>
    <w:rsid w:val="00C80057"/>
    <w:rsid w:val="00C80086"/>
    <w:rsid w:val="00C8080B"/>
    <w:rsid w:val="00C80B26"/>
    <w:rsid w:val="00C810B7"/>
    <w:rsid w:val="00C816C5"/>
    <w:rsid w:val="00C8219E"/>
    <w:rsid w:val="00C82232"/>
    <w:rsid w:val="00C82802"/>
    <w:rsid w:val="00C82913"/>
    <w:rsid w:val="00C82F97"/>
    <w:rsid w:val="00C836DB"/>
    <w:rsid w:val="00C83776"/>
    <w:rsid w:val="00C83ED1"/>
    <w:rsid w:val="00C841A4"/>
    <w:rsid w:val="00C843AF"/>
    <w:rsid w:val="00C8465D"/>
    <w:rsid w:val="00C8516F"/>
    <w:rsid w:val="00C8590D"/>
    <w:rsid w:val="00C85A82"/>
    <w:rsid w:val="00C862F0"/>
    <w:rsid w:val="00C86B9C"/>
    <w:rsid w:val="00C86E13"/>
    <w:rsid w:val="00C87CBE"/>
    <w:rsid w:val="00C901C0"/>
    <w:rsid w:val="00C9053F"/>
    <w:rsid w:val="00C905B5"/>
    <w:rsid w:val="00C90DE6"/>
    <w:rsid w:val="00C910F7"/>
    <w:rsid w:val="00C91256"/>
    <w:rsid w:val="00C91C94"/>
    <w:rsid w:val="00C92645"/>
    <w:rsid w:val="00C926CC"/>
    <w:rsid w:val="00C92B79"/>
    <w:rsid w:val="00C92EA5"/>
    <w:rsid w:val="00C933AA"/>
    <w:rsid w:val="00C9358C"/>
    <w:rsid w:val="00C936B9"/>
    <w:rsid w:val="00C937D5"/>
    <w:rsid w:val="00C93C7A"/>
    <w:rsid w:val="00C93EBB"/>
    <w:rsid w:val="00C93F52"/>
    <w:rsid w:val="00C94AA2"/>
    <w:rsid w:val="00C94EAC"/>
    <w:rsid w:val="00C9504F"/>
    <w:rsid w:val="00C95108"/>
    <w:rsid w:val="00C956CB"/>
    <w:rsid w:val="00C95B57"/>
    <w:rsid w:val="00C95BFF"/>
    <w:rsid w:val="00C9616B"/>
    <w:rsid w:val="00C96756"/>
    <w:rsid w:val="00C96FF8"/>
    <w:rsid w:val="00C972B1"/>
    <w:rsid w:val="00C97652"/>
    <w:rsid w:val="00C97760"/>
    <w:rsid w:val="00C97C64"/>
    <w:rsid w:val="00C97D9A"/>
    <w:rsid w:val="00CA0018"/>
    <w:rsid w:val="00CA0752"/>
    <w:rsid w:val="00CA0C10"/>
    <w:rsid w:val="00CA0F9C"/>
    <w:rsid w:val="00CA12EC"/>
    <w:rsid w:val="00CA144F"/>
    <w:rsid w:val="00CA1AA7"/>
    <w:rsid w:val="00CA1B0C"/>
    <w:rsid w:val="00CA20C2"/>
    <w:rsid w:val="00CA2373"/>
    <w:rsid w:val="00CA254E"/>
    <w:rsid w:val="00CA2CCE"/>
    <w:rsid w:val="00CA2DC3"/>
    <w:rsid w:val="00CA312F"/>
    <w:rsid w:val="00CA3B23"/>
    <w:rsid w:val="00CA4030"/>
    <w:rsid w:val="00CA43FD"/>
    <w:rsid w:val="00CA4746"/>
    <w:rsid w:val="00CA4F4E"/>
    <w:rsid w:val="00CA5724"/>
    <w:rsid w:val="00CA5EF2"/>
    <w:rsid w:val="00CA679F"/>
    <w:rsid w:val="00CA6943"/>
    <w:rsid w:val="00CA6B74"/>
    <w:rsid w:val="00CA6BBB"/>
    <w:rsid w:val="00CA7284"/>
    <w:rsid w:val="00CA7D83"/>
    <w:rsid w:val="00CA7E46"/>
    <w:rsid w:val="00CA7EF8"/>
    <w:rsid w:val="00CB05FC"/>
    <w:rsid w:val="00CB0B93"/>
    <w:rsid w:val="00CB0DFA"/>
    <w:rsid w:val="00CB1234"/>
    <w:rsid w:val="00CB15AF"/>
    <w:rsid w:val="00CB1E4C"/>
    <w:rsid w:val="00CB1FA3"/>
    <w:rsid w:val="00CB24B2"/>
    <w:rsid w:val="00CB2976"/>
    <w:rsid w:val="00CB2F23"/>
    <w:rsid w:val="00CB31C4"/>
    <w:rsid w:val="00CB35EB"/>
    <w:rsid w:val="00CB39DE"/>
    <w:rsid w:val="00CB3B27"/>
    <w:rsid w:val="00CB45A3"/>
    <w:rsid w:val="00CB4761"/>
    <w:rsid w:val="00CB4ADF"/>
    <w:rsid w:val="00CB4B9C"/>
    <w:rsid w:val="00CB548D"/>
    <w:rsid w:val="00CB57BB"/>
    <w:rsid w:val="00CB5E51"/>
    <w:rsid w:val="00CB6AB0"/>
    <w:rsid w:val="00CB6E87"/>
    <w:rsid w:val="00CB6ED0"/>
    <w:rsid w:val="00CB6F8E"/>
    <w:rsid w:val="00CB7629"/>
    <w:rsid w:val="00CC0549"/>
    <w:rsid w:val="00CC0B26"/>
    <w:rsid w:val="00CC0EEB"/>
    <w:rsid w:val="00CC1534"/>
    <w:rsid w:val="00CC1569"/>
    <w:rsid w:val="00CC173B"/>
    <w:rsid w:val="00CC1BEC"/>
    <w:rsid w:val="00CC2778"/>
    <w:rsid w:val="00CC30D3"/>
    <w:rsid w:val="00CC32DC"/>
    <w:rsid w:val="00CC4176"/>
    <w:rsid w:val="00CC4881"/>
    <w:rsid w:val="00CC489B"/>
    <w:rsid w:val="00CC4CE8"/>
    <w:rsid w:val="00CC5086"/>
    <w:rsid w:val="00CC5453"/>
    <w:rsid w:val="00CC5637"/>
    <w:rsid w:val="00CC576F"/>
    <w:rsid w:val="00CC600A"/>
    <w:rsid w:val="00CC668C"/>
    <w:rsid w:val="00CC6EE3"/>
    <w:rsid w:val="00CC72E9"/>
    <w:rsid w:val="00CC7466"/>
    <w:rsid w:val="00CC75EF"/>
    <w:rsid w:val="00CC7653"/>
    <w:rsid w:val="00CC77F5"/>
    <w:rsid w:val="00CC7A1D"/>
    <w:rsid w:val="00CC7CC4"/>
    <w:rsid w:val="00CC7E75"/>
    <w:rsid w:val="00CD0091"/>
    <w:rsid w:val="00CD06AE"/>
    <w:rsid w:val="00CD0980"/>
    <w:rsid w:val="00CD10D3"/>
    <w:rsid w:val="00CD1141"/>
    <w:rsid w:val="00CD15E9"/>
    <w:rsid w:val="00CD18F5"/>
    <w:rsid w:val="00CD1C5E"/>
    <w:rsid w:val="00CD1EC3"/>
    <w:rsid w:val="00CD20CC"/>
    <w:rsid w:val="00CD2ADB"/>
    <w:rsid w:val="00CD2BCD"/>
    <w:rsid w:val="00CD2D66"/>
    <w:rsid w:val="00CD2F4F"/>
    <w:rsid w:val="00CD3037"/>
    <w:rsid w:val="00CD3A4C"/>
    <w:rsid w:val="00CD3EFD"/>
    <w:rsid w:val="00CD51EE"/>
    <w:rsid w:val="00CD61B5"/>
    <w:rsid w:val="00CD64F1"/>
    <w:rsid w:val="00CD64F2"/>
    <w:rsid w:val="00CD6DDE"/>
    <w:rsid w:val="00CD6E2D"/>
    <w:rsid w:val="00CD7333"/>
    <w:rsid w:val="00CD743F"/>
    <w:rsid w:val="00CD765C"/>
    <w:rsid w:val="00CD7C6A"/>
    <w:rsid w:val="00CD7EBF"/>
    <w:rsid w:val="00CE09B5"/>
    <w:rsid w:val="00CE0DF7"/>
    <w:rsid w:val="00CE0EF4"/>
    <w:rsid w:val="00CE10E9"/>
    <w:rsid w:val="00CE2310"/>
    <w:rsid w:val="00CE27B3"/>
    <w:rsid w:val="00CE27BA"/>
    <w:rsid w:val="00CE2910"/>
    <w:rsid w:val="00CE2CC0"/>
    <w:rsid w:val="00CE3681"/>
    <w:rsid w:val="00CE4D1F"/>
    <w:rsid w:val="00CE513A"/>
    <w:rsid w:val="00CE5393"/>
    <w:rsid w:val="00CE544C"/>
    <w:rsid w:val="00CE6612"/>
    <w:rsid w:val="00CE7163"/>
    <w:rsid w:val="00CE716D"/>
    <w:rsid w:val="00CE7CED"/>
    <w:rsid w:val="00CF0301"/>
    <w:rsid w:val="00CF0642"/>
    <w:rsid w:val="00CF0862"/>
    <w:rsid w:val="00CF0E92"/>
    <w:rsid w:val="00CF16ED"/>
    <w:rsid w:val="00CF1B80"/>
    <w:rsid w:val="00CF2597"/>
    <w:rsid w:val="00CF2741"/>
    <w:rsid w:val="00CF2881"/>
    <w:rsid w:val="00CF2FA6"/>
    <w:rsid w:val="00CF307D"/>
    <w:rsid w:val="00CF36BE"/>
    <w:rsid w:val="00CF36E2"/>
    <w:rsid w:val="00CF427C"/>
    <w:rsid w:val="00CF462D"/>
    <w:rsid w:val="00CF4ABA"/>
    <w:rsid w:val="00CF53B5"/>
    <w:rsid w:val="00CF5C45"/>
    <w:rsid w:val="00CF5E6A"/>
    <w:rsid w:val="00CF6000"/>
    <w:rsid w:val="00CF6B19"/>
    <w:rsid w:val="00CF6C87"/>
    <w:rsid w:val="00CF6F52"/>
    <w:rsid w:val="00CF754D"/>
    <w:rsid w:val="00CF75FE"/>
    <w:rsid w:val="00CF7B88"/>
    <w:rsid w:val="00CF7FCD"/>
    <w:rsid w:val="00D003ED"/>
    <w:rsid w:val="00D003F3"/>
    <w:rsid w:val="00D00479"/>
    <w:rsid w:val="00D006CB"/>
    <w:rsid w:val="00D015D1"/>
    <w:rsid w:val="00D0180E"/>
    <w:rsid w:val="00D02154"/>
    <w:rsid w:val="00D02D57"/>
    <w:rsid w:val="00D02ED0"/>
    <w:rsid w:val="00D0364F"/>
    <w:rsid w:val="00D036BD"/>
    <w:rsid w:val="00D043E9"/>
    <w:rsid w:val="00D048C0"/>
    <w:rsid w:val="00D04902"/>
    <w:rsid w:val="00D04B22"/>
    <w:rsid w:val="00D0546E"/>
    <w:rsid w:val="00D05812"/>
    <w:rsid w:val="00D059C3"/>
    <w:rsid w:val="00D05B2A"/>
    <w:rsid w:val="00D06071"/>
    <w:rsid w:val="00D06732"/>
    <w:rsid w:val="00D06834"/>
    <w:rsid w:val="00D06E09"/>
    <w:rsid w:val="00D072FD"/>
    <w:rsid w:val="00D076E3"/>
    <w:rsid w:val="00D0792E"/>
    <w:rsid w:val="00D07A98"/>
    <w:rsid w:val="00D07E6D"/>
    <w:rsid w:val="00D10037"/>
    <w:rsid w:val="00D10898"/>
    <w:rsid w:val="00D10BA6"/>
    <w:rsid w:val="00D110AB"/>
    <w:rsid w:val="00D11309"/>
    <w:rsid w:val="00D11362"/>
    <w:rsid w:val="00D115A7"/>
    <w:rsid w:val="00D11612"/>
    <w:rsid w:val="00D1163F"/>
    <w:rsid w:val="00D11DD6"/>
    <w:rsid w:val="00D11F22"/>
    <w:rsid w:val="00D12575"/>
    <w:rsid w:val="00D127F2"/>
    <w:rsid w:val="00D131B4"/>
    <w:rsid w:val="00D13332"/>
    <w:rsid w:val="00D133FD"/>
    <w:rsid w:val="00D13E9D"/>
    <w:rsid w:val="00D1488F"/>
    <w:rsid w:val="00D14A55"/>
    <w:rsid w:val="00D15847"/>
    <w:rsid w:val="00D15CED"/>
    <w:rsid w:val="00D16539"/>
    <w:rsid w:val="00D16644"/>
    <w:rsid w:val="00D16A51"/>
    <w:rsid w:val="00D16F9A"/>
    <w:rsid w:val="00D1730A"/>
    <w:rsid w:val="00D174BE"/>
    <w:rsid w:val="00D17763"/>
    <w:rsid w:val="00D17EA7"/>
    <w:rsid w:val="00D21D14"/>
    <w:rsid w:val="00D21DE7"/>
    <w:rsid w:val="00D21EF3"/>
    <w:rsid w:val="00D2246D"/>
    <w:rsid w:val="00D2343C"/>
    <w:rsid w:val="00D2374E"/>
    <w:rsid w:val="00D23AB7"/>
    <w:rsid w:val="00D23BC3"/>
    <w:rsid w:val="00D24017"/>
    <w:rsid w:val="00D245D0"/>
    <w:rsid w:val="00D24F2C"/>
    <w:rsid w:val="00D252F0"/>
    <w:rsid w:val="00D25D85"/>
    <w:rsid w:val="00D26596"/>
    <w:rsid w:val="00D26AE4"/>
    <w:rsid w:val="00D26F7F"/>
    <w:rsid w:val="00D27261"/>
    <w:rsid w:val="00D27690"/>
    <w:rsid w:val="00D308D0"/>
    <w:rsid w:val="00D308ED"/>
    <w:rsid w:val="00D3116A"/>
    <w:rsid w:val="00D31EEF"/>
    <w:rsid w:val="00D3284D"/>
    <w:rsid w:val="00D32C75"/>
    <w:rsid w:val="00D32CFF"/>
    <w:rsid w:val="00D33FFA"/>
    <w:rsid w:val="00D34914"/>
    <w:rsid w:val="00D34CCA"/>
    <w:rsid w:val="00D35635"/>
    <w:rsid w:val="00D35826"/>
    <w:rsid w:val="00D36581"/>
    <w:rsid w:val="00D36715"/>
    <w:rsid w:val="00D36CD8"/>
    <w:rsid w:val="00D36D86"/>
    <w:rsid w:val="00D37292"/>
    <w:rsid w:val="00D37889"/>
    <w:rsid w:val="00D40438"/>
    <w:rsid w:val="00D40EB3"/>
    <w:rsid w:val="00D40F68"/>
    <w:rsid w:val="00D416A3"/>
    <w:rsid w:val="00D419B9"/>
    <w:rsid w:val="00D4227B"/>
    <w:rsid w:val="00D428AA"/>
    <w:rsid w:val="00D429C0"/>
    <w:rsid w:val="00D42C24"/>
    <w:rsid w:val="00D43469"/>
    <w:rsid w:val="00D4376B"/>
    <w:rsid w:val="00D440AD"/>
    <w:rsid w:val="00D447C7"/>
    <w:rsid w:val="00D448CE"/>
    <w:rsid w:val="00D448EB"/>
    <w:rsid w:val="00D44BA1"/>
    <w:rsid w:val="00D44F9B"/>
    <w:rsid w:val="00D452AF"/>
    <w:rsid w:val="00D453C5"/>
    <w:rsid w:val="00D4572A"/>
    <w:rsid w:val="00D45BEB"/>
    <w:rsid w:val="00D45C45"/>
    <w:rsid w:val="00D460CD"/>
    <w:rsid w:val="00D46446"/>
    <w:rsid w:val="00D464FA"/>
    <w:rsid w:val="00D46514"/>
    <w:rsid w:val="00D46651"/>
    <w:rsid w:val="00D4668C"/>
    <w:rsid w:val="00D46BD0"/>
    <w:rsid w:val="00D46D6D"/>
    <w:rsid w:val="00D4724E"/>
    <w:rsid w:val="00D47825"/>
    <w:rsid w:val="00D47AC4"/>
    <w:rsid w:val="00D47C11"/>
    <w:rsid w:val="00D5067D"/>
    <w:rsid w:val="00D50683"/>
    <w:rsid w:val="00D50A34"/>
    <w:rsid w:val="00D50B60"/>
    <w:rsid w:val="00D510F7"/>
    <w:rsid w:val="00D51CC2"/>
    <w:rsid w:val="00D51D01"/>
    <w:rsid w:val="00D51D8D"/>
    <w:rsid w:val="00D52036"/>
    <w:rsid w:val="00D52092"/>
    <w:rsid w:val="00D52221"/>
    <w:rsid w:val="00D52228"/>
    <w:rsid w:val="00D52361"/>
    <w:rsid w:val="00D52652"/>
    <w:rsid w:val="00D52B58"/>
    <w:rsid w:val="00D53204"/>
    <w:rsid w:val="00D5396A"/>
    <w:rsid w:val="00D53DEC"/>
    <w:rsid w:val="00D53EFA"/>
    <w:rsid w:val="00D545C1"/>
    <w:rsid w:val="00D546DA"/>
    <w:rsid w:val="00D54FEC"/>
    <w:rsid w:val="00D55333"/>
    <w:rsid w:val="00D557BA"/>
    <w:rsid w:val="00D560EA"/>
    <w:rsid w:val="00D56298"/>
    <w:rsid w:val="00D56CA7"/>
    <w:rsid w:val="00D57098"/>
    <w:rsid w:val="00D57C41"/>
    <w:rsid w:val="00D57F9D"/>
    <w:rsid w:val="00D60287"/>
    <w:rsid w:val="00D60452"/>
    <w:rsid w:val="00D60C86"/>
    <w:rsid w:val="00D60D2C"/>
    <w:rsid w:val="00D60D49"/>
    <w:rsid w:val="00D616D1"/>
    <w:rsid w:val="00D618A5"/>
    <w:rsid w:val="00D61C90"/>
    <w:rsid w:val="00D620E0"/>
    <w:rsid w:val="00D62F11"/>
    <w:rsid w:val="00D62F9F"/>
    <w:rsid w:val="00D6303D"/>
    <w:rsid w:val="00D632CA"/>
    <w:rsid w:val="00D63527"/>
    <w:rsid w:val="00D63909"/>
    <w:rsid w:val="00D63A64"/>
    <w:rsid w:val="00D64D5B"/>
    <w:rsid w:val="00D65376"/>
    <w:rsid w:val="00D65EDB"/>
    <w:rsid w:val="00D661E9"/>
    <w:rsid w:val="00D664D3"/>
    <w:rsid w:val="00D66537"/>
    <w:rsid w:val="00D6666E"/>
    <w:rsid w:val="00D66B74"/>
    <w:rsid w:val="00D66EB7"/>
    <w:rsid w:val="00D672EE"/>
    <w:rsid w:val="00D67A9F"/>
    <w:rsid w:val="00D702EB"/>
    <w:rsid w:val="00D707E2"/>
    <w:rsid w:val="00D70A86"/>
    <w:rsid w:val="00D70F1A"/>
    <w:rsid w:val="00D715CB"/>
    <w:rsid w:val="00D72EC4"/>
    <w:rsid w:val="00D742B1"/>
    <w:rsid w:val="00D74450"/>
    <w:rsid w:val="00D74CD0"/>
    <w:rsid w:val="00D75A72"/>
    <w:rsid w:val="00D75EE3"/>
    <w:rsid w:val="00D760A6"/>
    <w:rsid w:val="00D76133"/>
    <w:rsid w:val="00D761D1"/>
    <w:rsid w:val="00D769B9"/>
    <w:rsid w:val="00D77607"/>
    <w:rsid w:val="00D77CD5"/>
    <w:rsid w:val="00D8002E"/>
    <w:rsid w:val="00D80A30"/>
    <w:rsid w:val="00D80F66"/>
    <w:rsid w:val="00D81541"/>
    <w:rsid w:val="00D81F35"/>
    <w:rsid w:val="00D822DE"/>
    <w:rsid w:val="00D823C3"/>
    <w:rsid w:val="00D82490"/>
    <w:rsid w:val="00D827FD"/>
    <w:rsid w:val="00D82D6F"/>
    <w:rsid w:val="00D835D6"/>
    <w:rsid w:val="00D83839"/>
    <w:rsid w:val="00D83849"/>
    <w:rsid w:val="00D83A13"/>
    <w:rsid w:val="00D8451F"/>
    <w:rsid w:val="00D85C31"/>
    <w:rsid w:val="00D862B5"/>
    <w:rsid w:val="00D862D5"/>
    <w:rsid w:val="00D867B1"/>
    <w:rsid w:val="00D868DB"/>
    <w:rsid w:val="00D86943"/>
    <w:rsid w:val="00D86971"/>
    <w:rsid w:val="00D86DCA"/>
    <w:rsid w:val="00D874BE"/>
    <w:rsid w:val="00D879D4"/>
    <w:rsid w:val="00D90189"/>
    <w:rsid w:val="00D9051F"/>
    <w:rsid w:val="00D90FA1"/>
    <w:rsid w:val="00D91298"/>
    <w:rsid w:val="00D9156E"/>
    <w:rsid w:val="00D91B69"/>
    <w:rsid w:val="00D92826"/>
    <w:rsid w:val="00D928C8"/>
    <w:rsid w:val="00D92C4C"/>
    <w:rsid w:val="00D92F01"/>
    <w:rsid w:val="00D9356E"/>
    <w:rsid w:val="00D93BD4"/>
    <w:rsid w:val="00D94704"/>
    <w:rsid w:val="00D948E4"/>
    <w:rsid w:val="00D94A7C"/>
    <w:rsid w:val="00D94F1A"/>
    <w:rsid w:val="00D95082"/>
    <w:rsid w:val="00D957CF"/>
    <w:rsid w:val="00D95847"/>
    <w:rsid w:val="00D95896"/>
    <w:rsid w:val="00D95AFC"/>
    <w:rsid w:val="00D9620C"/>
    <w:rsid w:val="00D9639A"/>
    <w:rsid w:val="00D9684F"/>
    <w:rsid w:val="00D969CA"/>
    <w:rsid w:val="00D969F4"/>
    <w:rsid w:val="00D9760D"/>
    <w:rsid w:val="00D97F1A"/>
    <w:rsid w:val="00DA01FF"/>
    <w:rsid w:val="00DA0FD6"/>
    <w:rsid w:val="00DA107F"/>
    <w:rsid w:val="00DA1255"/>
    <w:rsid w:val="00DA193F"/>
    <w:rsid w:val="00DA1AE3"/>
    <w:rsid w:val="00DA1E71"/>
    <w:rsid w:val="00DA2008"/>
    <w:rsid w:val="00DA2082"/>
    <w:rsid w:val="00DA2B71"/>
    <w:rsid w:val="00DA2BD6"/>
    <w:rsid w:val="00DA2FAB"/>
    <w:rsid w:val="00DA3036"/>
    <w:rsid w:val="00DA3B2F"/>
    <w:rsid w:val="00DA4130"/>
    <w:rsid w:val="00DA4670"/>
    <w:rsid w:val="00DA4BB7"/>
    <w:rsid w:val="00DA521E"/>
    <w:rsid w:val="00DA5582"/>
    <w:rsid w:val="00DA5D9A"/>
    <w:rsid w:val="00DA6700"/>
    <w:rsid w:val="00DA6735"/>
    <w:rsid w:val="00DA6CC9"/>
    <w:rsid w:val="00DA6D61"/>
    <w:rsid w:val="00DA761F"/>
    <w:rsid w:val="00DA7A33"/>
    <w:rsid w:val="00DA7AA9"/>
    <w:rsid w:val="00DA7D56"/>
    <w:rsid w:val="00DB0745"/>
    <w:rsid w:val="00DB0A4C"/>
    <w:rsid w:val="00DB1035"/>
    <w:rsid w:val="00DB1847"/>
    <w:rsid w:val="00DB1917"/>
    <w:rsid w:val="00DB1BD9"/>
    <w:rsid w:val="00DB1C9E"/>
    <w:rsid w:val="00DB282B"/>
    <w:rsid w:val="00DB2983"/>
    <w:rsid w:val="00DB29AC"/>
    <w:rsid w:val="00DB300E"/>
    <w:rsid w:val="00DB3066"/>
    <w:rsid w:val="00DB3A5E"/>
    <w:rsid w:val="00DB41BB"/>
    <w:rsid w:val="00DB53B8"/>
    <w:rsid w:val="00DB60FB"/>
    <w:rsid w:val="00DB6410"/>
    <w:rsid w:val="00DB66EA"/>
    <w:rsid w:val="00DB69BE"/>
    <w:rsid w:val="00DB6B20"/>
    <w:rsid w:val="00DB6D9F"/>
    <w:rsid w:val="00DB6DA7"/>
    <w:rsid w:val="00DB6E2C"/>
    <w:rsid w:val="00DB6F97"/>
    <w:rsid w:val="00DB730A"/>
    <w:rsid w:val="00DB7327"/>
    <w:rsid w:val="00DC0ED2"/>
    <w:rsid w:val="00DC1257"/>
    <w:rsid w:val="00DC151F"/>
    <w:rsid w:val="00DC1601"/>
    <w:rsid w:val="00DC2385"/>
    <w:rsid w:val="00DC319C"/>
    <w:rsid w:val="00DC32E3"/>
    <w:rsid w:val="00DC34FB"/>
    <w:rsid w:val="00DC3DC0"/>
    <w:rsid w:val="00DC4046"/>
    <w:rsid w:val="00DC4353"/>
    <w:rsid w:val="00DC43D4"/>
    <w:rsid w:val="00DC43EF"/>
    <w:rsid w:val="00DC4636"/>
    <w:rsid w:val="00DC4802"/>
    <w:rsid w:val="00DC4956"/>
    <w:rsid w:val="00DC5614"/>
    <w:rsid w:val="00DC58D7"/>
    <w:rsid w:val="00DC5B2B"/>
    <w:rsid w:val="00DC5E23"/>
    <w:rsid w:val="00DC61AF"/>
    <w:rsid w:val="00DC64C8"/>
    <w:rsid w:val="00DC6509"/>
    <w:rsid w:val="00DC7425"/>
    <w:rsid w:val="00DC753A"/>
    <w:rsid w:val="00DC78BE"/>
    <w:rsid w:val="00DC7957"/>
    <w:rsid w:val="00DD032F"/>
    <w:rsid w:val="00DD0390"/>
    <w:rsid w:val="00DD097E"/>
    <w:rsid w:val="00DD0BCF"/>
    <w:rsid w:val="00DD1578"/>
    <w:rsid w:val="00DD1834"/>
    <w:rsid w:val="00DD1C56"/>
    <w:rsid w:val="00DD1DE7"/>
    <w:rsid w:val="00DD1EE6"/>
    <w:rsid w:val="00DD22CD"/>
    <w:rsid w:val="00DD25D4"/>
    <w:rsid w:val="00DD318D"/>
    <w:rsid w:val="00DD350A"/>
    <w:rsid w:val="00DD3DD0"/>
    <w:rsid w:val="00DD41EA"/>
    <w:rsid w:val="00DD436F"/>
    <w:rsid w:val="00DD4964"/>
    <w:rsid w:val="00DD500E"/>
    <w:rsid w:val="00DD50DF"/>
    <w:rsid w:val="00DD57FA"/>
    <w:rsid w:val="00DD5C5F"/>
    <w:rsid w:val="00DD5D87"/>
    <w:rsid w:val="00DD6A2B"/>
    <w:rsid w:val="00DD6DA0"/>
    <w:rsid w:val="00DD7019"/>
    <w:rsid w:val="00DD7204"/>
    <w:rsid w:val="00DD7628"/>
    <w:rsid w:val="00DD7C7E"/>
    <w:rsid w:val="00DE014A"/>
    <w:rsid w:val="00DE0204"/>
    <w:rsid w:val="00DE04D3"/>
    <w:rsid w:val="00DE086C"/>
    <w:rsid w:val="00DE0D57"/>
    <w:rsid w:val="00DE15B6"/>
    <w:rsid w:val="00DE1D55"/>
    <w:rsid w:val="00DE1F63"/>
    <w:rsid w:val="00DE2065"/>
    <w:rsid w:val="00DE2285"/>
    <w:rsid w:val="00DE27A0"/>
    <w:rsid w:val="00DE2C19"/>
    <w:rsid w:val="00DE2DA9"/>
    <w:rsid w:val="00DE3085"/>
    <w:rsid w:val="00DE3764"/>
    <w:rsid w:val="00DE390D"/>
    <w:rsid w:val="00DE3970"/>
    <w:rsid w:val="00DE3D87"/>
    <w:rsid w:val="00DE42D8"/>
    <w:rsid w:val="00DE47B6"/>
    <w:rsid w:val="00DE48B6"/>
    <w:rsid w:val="00DE4DB0"/>
    <w:rsid w:val="00DE5A6F"/>
    <w:rsid w:val="00DE5F58"/>
    <w:rsid w:val="00DE601C"/>
    <w:rsid w:val="00DE6B52"/>
    <w:rsid w:val="00DE7208"/>
    <w:rsid w:val="00DE7775"/>
    <w:rsid w:val="00DE7BD4"/>
    <w:rsid w:val="00DF014F"/>
    <w:rsid w:val="00DF019E"/>
    <w:rsid w:val="00DF0573"/>
    <w:rsid w:val="00DF08E2"/>
    <w:rsid w:val="00DF09B2"/>
    <w:rsid w:val="00DF0A0E"/>
    <w:rsid w:val="00DF1211"/>
    <w:rsid w:val="00DF2319"/>
    <w:rsid w:val="00DF23FF"/>
    <w:rsid w:val="00DF24CF"/>
    <w:rsid w:val="00DF26F1"/>
    <w:rsid w:val="00DF271A"/>
    <w:rsid w:val="00DF2D92"/>
    <w:rsid w:val="00DF2E12"/>
    <w:rsid w:val="00DF32A2"/>
    <w:rsid w:val="00DF40D3"/>
    <w:rsid w:val="00DF4150"/>
    <w:rsid w:val="00DF422D"/>
    <w:rsid w:val="00DF439A"/>
    <w:rsid w:val="00DF48AA"/>
    <w:rsid w:val="00DF4CDA"/>
    <w:rsid w:val="00DF4CED"/>
    <w:rsid w:val="00DF514A"/>
    <w:rsid w:val="00DF52A8"/>
    <w:rsid w:val="00DF60F3"/>
    <w:rsid w:val="00DF6690"/>
    <w:rsid w:val="00DF6804"/>
    <w:rsid w:val="00DF6CB3"/>
    <w:rsid w:val="00DF6D46"/>
    <w:rsid w:val="00DF7D71"/>
    <w:rsid w:val="00E0023E"/>
    <w:rsid w:val="00E0039A"/>
    <w:rsid w:val="00E00C36"/>
    <w:rsid w:val="00E015B5"/>
    <w:rsid w:val="00E01827"/>
    <w:rsid w:val="00E01BF1"/>
    <w:rsid w:val="00E029D2"/>
    <w:rsid w:val="00E02D4E"/>
    <w:rsid w:val="00E03059"/>
    <w:rsid w:val="00E0358D"/>
    <w:rsid w:val="00E04323"/>
    <w:rsid w:val="00E057E8"/>
    <w:rsid w:val="00E05E88"/>
    <w:rsid w:val="00E060E0"/>
    <w:rsid w:val="00E06AC2"/>
    <w:rsid w:val="00E070A2"/>
    <w:rsid w:val="00E07793"/>
    <w:rsid w:val="00E07C1B"/>
    <w:rsid w:val="00E07E0B"/>
    <w:rsid w:val="00E07F60"/>
    <w:rsid w:val="00E106A0"/>
    <w:rsid w:val="00E107C5"/>
    <w:rsid w:val="00E1086F"/>
    <w:rsid w:val="00E10DF0"/>
    <w:rsid w:val="00E12330"/>
    <w:rsid w:val="00E12359"/>
    <w:rsid w:val="00E1251A"/>
    <w:rsid w:val="00E126D1"/>
    <w:rsid w:val="00E12BA9"/>
    <w:rsid w:val="00E12D0F"/>
    <w:rsid w:val="00E12E14"/>
    <w:rsid w:val="00E131C9"/>
    <w:rsid w:val="00E13760"/>
    <w:rsid w:val="00E13829"/>
    <w:rsid w:val="00E13E75"/>
    <w:rsid w:val="00E144C4"/>
    <w:rsid w:val="00E14675"/>
    <w:rsid w:val="00E14838"/>
    <w:rsid w:val="00E1489F"/>
    <w:rsid w:val="00E14E19"/>
    <w:rsid w:val="00E15036"/>
    <w:rsid w:val="00E1538A"/>
    <w:rsid w:val="00E15624"/>
    <w:rsid w:val="00E15735"/>
    <w:rsid w:val="00E15E6F"/>
    <w:rsid w:val="00E16145"/>
    <w:rsid w:val="00E162EF"/>
    <w:rsid w:val="00E16350"/>
    <w:rsid w:val="00E16AE8"/>
    <w:rsid w:val="00E16ECE"/>
    <w:rsid w:val="00E171F2"/>
    <w:rsid w:val="00E1741A"/>
    <w:rsid w:val="00E17978"/>
    <w:rsid w:val="00E17B50"/>
    <w:rsid w:val="00E17B56"/>
    <w:rsid w:val="00E20528"/>
    <w:rsid w:val="00E20887"/>
    <w:rsid w:val="00E20D4E"/>
    <w:rsid w:val="00E20FE0"/>
    <w:rsid w:val="00E216A4"/>
    <w:rsid w:val="00E21D1D"/>
    <w:rsid w:val="00E223FF"/>
    <w:rsid w:val="00E22DA4"/>
    <w:rsid w:val="00E22E19"/>
    <w:rsid w:val="00E236CC"/>
    <w:rsid w:val="00E23955"/>
    <w:rsid w:val="00E23BB8"/>
    <w:rsid w:val="00E23D3F"/>
    <w:rsid w:val="00E23EA3"/>
    <w:rsid w:val="00E24340"/>
    <w:rsid w:val="00E2443D"/>
    <w:rsid w:val="00E245C4"/>
    <w:rsid w:val="00E257B0"/>
    <w:rsid w:val="00E25BA0"/>
    <w:rsid w:val="00E26293"/>
    <w:rsid w:val="00E2656A"/>
    <w:rsid w:val="00E2662C"/>
    <w:rsid w:val="00E26833"/>
    <w:rsid w:val="00E26B8A"/>
    <w:rsid w:val="00E26FB1"/>
    <w:rsid w:val="00E30900"/>
    <w:rsid w:val="00E3090C"/>
    <w:rsid w:val="00E30AAE"/>
    <w:rsid w:val="00E30D6F"/>
    <w:rsid w:val="00E30DE8"/>
    <w:rsid w:val="00E318BD"/>
    <w:rsid w:val="00E31912"/>
    <w:rsid w:val="00E31A50"/>
    <w:rsid w:val="00E321EE"/>
    <w:rsid w:val="00E332BB"/>
    <w:rsid w:val="00E333BB"/>
    <w:rsid w:val="00E3359B"/>
    <w:rsid w:val="00E337C0"/>
    <w:rsid w:val="00E33B74"/>
    <w:rsid w:val="00E34685"/>
    <w:rsid w:val="00E34FE7"/>
    <w:rsid w:val="00E35172"/>
    <w:rsid w:val="00E35844"/>
    <w:rsid w:val="00E368D4"/>
    <w:rsid w:val="00E36B9E"/>
    <w:rsid w:val="00E36BB5"/>
    <w:rsid w:val="00E3721A"/>
    <w:rsid w:val="00E37B7D"/>
    <w:rsid w:val="00E37E21"/>
    <w:rsid w:val="00E37E84"/>
    <w:rsid w:val="00E40AFC"/>
    <w:rsid w:val="00E40E4E"/>
    <w:rsid w:val="00E412D0"/>
    <w:rsid w:val="00E415E3"/>
    <w:rsid w:val="00E4180F"/>
    <w:rsid w:val="00E418E9"/>
    <w:rsid w:val="00E42217"/>
    <w:rsid w:val="00E424E2"/>
    <w:rsid w:val="00E42773"/>
    <w:rsid w:val="00E427EB"/>
    <w:rsid w:val="00E42834"/>
    <w:rsid w:val="00E4302A"/>
    <w:rsid w:val="00E43145"/>
    <w:rsid w:val="00E43295"/>
    <w:rsid w:val="00E43736"/>
    <w:rsid w:val="00E43972"/>
    <w:rsid w:val="00E43C83"/>
    <w:rsid w:val="00E44275"/>
    <w:rsid w:val="00E44AD4"/>
    <w:rsid w:val="00E452AF"/>
    <w:rsid w:val="00E4548E"/>
    <w:rsid w:val="00E45A88"/>
    <w:rsid w:val="00E45F8B"/>
    <w:rsid w:val="00E46126"/>
    <w:rsid w:val="00E46517"/>
    <w:rsid w:val="00E46824"/>
    <w:rsid w:val="00E46915"/>
    <w:rsid w:val="00E46B5D"/>
    <w:rsid w:val="00E472B3"/>
    <w:rsid w:val="00E47ED2"/>
    <w:rsid w:val="00E5032A"/>
    <w:rsid w:val="00E50C90"/>
    <w:rsid w:val="00E50EBA"/>
    <w:rsid w:val="00E5159D"/>
    <w:rsid w:val="00E52501"/>
    <w:rsid w:val="00E528F8"/>
    <w:rsid w:val="00E52B3A"/>
    <w:rsid w:val="00E52BC0"/>
    <w:rsid w:val="00E52FD5"/>
    <w:rsid w:val="00E531BF"/>
    <w:rsid w:val="00E532FE"/>
    <w:rsid w:val="00E53EEB"/>
    <w:rsid w:val="00E54350"/>
    <w:rsid w:val="00E56322"/>
    <w:rsid w:val="00E56734"/>
    <w:rsid w:val="00E5677C"/>
    <w:rsid w:val="00E569EF"/>
    <w:rsid w:val="00E56A88"/>
    <w:rsid w:val="00E577B8"/>
    <w:rsid w:val="00E603C9"/>
    <w:rsid w:val="00E60982"/>
    <w:rsid w:val="00E61B6B"/>
    <w:rsid w:val="00E61EBC"/>
    <w:rsid w:val="00E62474"/>
    <w:rsid w:val="00E62758"/>
    <w:rsid w:val="00E62C62"/>
    <w:rsid w:val="00E63567"/>
    <w:rsid w:val="00E63FC7"/>
    <w:rsid w:val="00E64303"/>
    <w:rsid w:val="00E64AED"/>
    <w:rsid w:val="00E64D5C"/>
    <w:rsid w:val="00E65022"/>
    <w:rsid w:val="00E654C1"/>
    <w:rsid w:val="00E65B2C"/>
    <w:rsid w:val="00E65D97"/>
    <w:rsid w:val="00E66189"/>
    <w:rsid w:val="00E662C4"/>
    <w:rsid w:val="00E66874"/>
    <w:rsid w:val="00E66892"/>
    <w:rsid w:val="00E67068"/>
    <w:rsid w:val="00E6728D"/>
    <w:rsid w:val="00E672B2"/>
    <w:rsid w:val="00E674C4"/>
    <w:rsid w:val="00E6782F"/>
    <w:rsid w:val="00E70A4F"/>
    <w:rsid w:val="00E71135"/>
    <w:rsid w:val="00E714AA"/>
    <w:rsid w:val="00E71ED4"/>
    <w:rsid w:val="00E72186"/>
    <w:rsid w:val="00E72A5A"/>
    <w:rsid w:val="00E72A8F"/>
    <w:rsid w:val="00E72B86"/>
    <w:rsid w:val="00E73354"/>
    <w:rsid w:val="00E737F9"/>
    <w:rsid w:val="00E73C05"/>
    <w:rsid w:val="00E74902"/>
    <w:rsid w:val="00E749BD"/>
    <w:rsid w:val="00E74A89"/>
    <w:rsid w:val="00E7539A"/>
    <w:rsid w:val="00E754FC"/>
    <w:rsid w:val="00E75528"/>
    <w:rsid w:val="00E7575B"/>
    <w:rsid w:val="00E757CF"/>
    <w:rsid w:val="00E75D17"/>
    <w:rsid w:val="00E75D9A"/>
    <w:rsid w:val="00E764A1"/>
    <w:rsid w:val="00E76573"/>
    <w:rsid w:val="00E765C9"/>
    <w:rsid w:val="00E76989"/>
    <w:rsid w:val="00E76A2E"/>
    <w:rsid w:val="00E76F0C"/>
    <w:rsid w:val="00E7703D"/>
    <w:rsid w:val="00E77146"/>
    <w:rsid w:val="00E7765A"/>
    <w:rsid w:val="00E77C2D"/>
    <w:rsid w:val="00E80761"/>
    <w:rsid w:val="00E80D2F"/>
    <w:rsid w:val="00E80E27"/>
    <w:rsid w:val="00E810E1"/>
    <w:rsid w:val="00E812E7"/>
    <w:rsid w:val="00E81819"/>
    <w:rsid w:val="00E81E79"/>
    <w:rsid w:val="00E81F95"/>
    <w:rsid w:val="00E8227A"/>
    <w:rsid w:val="00E82572"/>
    <w:rsid w:val="00E82A49"/>
    <w:rsid w:val="00E82AF2"/>
    <w:rsid w:val="00E83365"/>
    <w:rsid w:val="00E83E2B"/>
    <w:rsid w:val="00E83FCC"/>
    <w:rsid w:val="00E846C7"/>
    <w:rsid w:val="00E848F6"/>
    <w:rsid w:val="00E8500B"/>
    <w:rsid w:val="00E85037"/>
    <w:rsid w:val="00E851DF"/>
    <w:rsid w:val="00E8743A"/>
    <w:rsid w:val="00E87765"/>
    <w:rsid w:val="00E87FB7"/>
    <w:rsid w:val="00E9134E"/>
    <w:rsid w:val="00E91719"/>
    <w:rsid w:val="00E91D93"/>
    <w:rsid w:val="00E91F49"/>
    <w:rsid w:val="00E9227D"/>
    <w:rsid w:val="00E9242D"/>
    <w:rsid w:val="00E925BC"/>
    <w:rsid w:val="00E929AA"/>
    <w:rsid w:val="00E92F2D"/>
    <w:rsid w:val="00E9324A"/>
    <w:rsid w:val="00E933D5"/>
    <w:rsid w:val="00E93614"/>
    <w:rsid w:val="00E9380F"/>
    <w:rsid w:val="00E95F7C"/>
    <w:rsid w:val="00E960C6"/>
    <w:rsid w:val="00E962AF"/>
    <w:rsid w:val="00E96C6E"/>
    <w:rsid w:val="00E96CAA"/>
    <w:rsid w:val="00E97297"/>
    <w:rsid w:val="00E97590"/>
    <w:rsid w:val="00E97C42"/>
    <w:rsid w:val="00EA01A1"/>
    <w:rsid w:val="00EA01D1"/>
    <w:rsid w:val="00EA06FE"/>
    <w:rsid w:val="00EA09FD"/>
    <w:rsid w:val="00EA13A7"/>
    <w:rsid w:val="00EA1739"/>
    <w:rsid w:val="00EA1D4B"/>
    <w:rsid w:val="00EA2289"/>
    <w:rsid w:val="00EA25DE"/>
    <w:rsid w:val="00EA2F07"/>
    <w:rsid w:val="00EA2F3E"/>
    <w:rsid w:val="00EA3344"/>
    <w:rsid w:val="00EA3D71"/>
    <w:rsid w:val="00EA42E7"/>
    <w:rsid w:val="00EA4489"/>
    <w:rsid w:val="00EA4602"/>
    <w:rsid w:val="00EA47FC"/>
    <w:rsid w:val="00EA59CE"/>
    <w:rsid w:val="00EA6A24"/>
    <w:rsid w:val="00EA6B0E"/>
    <w:rsid w:val="00EA7E04"/>
    <w:rsid w:val="00EA7FC8"/>
    <w:rsid w:val="00EB031E"/>
    <w:rsid w:val="00EB1D5C"/>
    <w:rsid w:val="00EB1E71"/>
    <w:rsid w:val="00EB208E"/>
    <w:rsid w:val="00EB259D"/>
    <w:rsid w:val="00EB25AA"/>
    <w:rsid w:val="00EB2B32"/>
    <w:rsid w:val="00EB3448"/>
    <w:rsid w:val="00EB38B4"/>
    <w:rsid w:val="00EB3D4C"/>
    <w:rsid w:val="00EB3D7B"/>
    <w:rsid w:val="00EB4315"/>
    <w:rsid w:val="00EB4E52"/>
    <w:rsid w:val="00EB51AF"/>
    <w:rsid w:val="00EB5255"/>
    <w:rsid w:val="00EB525A"/>
    <w:rsid w:val="00EB54CE"/>
    <w:rsid w:val="00EB56FA"/>
    <w:rsid w:val="00EB574A"/>
    <w:rsid w:val="00EB5C47"/>
    <w:rsid w:val="00EB6069"/>
    <w:rsid w:val="00EB6433"/>
    <w:rsid w:val="00EB68A3"/>
    <w:rsid w:val="00EB6ABC"/>
    <w:rsid w:val="00EB6D72"/>
    <w:rsid w:val="00EB7376"/>
    <w:rsid w:val="00EB78B2"/>
    <w:rsid w:val="00EB7C14"/>
    <w:rsid w:val="00EB7D2D"/>
    <w:rsid w:val="00EC00CC"/>
    <w:rsid w:val="00EC0116"/>
    <w:rsid w:val="00EC0450"/>
    <w:rsid w:val="00EC068A"/>
    <w:rsid w:val="00EC1316"/>
    <w:rsid w:val="00EC1554"/>
    <w:rsid w:val="00EC1D0C"/>
    <w:rsid w:val="00EC2444"/>
    <w:rsid w:val="00EC2BEF"/>
    <w:rsid w:val="00EC3056"/>
    <w:rsid w:val="00EC3E53"/>
    <w:rsid w:val="00EC4411"/>
    <w:rsid w:val="00EC466B"/>
    <w:rsid w:val="00EC4B78"/>
    <w:rsid w:val="00EC4D3A"/>
    <w:rsid w:val="00EC54FC"/>
    <w:rsid w:val="00EC62CD"/>
    <w:rsid w:val="00EC6352"/>
    <w:rsid w:val="00EC639D"/>
    <w:rsid w:val="00EC66DB"/>
    <w:rsid w:val="00EC69C9"/>
    <w:rsid w:val="00EC69E7"/>
    <w:rsid w:val="00EC729F"/>
    <w:rsid w:val="00EC742E"/>
    <w:rsid w:val="00EC7CE7"/>
    <w:rsid w:val="00ED00D4"/>
    <w:rsid w:val="00ED016B"/>
    <w:rsid w:val="00ED0639"/>
    <w:rsid w:val="00ED08AD"/>
    <w:rsid w:val="00ED0969"/>
    <w:rsid w:val="00ED0B6B"/>
    <w:rsid w:val="00ED1846"/>
    <w:rsid w:val="00ED1E3D"/>
    <w:rsid w:val="00ED2C58"/>
    <w:rsid w:val="00ED4564"/>
    <w:rsid w:val="00ED5135"/>
    <w:rsid w:val="00ED5218"/>
    <w:rsid w:val="00ED52C6"/>
    <w:rsid w:val="00ED576C"/>
    <w:rsid w:val="00ED5AE8"/>
    <w:rsid w:val="00ED5D41"/>
    <w:rsid w:val="00ED6048"/>
    <w:rsid w:val="00ED6772"/>
    <w:rsid w:val="00ED688B"/>
    <w:rsid w:val="00ED6911"/>
    <w:rsid w:val="00ED7586"/>
    <w:rsid w:val="00EE00E9"/>
    <w:rsid w:val="00EE0797"/>
    <w:rsid w:val="00EE10D8"/>
    <w:rsid w:val="00EE18B6"/>
    <w:rsid w:val="00EE1976"/>
    <w:rsid w:val="00EE1C71"/>
    <w:rsid w:val="00EE20F7"/>
    <w:rsid w:val="00EE216C"/>
    <w:rsid w:val="00EE235A"/>
    <w:rsid w:val="00EE2778"/>
    <w:rsid w:val="00EE2846"/>
    <w:rsid w:val="00EE2A11"/>
    <w:rsid w:val="00EE2FAB"/>
    <w:rsid w:val="00EE3031"/>
    <w:rsid w:val="00EE329C"/>
    <w:rsid w:val="00EE4169"/>
    <w:rsid w:val="00EE44C6"/>
    <w:rsid w:val="00EE4C21"/>
    <w:rsid w:val="00EE5527"/>
    <w:rsid w:val="00EE56F2"/>
    <w:rsid w:val="00EE5916"/>
    <w:rsid w:val="00EE596F"/>
    <w:rsid w:val="00EE5D8F"/>
    <w:rsid w:val="00EE6106"/>
    <w:rsid w:val="00EE618B"/>
    <w:rsid w:val="00EE66BB"/>
    <w:rsid w:val="00EE679B"/>
    <w:rsid w:val="00EE6E70"/>
    <w:rsid w:val="00EE6ED0"/>
    <w:rsid w:val="00EE705D"/>
    <w:rsid w:val="00EE7133"/>
    <w:rsid w:val="00EE7662"/>
    <w:rsid w:val="00EE77A8"/>
    <w:rsid w:val="00EE782E"/>
    <w:rsid w:val="00EF0231"/>
    <w:rsid w:val="00EF08E0"/>
    <w:rsid w:val="00EF0B77"/>
    <w:rsid w:val="00EF1A55"/>
    <w:rsid w:val="00EF1BED"/>
    <w:rsid w:val="00EF212D"/>
    <w:rsid w:val="00EF2DA5"/>
    <w:rsid w:val="00EF3348"/>
    <w:rsid w:val="00EF36F3"/>
    <w:rsid w:val="00EF3D93"/>
    <w:rsid w:val="00EF469A"/>
    <w:rsid w:val="00EF4755"/>
    <w:rsid w:val="00EF49F5"/>
    <w:rsid w:val="00EF4A8F"/>
    <w:rsid w:val="00EF5294"/>
    <w:rsid w:val="00EF55C1"/>
    <w:rsid w:val="00EF56B9"/>
    <w:rsid w:val="00EF571C"/>
    <w:rsid w:val="00EF57E0"/>
    <w:rsid w:val="00EF58CD"/>
    <w:rsid w:val="00EF59DF"/>
    <w:rsid w:val="00EF5FBA"/>
    <w:rsid w:val="00EF605C"/>
    <w:rsid w:val="00EF6511"/>
    <w:rsid w:val="00EF6A83"/>
    <w:rsid w:val="00EF7135"/>
    <w:rsid w:val="00EF7390"/>
    <w:rsid w:val="00EF7651"/>
    <w:rsid w:val="00EF799B"/>
    <w:rsid w:val="00EF7A79"/>
    <w:rsid w:val="00EF7D9A"/>
    <w:rsid w:val="00EF7DA3"/>
    <w:rsid w:val="00F00101"/>
    <w:rsid w:val="00F009A3"/>
    <w:rsid w:val="00F01095"/>
    <w:rsid w:val="00F014E9"/>
    <w:rsid w:val="00F016B4"/>
    <w:rsid w:val="00F025DF"/>
    <w:rsid w:val="00F027DB"/>
    <w:rsid w:val="00F02BAA"/>
    <w:rsid w:val="00F03AF8"/>
    <w:rsid w:val="00F03CBB"/>
    <w:rsid w:val="00F03D87"/>
    <w:rsid w:val="00F04389"/>
    <w:rsid w:val="00F046F8"/>
    <w:rsid w:val="00F04AC6"/>
    <w:rsid w:val="00F04EEA"/>
    <w:rsid w:val="00F050B3"/>
    <w:rsid w:val="00F05447"/>
    <w:rsid w:val="00F05474"/>
    <w:rsid w:val="00F06052"/>
    <w:rsid w:val="00F060A8"/>
    <w:rsid w:val="00F060C7"/>
    <w:rsid w:val="00F061B2"/>
    <w:rsid w:val="00F06398"/>
    <w:rsid w:val="00F063CE"/>
    <w:rsid w:val="00F0657E"/>
    <w:rsid w:val="00F06ABE"/>
    <w:rsid w:val="00F06D38"/>
    <w:rsid w:val="00F07016"/>
    <w:rsid w:val="00F0728D"/>
    <w:rsid w:val="00F07EAC"/>
    <w:rsid w:val="00F100B1"/>
    <w:rsid w:val="00F1039F"/>
    <w:rsid w:val="00F10B05"/>
    <w:rsid w:val="00F10F6C"/>
    <w:rsid w:val="00F11828"/>
    <w:rsid w:val="00F11EB0"/>
    <w:rsid w:val="00F12293"/>
    <w:rsid w:val="00F12F77"/>
    <w:rsid w:val="00F132D6"/>
    <w:rsid w:val="00F132F0"/>
    <w:rsid w:val="00F1345B"/>
    <w:rsid w:val="00F136F1"/>
    <w:rsid w:val="00F1376D"/>
    <w:rsid w:val="00F13D21"/>
    <w:rsid w:val="00F13FC5"/>
    <w:rsid w:val="00F140F6"/>
    <w:rsid w:val="00F144DF"/>
    <w:rsid w:val="00F14507"/>
    <w:rsid w:val="00F147BC"/>
    <w:rsid w:val="00F1483F"/>
    <w:rsid w:val="00F148DC"/>
    <w:rsid w:val="00F14967"/>
    <w:rsid w:val="00F14A7A"/>
    <w:rsid w:val="00F14C8F"/>
    <w:rsid w:val="00F14FEE"/>
    <w:rsid w:val="00F15155"/>
    <w:rsid w:val="00F155A3"/>
    <w:rsid w:val="00F1617C"/>
    <w:rsid w:val="00F163F6"/>
    <w:rsid w:val="00F16414"/>
    <w:rsid w:val="00F1667A"/>
    <w:rsid w:val="00F1667B"/>
    <w:rsid w:val="00F168AC"/>
    <w:rsid w:val="00F1694E"/>
    <w:rsid w:val="00F169C9"/>
    <w:rsid w:val="00F16E93"/>
    <w:rsid w:val="00F1702A"/>
    <w:rsid w:val="00F1744B"/>
    <w:rsid w:val="00F17555"/>
    <w:rsid w:val="00F2010A"/>
    <w:rsid w:val="00F20149"/>
    <w:rsid w:val="00F20965"/>
    <w:rsid w:val="00F20CDC"/>
    <w:rsid w:val="00F20D3C"/>
    <w:rsid w:val="00F210A6"/>
    <w:rsid w:val="00F2113F"/>
    <w:rsid w:val="00F21144"/>
    <w:rsid w:val="00F21157"/>
    <w:rsid w:val="00F213E9"/>
    <w:rsid w:val="00F2173F"/>
    <w:rsid w:val="00F21B87"/>
    <w:rsid w:val="00F21EF0"/>
    <w:rsid w:val="00F2223D"/>
    <w:rsid w:val="00F227F4"/>
    <w:rsid w:val="00F22985"/>
    <w:rsid w:val="00F233E5"/>
    <w:rsid w:val="00F23495"/>
    <w:rsid w:val="00F2382F"/>
    <w:rsid w:val="00F23BB4"/>
    <w:rsid w:val="00F23BC0"/>
    <w:rsid w:val="00F240E5"/>
    <w:rsid w:val="00F24FF3"/>
    <w:rsid w:val="00F25185"/>
    <w:rsid w:val="00F2529F"/>
    <w:rsid w:val="00F25650"/>
    <w:rsid w:val="00F25724"/>
    <w:rsid w:val="00F25B0E"/>
    <w:rsid w:val="00F263B6"/>
    <w:rsid w:val="00F26420"/>
    <w:rsid w:val="00F26EF7"/>
    <w:rsid w:val="00F3062A"/>
    <w:rsid w:val="00F3067A"/>
    <w:rsid w:val="00F3109E"/>
    <w:rsid w:val="00F31193"/>
    <w:rsid w:val="00F31830"/>
    <w:rsid w:val="00F32F9A"/>
    <w:rsid w:val="00F33109"/>
    <w:rsid w:val="00F3331C"/>
    <w:rsid w:val="00F335FB"/>
    <w:rsid w:val="00F3383E"/>
    <w:rsid w:val="00F3416D"/>
    <w:rsid w:val="00F348DC"/>
    <w:rsid w:val="00F34DED"/>
    <w:rsid w:val="00F34EC5"/>
    <w:rsid w:val="00F35112"/>
    <w:rsid w:val="00F357B7"/>
    <w:rsid w:val="00F37486"/>
    <w:rsid w:val="00F375CA"/>
    <w:rsid w:val="00F37894"/>
    <w:rsid w:val="00F37CF5"/>
    <w:rsid w:val="00F40164"/>
    <w:rsid w:val="00F4026C"/>
    <w:rsid w:val="00F41734"/>
    <w:rsid w:val="00F4195A"/>
    <w:rsid w:val="00F42A0D"/>
    <w:rsid w:val="00F436BF"/>
    <w:rsid w:val="00F43708"/>
    <w:rsid w:val="00F43B1C"/>
    <w:rsid w:val="00F43B8D"/>
    <w:rsid w:val="00F43E2D"/>
    <w:rsid w:val="00F443A0"/>
    <w:rsid w:val="00F45102"/>
    <w:rsid w:val="00F45CEE"/>
    <w:rsid w:val="00F46010"/>
    <w:rsid w:val="00F4608C"/>
    <w:rsid w:val="00F465A7"/>
    <w:rsid w:val="00F4693F"/>
    <w:rsid w:val="00F46AD6"/>
    <w:rsid w:val="00F46BC1"/>
    <w:rsid w:val="00F4700A"/>
    <w:rsid w:val="00F47045"/>
    <w:rsid w:val="00F476E4"/>
    <w:rsid w:val="00F47A22"/>
    <w:rsid w:val="00F47B5E"/>
    <w:rsid w:val="00F47BA4"/>
    <w:rsid w:val="00F47BDC"/>
    <w:rsid w:val="00F47C90"/>
    <w:rsid w:val="00F47F80"/>
    <w:rsid w:val="00F505C1"/>
    <w:rsid w:val="00F50B53"/>
    <w:rsid w:val="00F50B7C"/>
    <w:rsid w:val="00F51382"/>
    <w:rsid w:val="00F51A9F"/>
    <w:rsid w:val="00F529BE"/>
    <w:rsid w:val="00F52F1B"/>
    <w:rsid w:val="00F5305D"/>
    <w:rsid w:val="00F533D0"/>
    <w:rsid w:val="00F53815"/>
    <w:rsid w:val="00F54017"/>
    <w:rsid w:val="00F5438F"/>
    <w:rsid w:val="00F547D1"/>
    <w:rsid w:val="00F547E1"/>
    <w:rsid w:val="00F54BC3"/>
    <w:rsid w:val="00F54E25"/>
    <w:rsid w:val="00F550E6"/>
    <w:rsid w:val="00F553B0"/>
    <w:rsid w:val="00F558CB"/>
    <w:rsid w:val="00F55C88"/>
    <w:rsid w:val="00F55E79"/>
    <w:rsid w:val="00F55F55"/>
    <w:rsid w:val="00F5613A"/>
    <w:rsid w:val="00F563A6"/>
    <w:rsid w:val="00F57066"/>
    <w:rsid w:val="00F57290"/>
    <w:rsid w:val="00F574EE"/>
    <w:rsid w:val="00F57782"/>
    <w:rsid w:val="00F578B5"/>
    <w:rsid w:val="00F57ACA"/>
    <w:rsid w:val="00F607CC"/>
    <w:rsid w:val="00F60D3E"/>
    <w:rsid w:val="00F61325"/>
    <w:rsid w:val="00F61544"/>
    <w:rsid w:val="00F616D2"/>
    <w:rsid w:val="00F624DD"/>
    <w:rsid w:val="00F62AF4"/>
    <w:rsid w:val="00F63230"/>
    <w:rsid w:val="00F634C8"/>
    <w:rsid w:val="00F636B4"/>
    <w:rsid w:val="00F63823"/>
    <w:rsid w:val="00F6392E"/>
    <w:rsid w:val="00F63F9D"/>
    <w:rsid w:val="00F644F6"/>
    <w:rsid w:val="00F6497A"/>
    <w:rsid w:val="00F657EE"/>
    <w:rsid w:val="00F669E5"/>
    <w:rsid w:val="00F66D96"/>
    <w:rsid w:val="00F67357"/>
    <w:rsid w:val="00F6736E"/>
    <w:rsid w:val="00F67B29"/>
    <w:rsid w:val="00F70235"/>
    <w:rsid w:val="00F703AE"/>
    <w:rsid w:val="00F70B51"/>
    <w:rsid w:val="00F712AC"/>
    <w:rsid w:val="00F71656"/>
    <w:rsid w:val="00F71B6E"/>
    <w:rsid w:val="00F7261C"/>
    <w:rsid w:val="00F72D7A"/>
    <w:rsid w:val="00F73B3A"/>
    <w:rsid w:val="00F74345"/>
    <w:rsid w:val="00F74DE0"/>
    <w:rsid w:val="00F75807"/>
    <w:rsid w:val="00F75BD4"/>
    <w:rsid w:val="00F75CA9"/>
    <w:rsid w:val="00F75D99"/>
    <w:rsid w:val="00F760EC"/>
    <w:rsid w:val="00F76217"/>
    <w:rsid w:val="00F769C0"/>
    <w:rsid w:val="00F76A2F"/>
    <w:rsid w:val="00F76A5A"/>
    <w:rsid w:val="00F77213"/>
    <w:rsid w:val="00F773ED"/>
    <w:rsid w:val="00F77724"/>
    <w:rsid w:val="00F77E7A"/>
    <w:rsid w:val="00F77EF5"/>
    <w:rsid w:val="00F80A0A"/>
    <w:rsid w:val="00F8108F"/>
    <w:rsid w:val="00F815CE"/>
    <w:rsid w:val="00F81628"/>
    <w:rsid w:val="00F81CCC"/>
    <w:rsid w:val="00F81DA4"/>
    <w:rsid w:val="00F81DAB"/>
    <w:rsid w:val="00F81ED3"/>
    <w:rsid w:val="00F81FDF"/>
    <w:rsid w:val="00F82B19"/>
    <w:rsid w:val="00F832F8"/>
    <w:rsid w:val="00F83B13"/>
    <w:rsid w:val="00F83E10"/>
    <w:rsid w:val="00F8406C"/>
    <w:rsid w:val="00F84304"/>
    <w:rsid w:val="00F848BB"/>
    <w:rsid w:val="00F857F5"/>
    <w:rsid w:val="00F8584E"/>
    <w:rsid w:val="00F85A94"/>
    <w:rsid w:val="00F85E06"/>
    <w:rsid w:val="00F8670F"/>
    <w:rsid w:val="00F86D63"/>
    <w:rsid w:val="00F86D88"/>
    <w:rsid w:val="00F86F3E"/>
    <w:rsid w:val="00F87690"/>
    <w:rsid w:val="00F90751"/>
    <w:rsid w:val="00F91733"/>
    <w:rsid w:val="00F9212D"/>
    <w:rsid w:val="00F921A0"/>
    <w:rsid w:val="00F922A6"/>
    <w:rsid w:val="00F92380"/>
    <w:rsid w:val="00F92403"/>
    <w:rsid w:val="00F924BF"/>
    <w:rsid w:val="00F925A1"/>
    <w:rsid w:val="00F92FE0"/>
    <w:rsid w:val="00F9358C"/>
    <w:rsid w:val="00F94291"/>
    <w:rsid w:val="00F945C0"/>
    <w:rsid w:val="00F94D5D"/>
    <w:rsid w:val="00F94E34"/>
    <w:rsid w:val="00F95176"/>
    <w:rsid w:val="00F965DA"/>
    <w:rsid w:val="00F966FC"/>
    <w:rsid w:val="00F96714"/>
    <w:rsid w:val="00F96909"/>
    <w:rsid w:val="00F96CB3"/>
    <w:rsid w:val="00F96DA9"/>
    <w:rsid w:val="00F97A49"/>
    <w:rsid w:val="00FA053C"/>
    <w:rsid w:val="00FA14A3"/>
    <w:rsid w:val="00FA1AF1"/>
    <w:rsid w:val="00FA1C81"/>
    <w:rsid w:val="00FA2230"/>
    <w:rsid w:val="00FA23A7"/>
    <w:rsid w:val="00FA2A39"/>
    <w:rsid w:val="00FA2B7C"/>
    <w:rsid w:val="00FA2F6D"/>
    <w:rsid w:val="00FA341B"/>
    <w:rsid w:val="00FA343D"/>
    <w:rsid w:val="00FA36D7"/>
    <w:rsid w:val="00FA3F4D"/>
    <w:rsid w:val="00FA406A"/>
    <w:rsid w:val="00FA44D8"/>
    <w:rsid w:val="00FA4F6A"/>
    <w:rsid w:val="00FA4FDE"/>
    <w:rsid w:val="00FA514B"/>
    <w:rsid w:val="00FA60E1"/>
    <w:rsid w:val="00FA671F"/>
    <w:rsid w:val="00FA752F"/>
    <w:rsid w:val="00FA7728"/>
    <w:rsid w:val="00FA7F38"/>
    <w:rsid w:val="00FB08F5"/>
    <w:rsid w:val="00FB0EDD"/>
    <w:rsid w:val="00FB158E"/>
    <w:rsid w:val="00FB1B09"/>
    <w:rsid w:val="00FB1CB6"/>
    <w:rsid w:val="00FB1DFD"/>
    <w:rsid w:val="00FB1F1F"/>
    <w:rsid w:val="00FB2651"/>
    <w:rsid w:val="00FB2669"/>
    <w:rsid w:val="00FB26A6"/>
    <w:rsid w:val="00FB29ED"/>
    <w:rsid w:val="00FB2FA2"/>
    <w:rsid w:val="00FB3048"/>
    <w:rsid w:val="00FB333A"/>
    <w:rsid w:val="00FB439D"/>
    <w:rsid w:val="00FB43CC"/>
    <w:rsid w:val="00FB4538"/>
    <w:rsid w:val="00FB490F"/>
    <w:rsid w:val="00FB494F"/>
    <w:rsid w:val="00FB4CFB"/>
    <w:rsid w:val="00FB503A"/>
    <w:rsid w:val="00FB509D"/>
    <w:rsid w:val="00FB516C"/>
    <w:rsid w:val="00FB55AF"/>
    <w:rsid w:val="00FB653E"/>
    <w:rsid w:val="00FB7241"/>
    <w:rsid w:val="00FB796E"/>
    <w:rsid w:val="00FB7DDC"/>
    <w:rsid w:val="00FB7E48"/>
    <w:rsid w:val="00FC01B0"/>
    <w:rsid w:val="00FC0871"/>
    <w:rsid w:val="00FC0948"/>
    <w:rsid w:val="00FC0A25"/>
    <w:rsid w:val="00FC0FAF"/>
    <w:rsid w:val="00FC262A"/>
    <w:rsid w:val="00FC300F"/>
    <w:rsid w:val="00FC3056"/>
    <w:rsid w:val="00FC37E3"/>
    <w:rsid w:val="00FC3839"/>
    <w:rsid w:val="00FC48F8"/>
    <w:rsid w:val="00FC4C89"/>
    <w:rsid w:val="00FC573B"/>
    <w:rsid w:val="00FC57FA"/>
    <w:rsid w:val="00FC598E"/>
    <w:rsid w:val="00FC5B39"/>
    <w:rsid w:val="00FC6297"/>
    <w:rsid w:val="00FC652B"/>
    <w:rsid w:val="00FC697A"/>
    <w:rsid w:val="00FC7686"/>
    <w:rsid w:val="00FC799B"/>
    <w:rsid w:val="00FC7BFE"/>
    <w:rsid w:val="00FD0236"/>
    <w:rsid w:val="00FD02C7"/>
    <w:rsid w:val="00FD0593"/>
    <w:rsid w:val="00FD0F65"/>
    <w:rsid w:val="00FD1129"/>
    <w:rsid w:val="00FD1343"/>
    <w:rsid w:val="00FD18F4"/>
    <w:rsid w:val="00FD232A"/>
    <w:rsid w:val="00FD24D7"/>
    <w:rsid w:val="00FD2F7D"/>
    <w:rsid w:val="00FD387F"/>
    <w:rsid w:val="00FD3E8F"/>
    <w:rsid w:val="00FD4486"/>
    <w:rsid w:val="00FD47B8"/>
    <w:rsid w:val="00FD48AF"/>
    <w:rsid w:val="00FD4D3F"/>
    <w:rsid w:val="00FD5298"/>
    <w:rsid w:val="00FD537F"/>
    <w:rsid w:val="00FD54DB"/>
    <w:rsid w:val="00FD5767"/>
    <w:rsid w:val="00FD5FC5"/>
    <w:rsid w:val="00FD619F"/>
    <w:rsid w:val="00FD631B"/>
    <w:rsid w:val="00FD641C"/>
    <w:rsid w:val="00FD6B22"/>
    <w:rsid w:val="00FD70F7"/>
    <w:rsid w:val="00FD7A22"/>
    <w:rsid w:val="00FE00B0"/>
    <w:rsid w:val="00FE07BC"/>
    <w:rsid w:val="00FE0BEE"/>
    <w:rsid w:val="00FE0D75"/>
    <w:rsid w:val="00FE0FE3"/>
    <w:rsid w:val="00FE16CA"/>
    <w:rsid w:val="00FE191F"/>
    <w:rsid w:val="00FE1932"/>
    <w:rsid w:val="00FE1CB7"/>
    <w:rsid w:val="00FE2EE1"/>
    <w:rsid w:val="00FE318F"/>
    <w:rsid w:val="00FE36CA"/>
    <w:rsid w:val="00FE3F5C"/>
    <w:rsid w:val="00FE42E1"/>
    <w:rsid w:val="00FE4E43"/>
    <w:rsid w:val="00FE5C55"/>
    <w:rsid w:val="00FE60C9"/>
    <w:rsid w:val="00FE617D"/>
    <w:rsid w:val="00FE6497"/>
    <w:rsid w:val="00FE6C26"/>
    <w:rsid w:val="00FE6E60"/>
    <w:rsid w:val="00FE7561"/>
    <w:rsid w:val="00FE7CA4"/>
    <w:rsid w:val="00FF01D8"/>
    <w:rsid w:val="00FF0678"/>
    <w:rsid w:val="00FF0C93"/>
    <w:rsid w:val="00FF1119"/>
    <w:rsid w:val="00FF1217"/>
    <w:rsid w:val="00FF194E"/>
    <w:rsid w:val="00FF1C88"/>
    <w:rsid w:val="00FF232D"/>
    <w:rsid w:val="00FF2DD3"/>
    <w:rsid w:val="00FF2FC1"/>
    <w:rsid w:val="00FF35E6"/>
    <w:rsid w:val="00FF3AD7"/>
    <w:rsid w:val="00FF3FD1"/>
    <w:rsid w:val="00FF45FF"/>
    <w:rsid w:val="00FF477B"/>
    <w:rsid w:val="00FF53D1"/>
    <w:rsid w:val="00FF5934"/>
    <w:rsid w:val="00FF5BC2"/>
    <w:rsid w:val="00FF65AC"/>
    <w:rsid w:val="00FF6C85"/>
    <w:rsid w:val="00FF6CD1"/>
    <w:rsid w:val="00FF6F93"/>
    <w:rsid w:val="00FF70C7"/>
    <w:rsid w:val="00FF7BDC"/>
    <w:rsid w:val="01290F7E"/>
    <w:rsid w:val="01395070"/>
    <w:rsid w:val="01502732"/>
    <w:rsid w:val="015D1E09"/>
    <w:rsid w:val="01620FEA"/>
    <w:rsid w:val="017955D7"/>
    <w:rsid w:val="01C92D72"/>
    <w:rsid w:val="01D661A8"/>
    <w:rsid w:val="02627341"/>
    <w:rsid w:val="02697903"/>
    <w:rsid w:val="02733740"/>
    <w:rsid w:val="02867B11"/>
    <w:rsid w:val="02A11CB8"/>
    <w:rsid w:val="02D33B27"/>
    <w:rsid w:val="02F96569"/>
    <w:rsid w:val="030836AB"/>
    <w:rsid w:val="03863452"/>
    <w:rsid w:val="0390385D"/>
    <w:rsid w:val="03B40B90"/>
    <w:rsid w:val="03E34BBD"/>
    <w:rsid w:val="03EA7B21"/>
    <w:rsid w:val="03F70A0D"/>
    <w:rsid w:val="04024AF5"/>
    <w:rsid w:val="045D5561"/>
    <w:rsid w:val="045E55D4"/>
    <w:rsid w:val="049E7363"/>
    <w:rsid w:val="04AA65A8"/>
    <w:rsid w:val="04CC58DC"/>
    <w:rsid w:val="04D04A21"/>
    <w:rsid w:val="04E842E4"/>
    <w:rsid w:val="04F55AAD"/>
    <w:rsid w:val="051E321D"/>
    <w:rsid w:val="054424D4"/>
    <w:rsid w:val="055522E8"/>
    <w:rsid w:val="05A00277"/>
    <w:rsid w:val="05F83EAE"/>
    <w:rsid w:val="06317C40"/>
    <w:rsid w:val="063E7D85"/>
    <w:rsid w:val="06482619"/>
    <w:rsid w:val="066B1B38"/>
    <w:rsid w:val="066C2876"/>
    <w:rsid w:val="068B222C"/>
    <w:rsid w:val="06AD614D"/>
    <w:rsid w:val="06FF4B16"/>
    <w:rsid w:val="07235682"/>
    <w:rsid w:val="07293586"/>
    <w:rsid w:val="07295285"/>
    <w:rsid w:val="07636392"/>
    <w:rsid w:val="07730452"/>
    <w:rsid w:val="07770C56"/>
    <w:rsid w:val="07C90593"/>
    <w:rsid w:val="07D81863"/>
    <w:rsid w:val="07DA5CAC"/>
    <w:rsid w:val="07F67816"/>
    <w:rsid w:val="07FB5835"/>
    <w:rsid w:val="081729FB"/>
    <w:rsid w:val="084D5378"/>
    <w:rsid w:val="084D73E9"/>
    <w:rsid w:val="084E6BB1"/>
    <w:rsid w:val="08514095"/>
    <w:rsid w:val="086E43E4"/>
    <w:rsid w:val="08942662"/>
    <w:rsid w:val="089878FB"/>
    <w:rsid w:val="08C817B2"/>
    <w:rsid w:val="08FE7786"/>
    <w:rsid w:val="091D65C1"/>
    <w:rsid w:val="092217DD"/>
    <w:rsid w:val="093A7294"/>
    <w:rsid w:val="09987E32"/>
    <w:rsid w:val="09C24B9D"/>
    <w:rsid w:val="09C30303"/>
    <w:rsid w:val="09C72B9D"/>
    <w:rsid w:val="0A0D4C5D"/>
    <w:rsid w:val="0A1E42F8"/>
    <w:rsid w:val="0A262CA6"/>
    <w:rsid w:val="0A263993"/>
    <w:rsid w:val="0A2D3AC2"/>
    <w:rsid w:val="0A2E6825"/>
    <w:rsid w:val="0A6419B6"/>
    <w:rsid w:val="0A6E776D"/>
    <w:rsid w:val="0A86581A"/>
    <w:rsid w:val="0AA755DF"/>
    <w:rsid w:val="0AED2CD8"/>
    <w:rsid w:val="0B120D44"/>
    <w:rsid w:val="0B815F33"/>
    <w:rsid w:val="0BAD6F1F"/>
    <w:rsid w:val="0BCF17A6"/>
    <w:rsid w:val="0BD27BF6"/>
    <w:rsid w:val="0C1A2918"/>
    <w:rsid w:val="0C346C52"/>
    <w:rsid w:val="0C3B3C7D"/>
    <w:rsid w:val="0C426A7D"/>
    <w:rsid w:val="0C4B54E1"/>
    <w:rsid w:val="0C4E3A1E"/>
    <w:rsid w:val="0C5B3F3E"/>
    <w:rsid w:val="0C8C3ACC"/>
    <w:rsid w:val="0CAB2EAE"/>
    <w:rsid w:val="0D067A8E"/>
    <w:rsid w:val="0D5B5533"/>
    <w:rsid w:val="0D621C7D"/>
    <w:rsid w:val="0DA064FF"/>
    <w:rsid w:val="0E2C70D3"/>
    <w:rsid w:val="0E73034D"/>
    <w:rsid w:val="0E7B6012"/>
    <w:rsid w:val="0E89029E"/>
    <w:rsid w:val="0E96765D"/>
    <w:rsid w:val="0EE820E2"/>
    <w:rsid w:val="0F13775A"/>
    <w:rsid w:val="0F311EF9"/>
    <w:rsid w:val="0F376A94"/>
    <w:rsid w:val="0F5F45FE"/>
    <w:rsid w:val="0F9A112B"/>
    <w:rsid w:val="0FA93561"/>
    <w:rsid w:val="0FC67D46"/>
    <w:rsid w:val="0FD470B0"/>
    <w:rsid w:val="10104080"/>
    <w:rsid w:val="10524DBE"/>
    <w:rsid w:val="106D2F64"/>
    <w:rsid w:val="10764182"/>
    <w:rsid w:val="109C4838"/>
    <w:rsid w:val="10B63710"/>
    <w:rsid w:val="10F10820"/>
    <w:rsid w:val="111C2F7A"/>
    <w:rsid w:val="11665CA1"/>
    <w:rsid w:val="116E7BFE"/>
    <w:rsid w:val="1180388B"/>
    <w:rsid w:val="11C90F8D"/>
    <w:rsid w:val="11D741FD"/>
    <w:rsid w:val="124E393C"/>
    <w:rsid w:val="1252386B"/>
    <w:rsid w:val="12A21F4E"/>
    <w:rsid w:val="134115C4"/>
    <w:rsid w:val="134B791D"/>
    <w:rsid w:val="13823D58"/>
    <w:rsid w:val="13951726"/>
    <w:rsid w:val="139E7A80"/>
    <w:rsid w:val="13A32B3C"/>
    <w:rsid w:val="13D05205"/>
    <w:rsid w:val="13E46CBA"/>
    <w:rsid w:val="14120624"/>
    <w:rsid w:val="14215AC9"/>
    <w:rsid w:val="14396509"/>
    <w:rsid w:val="144843D9"/>
    <w:rsid w:val="14722584"/>
    <w:rsid w:val="149556F7"/>
    <w:rsid w:val="14AB024F"/>
    <w:rsid w:val="14DD2C3C"/>
    <w:rsid w:val="14F27FE0"/>
    <w:rsid w:val="15053FC6"/>
    <w:rsid w:val="15E40736"/>
    <w:rsid w:val="16087E1D"/>
    <w:rsid w:val="16836AD3"/>
    <w:rsid w:val="17676846"/>
    <w:rsid w:val="17701D14"/>
    <w:rsid w:val="17735226"/>
    <w:rsid w:val="17DB1B3A"/>
    <w:rsid w:val="18083A36"/>
    <w:rsid w:val="1858116E"/>
    <w:rsid w:val="185B662E"/>
    <w:rsid w:val="1872644F"/>
    <w:rsid w:val="187851D7"/>
    <w:rsid w:val="189F624C"/>
    <w:rsid w:val="18C21149"/>
    <w:rsid w:val="18F02DD9"/>
    <w:rsid w:val="191C1D7C"/>
    <w:rsid w:val="195432C5"/>
    <w:rsid w:val="199D013E"/>
    <w:rsid w:val="19A32A4E"/>
    <w:rsid w:val="19FD07DB"/>
    <w:rsid w:val="1A047B0F"/>
    <w:rsid w:val="1A1C66C0"/>
    <w:rsid w:val="1A330D0F"/>
    <w:rsid w:val="1A42393B"/>
    <w:rsid w:val="1A772A6F"/>
    <w:rsid w:val="1AA049E9"/>
    <w:rsid w:val="1AA23507"/>
    <w:rsid w:val="1AAD45DE"/>
    <w:rsid w:val="1AD46DCB"/>
    <w:rsid w:val="1AF65CE1"/>
    <w:rsid w:val="1B046F80"/>
    <w:rsid w:val="1B3267B5"/>
    <w:rsid w:val="1B40161D"/>
    <w:rsid w:val="1B441859"/>
    <w:rsid w:val="1B6606B1"/>
    <w:rsid w:val="1B677295"/>
    <w:rsid w:val="1B711F8E"/>
    <w:rsid w:val="1B814B57"/>
    <w:rsid w:val="1C3E50B6"/>
    <w:rsid w:val="1C5E7925"/>
    <w:rsid w:val="1C6D0C63"/>
    <w:rsid w:val="1C8E1124"/>
    <w:rsid w:val="1CA15608"/>
    <w:rsid w:val="1CC854E4"/>
    <w:rsid w:val="1CFD070F"/>
    <w:rsid w:val="1D533F5A"/>
    <w:rsid w:val="1D5F3BBA"/>
    <w:rsid w:val="1D5F6196"/>
    <w:rsid w:val="1D6132A5"/>
    <w:rsid w:val="1D8E56D5"/>
    <w:rsid w:val="1DC02FAA"/>
    <w:rsid w:val="1DC772E3"/>
    <w:rsid w:val="1E560DE5"/>
    <w:rsid w:val="1E7A43DA"/>
    <w:rsid w:val="1F061ABF"/>
    <w:rsid w:val="1FBC7AD6"/>
    <w:rsid w:val="1FDF0FA7"/>
    <w:rsid w:val="1FE354D1"/>
    <w:rsid w:val="1FE7539E"/>
    <w:rsid w:val="201E25A9"/>
    <w:rsid w:val="20226B6B"/>
    <w:rsid w:val="203D6B75"/>
    <w:rsid w:val="20671BE0"/>
    <w:rsid w:val="20963CB8"/>
    <w:rsid w:val="20A81A1B"/>
    <w:rsid w:val="20B07FB6"/>
    <w:rsid w:val="20B6391E"/>
    <w:rsid w:val="20B646FB"/>
    <w:rsid w:val="20C53F3C"/>
    <w:rsid w:val="20D7237C"/>
    <w:rsid w:val="20EA5316"/>
    <w:rsid w:val="21190FAF"/>
    <w:rsid w:val="21324FC9"/>
    <w:rsid w:val="213B74B1"/>
    <w:rsid w:val="215A2310"/>
    <w:rsid w:val="21660C36"/>
    <w:rsid w:val="21A6316C"/>
    <w:rsid w:val="21DA7BB7"/>
    <w:rsid w:val="21DE318A"/>
    <w:rsid w:val="21EF5B80"/>
    <w:rsid w:val="21F248F3"/>
    <w:rsid w:val="2218523F"/>
    <w:rsid w:val="221F5371"/>
    <w:rsid w:val="222C016C"/>
    <w:rsid w:val="22576990"/>
    <w:rsid w:val="229C64CD"/>
    <w:rsid w:val="22F47480"/>
    <w:rsid w:val="23261F7A"/>
    <w:rsid w:val="23A42458"/>
    <w:rsid w:val="23A96389"/>
    <w:rsid w:val="23DA4305"/>
    <w:rsid w:val="23DE1C48"/>
    <w:rsid w:val="23ED3A30"/>
    <w:rsid w:val="23FF1BDE"/>
    <w:rsid w:val="240210CD"/>
    <w:rsid w:val="2428652D"/>
    <w:rsid w:val="242C271D"/>
    <w:rsid w:val="24BF09F7"/>
    <w:rsid w:val="24EC3582"/>
    <w:rsid w:val="24F62157"/>
    <w:rsid w:val="252D53FE"/>
    <w:rsid w:val="255B1EFD"/>
    <w:rsid w:val="25675F9F"/>
    <w:rsid w:val="25A1539B"/>
    <w:rsid w:val="25E01C00"/>
    <w:rsid w:val="25EC2D81"/>
    <w:rsid w:val="263B5276"/>
    <w:rsid w:val="26502098"/>
    <w:rsid w:val="26816364"/>
    <w:rsid w:val="26A56867"/>
    <w:rsid w:val="26CA2146"/>
    <w:rsid w:val="2745291F"/>
    <w:rsid w:val="277057A2"/>
    <w:rsid w:val="288C1426"/>
    <w:rsid w:val="28CA6D69"/>
    <w:rsid w:val="29206EB8"/>
    <w:rsid w:val="29595666"/>
    <w:rsid w:val="29874881"/>
    <w:rsid w:val="298C4744"/>
    <w:rsid w:val="29AE6BE3"/>
    <w:rsid w:val="29C36C4A"/>
    <w:rsid w:val="29C84F57"/>
    <w:rsid w:val="29E325E0"/>
    <w:rsid w:val="2A1C450E"/>
    <w:rsid w:val="2A203051"/>
    <w:rsid w:val="2A452503"/>
    <w:rsid w:val="2A8A51D2"/>
    <w:rsid w:val="2B16391C"/>
    <w:rsid w:val="2B54338D"/>
    <w:rsid w:val="2BA5600C"/>
    <w:rsid w:val="2BA936A8"/>
    <w:rsid w:val="2C041838"/>
    <w:rsid w:val="2C0E5B6C"/>
    <w:rsid w:val="2C315A5A"/>
    <w:rsid w:val="2C4B1C25"/>
    <w:rsid w:val="2C6C1A01"/>
    <w:rsid w:val="2C7F2F34"/>
    <w:rsid w:val="2CB9297E"/>
    <w:rsid w:val="2D572302"/>
    <w:rsid w:val="2D821F87"/>
    <w:rsid w:val="2D846F58"/>
    <w:rsid w:val="2D9E56F5"/>
    <w:rsid w:val="2DBA0E9F"/>
    <w:rsid w:val="2DFB3FD9"/>
    <w:rsid w:val="2E237F99"/>
    <w:rsid w:val="2E666BF4"/>
    <w:rsid w:val="2E667F96"/>
    <w:rsid w:val="2E8226AB"/>
    <w:rsid w:val="2E8F0310"/>
    <w:rsid w:val="2EA12C08"/>
    <w:rsid w:val="2EB91E9F"/>
    <w:rsid w:val="2EF76A54"/>
    <w:rsid w:val="2FA63DA7"/>
    <w:rsid w:val="2FA64815"/>
    <w:rsid w:val="2FB15BA6"/>
    <w:rsid w:val="2FD065E6"/>
    <w:rsid w:val="2FD96870"/>
    <w:rsid w:val="302E086D"/>
    <w:rsid w:val="304E2B94"/>
    <w:rsid w:val="30580BC9"/>
    <w:rsid w:val="30660A1D"/>
    <w:rsid w:val="30781DA8"/>
    <w:rsid w:val="307B6271"/>
    <w:rsid w:val="30C45001"/>
    <w:rsid w:val="310F3D35"/>
    <w:rsid w:val="31180812"/>
    <w:rsid w:val="311E2ED7"/>
    <w:rsid w:val="31423119"/>
    <w:rsid w:val="31542353"/>
    <w:rsid w:val="315619EE"/>
    <w:rsid w:val="315C449C"/>
    <w:rsid w:val="31693E18"/>
    <w:rsid w:val="31866DEA"/>
    <w:rsid w:val="31B82709"/>
    <w:rsid w:val="31D05482"/>
    <w:rsid w:val="31DF12F8"/>
    <w:rsid w:val="31EE4B88"/>
    <w:rsid w:val="3211088B"/>
    <w:rsid w:val="32400B34"/>
    <w:rsid w:val="32456D14"/>
    <w:rsid w:val="325E2919"/>
    <w:rsid w:val="327C73AD"/>
    <w:rsid w:val="32916388"/>
    <w:rsid w:val="329E6876"/>
    <w:rsid w:val="32A0691C"/>
    <w:rsid w:val="32A670E1"/>
    <w:rsid w:val="331B2CCC"/>
    <w:rsid w:val="333015F2"/>
    <w:rsid w:val="334B6320"/>
    <w:rsid w:val="33980016"/>
    <w:rsid w:val="33D934D4"/>
    <w:rsid w:val="33FE2F6A"/>
    <w:rsid w:val="340E07E5"/>
    <w:rsid w:val="34235BF7"/>
    <w:rsid w:val="343579C0"/>
    <w:rsid w:val="347E11D3"/>
    <w:rsid w:val="351138B9"/>
    <w:rsid w:val="35160881"/>
    <w:rsid w:val="357546B1"/>
    <w:rsid w:val="357A0F55"/>
    <w:rsid w:val="358C5FA8"/>
    <w:rsid w:val="35BE5D75"/>
    <w:rsid w:val="35C15DF1"/>
    <w:rsid w:val="35FF127C"/>
    <w:rsid w:val="36074A7F"/>
    <w:rsid w:val="363B2D62"/>
    <w:rsid w:val="36807916"/>
    <w:rsid w:val="368F7228"/>
    <w:rsid w:val="36923549"/>
    <w:rsid w:val="36B75FBF"/>
    <w:rsid w:val="36BD0C45"/>
    <w:rsid w:val="36C958E2"/>
    <w:rsid w:val="36CA7719"/>
    <w:rsid w:val="36DB1CA4"/>
    <w:rsid w:val="36DF157F"/>
    <w:rsid w:val="36DF606A"/>
    <w:rsid w:val="37132E71"/>
    <w:rsid w:val="37783580"/>
    <w:rsid w:val="379C572A"/>
    <w:rsid w:val="379D3448"/>
    <w:rsid w:val="37E00298"/>
    <w:rsid w:val="3832463D"/>
    <w:rsid w:val="383855F4"/>
    <w:rsid w:val="38B302F9"/>
    <w:rsid w:val="38B70AC5"/>
    <w:rsid w:val="38DD0480"/>
    <w:rsid w:val="38F12CD3"/>
    <w:rsid w:val="38F94775"/>
    <w:rsid w:val="392845DC"/>
    <w:rsid w:val="392971ED"/>
    <w:rsid w:val="39325651"/>
    <w:rsid w:val="393A2B77"/>
    <w:rsid w:val="398D44EC"/>
    <w:rsid w:val="39CF2338"/>
    <w:rsid w:val="3A324018"/>
    <w:rsid w:val="3A872856"/>
    <w:rsid w:val="3AB34BA5"/>
    <w:rsid w:val="3AE61A98"/>
    <w:rsid w:val="3B3763D1"/>
    <w:rsid w:val="3B3E2157"/>
    <w:rsid w:val="3B5A704A"/>
    <w:rsid w:val="3BB1671D"/>
    <w:rsid w:val="3BE93807"/>
    <w:rsid w:val="3C2F6E1E"/>
    <w:rsid w:val="3C30561D"/>
    <w:rsid w:val="3C336759"/>
    <w:rsid w:val="3C3A4135"/>
    <w:rsid w:val="3C4F64BA"/>
    <w:rsid w:val="3C655B52"/>
    <w:rsid w:val="3C785629"/>
    <w:rsid w:val="3CDA245A"/>
    <w:rsid w:val="3D1E06B7"/>
    <w:rsid w:val="3DDB0A8F"/>
    <w:rsid w:val="3E7E0A31"/>
    <w:rsid w:val="3E7E340A"/>
    <w:rsid w:val="3EDA0523"/>
    <w:rsid w:val="3EE21891"/>
    <w:rsid w:val="3FA83A9F"/>
    <w:rsid w:val="3FB0725B"/>
    <w:rsid w:val="405B3B58"/>
    <w:rsid w:val="407A6407"/>
    <w:rsid w:val="40D968E5"/>
    <w:rsid w:val="40F4207A"/>
    <w:rsid w:val="41043EEB"/>
    <w:rsid w:val="41476FF9"/>
    <w:rsid w:val="416229D0"/>
    <w:rsid w:val="416E0C87"/>
    <w:rsid w:val="41B9423D"/>
    <w:rsid w:val="41D62242"/>
    <w:rsid w:val="41ED20C6"/>
    <w:rsid w:val="41F01517"/>
    <w:rsid w:val="41F83B4C"/>
    <w:rsid w:val="4200449D"/>
    <w:rsid w:val="421E28A1"/>
    <w:rsid w:val="422458BF"/>
    <w:rsid w:val="423A3BCC"/>
    <w:rsid w:val="42493372"/>
    <w:rsid w:val="424E57D2"/>
    <w:rsid w:val="427A48A6"/>
    <w:rsid w:val="427F4107"/>
    <w:rsid w:val="42B26C49"/>
    <w:rsid w:val="431F052C"/>
    <w:rsid w:val="43220838"/>
    <w:rsid w:val="433A6FE6"/>
    <w:rsid w:val="43480868"/>
    <w:rsid w:val="4350713C"/>
    <w:rsid w:val="436653E0"/>
    <w:rsid w:val="43AB5889"/>
    <w:rsid w:val="43C4431A"/>
    <w:rsid w:val="44084462"/>
    <w:rsid w:val="44216D87"/>
    <w:rsid w:val="44626EAB"/>
    <w:rsid w:val="447219DC"/>
    <w:rsid w:val="44736E6D"/>
    <w:rsid w:val="44AC7727"/>
    <w:rsid w:val="44B951CC"/>
    <w:rsid w:val="44CD14E0"/>
    <w:rsid w:val="44F20B0B"/>
    <w:rsid w:val="44FB0C39"/>
    <w:rsid w:val="45064320"/>
    <w:rsid w:val="452E5F4C"/>
    <w:rsid w:val="45344213"/>
    <w:rsid w:val="455E651C"/>
    <w:rsid w:val="45612018"/>
    <w:rsid w:val="458946E9"/>
    <w:rsid w:val="45A47C0E"/>
    <w:rsid w:val="45AB206F"/>
    <w:rsid w:val="45FE13D8"/>
    <w:rsid w:val="460D4045"/>
    <w:rsid w:val="46180845"/>
    <w:rsid w:val="46577FD6"/>
    <w:rsid w:val="465C4DA6"/>
    <w:rsid w:val="4674159D"/>
    <w:rsid w:val="4675409E"/>
    <w:rsid w:val="46BD3605"/>
    <w:rsid w:val="46D955A7"/>
    <w:rsid w:val="47133957"/>
    <w:rsid w:val="473639E5"/>
    <w:rsid w:val="4778235C"/>
    <w:rsid w:val="47974233"/>
    <w:rsid w:val="47A07E0C"/>
    <w:rsid w:val="480B2941"/>
    <w:rsid w:val="482C5161"/>
    <w:rsid w:val="483F55C0"/>
    <w:rsid w:val="4870272E"/>
    <w:rsid w:val="48D73E6F"/>
    <w:rsid w:val="48E535FA"/>
    <w:rsid w:val="491107AD"/>
    <w:rsid w:val="49293FC3"/>
    <w:rsid w:val="493D49E9"/>
    <w:rsid w:val="49797086"/>
    <w:rsid w:val="499A5B2B"/>
    <w:rsid w:val="499F1066"/>
    <w:rsid w:val="49AD33F7"/>
    <w:rsid w:val="49DC7715"/>
    <w:rsid w:val="4A023139"/>
    <w:rsid w:val="4A523A22"/>
    <w:rsid w:val="4A7B576F"/>
    <w:rsid w:val="4A9C74E0"/>
    <w:rsid w:val="4AA9427C"/>
    <w:rsid w:val="4AE93FDA"/>
    <w:rsid w:val="4AF561A9"/>
    <w:rsid w:val="4B1B5CAE"/>
    <w:rsid w:val="4B263BA7"/>
    <w:rsid w:val="4B3F7DAA"/>
    <w:rsid w:val="4BD0250E"/>
    <w:rsid w:val="4BD202A8"/>
    <w:rsid w:val="4BDB0CE4"/>
    <w:rsid w:val="4C370ABD"/>
    <w:rsid w:val="4C376465"/>
    <w:rsid w:val="4C4A0649"/>
    <w:rsid w:val="4C54334C"/>
    <w:rsid w:val="4C671093"/>
    <w:rsid w:val="4C7E5ECA"/>
    <w:rsid w:val="4C876AA5"/>
    <w:rsid w:val="4C96630A"/>
    <w:rsid w:val="4CB4762E"/>
    <w:rsid w:val="4D0E00FB"/>
    <w:rsid w:val="4D176606"/>
    <w:rsid w:val="4D8A1D5F"/>
    <w:rsid w:val="4D91509F"/>
    <w:rsid w:val="4D9F3571"/>
    <w:rsid w:val="4DA33985"/>
    <w:rsid w:val="4DEC4FB0"/>
    <w:rsid w:val="4DF956F9"/>
    <w:rsid w:val="4E075D8A"/>
    <w:rsid w:val="4E3E531A"/>
    <w:rsid w:val="4E530933"/>
    <w:rsid w:val="4E543301"/>
    <w:rsid w:val="4E561F76"/>
    <w:rsid w:val="4E855ED0"/>
    <w:rsid w:val="4EC00FAD"/>
    <w:rsid w:val="4EC71B07"/>
    <w:rsid w:val="4EE27DA2"/>
    <w:rsid w:val="4F161304"/>
    <w:rsid w:val="4F9843DC"/>
    <w:rsid w:val="4FC62A8C"/>
    <w:rsid w:val="4FE20F0D"/>
    <w:rsid w:val="4FE51552"/>
    <w:rsid w:val="50162E0E"/>
    <w:rsid w:val="50243CAF"/>
    <w:rsid w:val="50504C4B"/>
    <w:rsid w:val="505B608D"/>
    <w:rsid w:val="509C6E7C"/>
    <w:rsid w:val="50D82E80"/>
    <w:rsid w:val="51517C0E"/>
    <w:rsid w:val="5162104E"/>
    <w:rsid w:val="51EE42EE"/>
    <w:rsid w:val="525A6E50"/>
    <w:rsid w:val="528B31D6"/>
    <w:rsid w:val="52A875DE"/>
    <w:rsid w:val="52B514D5"/>
    <w:rsid w:val="53A039CC"/>
    <w:rsid w:val="53A1505A"/>
    <w:rsid w:val="53AA5836"/>
    <w:rsid w:val="53E304BA"/>
    <w:rsid w:val="53E342C5"/>
    <w:rsid w:val="54063E08"/>
    <w:rsid w:val="543437E8"/>
    <w:rsid w:val="545A6394"/>
    <w:rsid w:val="5467021A"/>
    <w:rsid w:val="54825962"/>
    <w:rsid w:val="54F73313"/>
    <w:rsid w:val="54F80955"/>
    <w:rsid w:val="55095BE6"/>
    <w:rsid w:val="553C5AA9"/>
    <w:rsid w:val="555170A7"/>
    <w:rsid w:val="5587536D"/>
    <w:rsid w:val="559B174B"/>
    <w:rsid w:val="55CE0CF4"/>
    <w:rsid w:val="56B22A9C"/>
    <w:rsid w:val="571817A1"/>
    <w:rsid w:val="573923ED"/>
    <w:rsid w:val="576B1B1D"/>
    <w:rsid w:val="57B60342"/>
    <w:rsid w:val="57B72A76"/>
    <w:rsid w:val="57C1010C"/>
    <w:rsid w:val="57C3426C"/>
    <w:rsid w:val="57CE1F93"/>
    <w:rsid w:val="57D34F8E"/>
    <w:rsid w:val="58224A66"/>
    <w:rsid w:val="58332132"/>
    <w:rsid w:val="584E2A2B"/>
    <w:rsid w:val="58565692"/>
    <w:rsid w:val="588743D1"/>
    <w:rsid w:val="5887701A"/>
    <w:rsid w:val="58884FD9"/>
    <w:rsid w:val="58911BE3"/>
    <w:rsid w:val="58912F29"/>
    <w:rsid w:val="58D17420"/>
    <w:rsid w:val="58D17DBE"/>
    <w:rsid w:val="58F92AD1"/>
    <w:rsid w:val="591929F4"/>
    <w:rsid w:val="59630133"/>
    <w:rsid w:val="597F77AC"/>
    <w:rsid w:val="59AE2AA3"/>
    <w:rsid w:val="59C0439F"/>
    <w:rsid w:val="59FA60B4"/>
    <w:rsid w:val="5A282F17"/>
    <w:rsid w:val="5A3418F9"/>
    <w:rsid w:val="5ABE2233"/>
    <w:rsid w:val="5ADB0DD9"/>
    <w:rsid w:val="5B062928"/>
    <w:rsid w:val="5B576F6A"/>
    <w:rsid w:val="5B5B02A0"/>
    <w:rsid w:val="5B8B2A62"/>
    <w:rsid w:val="5BDF5D95"/>
    <w:rsid w:val="5BFE7528"/>
    <w:rsid w:val="5C265B99"/>
    <w:rsid w:val="5C76373E"/>
    <w:rsid w:val="5D3F7EC2"/>
    <w:rsid w:val="5D4B0BE0"/>
    <w:rsid w:val="5D4E335C"/>
    <w:rsid w:val="5D635E3E"/>
    <w:rsid w:val="5D78099C"/>
    <w:rsid w:val="5DAE28B4"/>
    <w:rsid w:val="5DD81AC9"/>
    <w:rsid w:val="5DE45300"/>
    <w:rsid w:val="5E1A5BAC"/>
    <w:rsid w:val="5E2467F1"/>
    <w:rsid w:val="5EDA5789"/>
    <w:rsid w:val="5EE84553"/>
    <w:rsid w:val="5F0626B0"/>
    <w:rsid w:val="5F1A2B43"/>
    <w:rsid w:val="5F6C50EE"/>
    <w:rsid w:val="5F7429C7"/>
    <w:rsid w:val="5FB837BB"/>
    <w:rsid w:val="5FCD5606"/>
    <w:rsid w:val="5FD51924"/>
    <w:rsid w:val="60176AE1"/>
    <w:rsid w:val="60370D17"/>
    <w:rsid w:val="605308BA"/>
    <w:rsid w:val="60B10F8F"/>
    <w:rsid w:val="60B2086B"/>
    <w:rsid w:val="60CC405A"/>
    <w:rsid w:val="617D2BA1"/>
    <w:rsid w:val="61801651"/>
    <w:rsid w:val="619542FF"/>
    <w:rsid w:val="619F6D82"/>
    <w:rsid w:val="61E215D8"/>
    <w:rsid w:val="620F2C99"/>
    <w:rsid w:val="621B3775"/>
    <w:rsid w:val="62364782"/>
    <w:rsid w:val="62650D4C"/>
    <w:rsid w:val="630A3BFC"/>
    <w:rsid w:val="63313776"/>
    <w:rsid w:val="6394356A"/>
    <w:rsid w:val="63A47FFA"/>
    <w:rsid w:val="63C61B2C"/>
    <w:rsid w:val="63D40BE9"/>
    <w:rsid w:val="63E56E61"/>
    <w:rsid w:val="63FF21DF"/>
    <w:rsid w:val="64102431"/>
    <w:rsid w:val="64A5243A"/>
    <w:rsid w:val="64F531DE"/>
    <w:rsid w:val="65373578"/>
    <w:rsid w:val="6548164B"/>
    <w:rsid w:val="65895532"/>
    <w:rsid w:val="65B70ADC"/>
    <w:rsid w:val="65D1748E"/>
    <w:rsid w:val="66214CA2"/>
    <w:rsid w:val="6626641A"/>
    <w:rsid w:val="66A32DF3"/>
    <w:rsid w:val="66A36C43"/>
    <w:rsid w:val="66C4633A"/>
    <w:rsid w:val="671A79FE"/>
    <w:rsid w:val="671F124A"/>
    <w:rsid w:val="677A33C6"/>
    <w:rsid w:val="67BE110E"/>
    <w:rsid w:val="67DD6D25"/>
    <w:rsid w:val="67EF0164"/>
    <w:rsid w:val="67FC2153"/>
    <w:rsid w:val="681F6961"/>
    <w:rsid w:val="68206803"/>
    <w:rsid w:val="68576AEF"/>
    <w:rsid w:val="68610A2F"/>
    <w:rsid w:val="68780B66"/>
    <w:rsid w:val="68805514"/>
    <w:rsid w:val="68B95FBF"/>
    <w:rsid w:val="68ED2DB1"/>
    <w:rsid w:val="691A2082"/>
    <w:rsid w:val="69316E2F"/>
    <w:rsid w:val="694E2071"/>
    <w:rsid w:val="69667FE5"/>
    <w:rsid w:val="69766163"/>
    <w:rsid w:val="697A3B33"/>
    <w:rsid w:val="69B53BBE"/>
    <w:rsid w:val="69D44760"/>
    <w:rsid w:val="69E33F4E"/>
    <w:rsid w:val="69E55F0F"/>
    <w:rsid w:val="6A520EC7"/>
    <w:rsid w:val="6A604CC0"/>
    <w:rsid w:val="6A68786F"/>
    <w:rsid w:val="6A7C1149"/>
    <w:rsid w:val="6A9C065A"/>
    <w:rsid w:val="6AB84E83"/>
    <w:rsid w:val="6AF87E20"/>
    <w:rsid w:val="6AFE0B31"/>
    <w:rsid w:val="6B322639"/>
    <w:rsid w:val="6B3F5510"/>
    <w:rsid w:val="6B4E5BCD"/>
    <w:rsid w:val="6BA62C70"/>
    <w:rsid w:val="6BB92906"/>
    <w:rsid w:val="6BC269C6"/>
    <w:rsid w:val="6BE9629F"/>
    <w:rsid w:val="6C0D3B0C"/>
    <w:rsid w:val="6C162C03"/>
    <w:rsid w:val="6C3447B0"/>
    <w:rsid w:val="6C636C38"/>
    <w:rsid w:val="6C6A4337"/>
    <w:rsid w:val="6CB875F1"/>
    <w:rsid w:val="6CC23C6F"/>
    <w:rsid w:val="6CE4060E"/>
    <w:rsid w:val="6CE7614E"/>
    <w:rsid w:val="6CEB2665"/>
    <w:rsid w:val="6CF90658"/>
    <w:rsid w:val="6D0E1761"/>
    <w:rsid w:val="6D301654"/>
    <w:rsid w:val="6D7E24F5"/>
    <w:rsid w:val="6D8D155E"/>
    <w:rsid w:val="6DB34098"/>
    <w:rsid w:val="6DB545B6"/>
    <w:rsid w:val="6DC67EBB"/>
    <w:rsid w:val="6DE02FB4"/>
    <w:rsid w:val="6DE11C0E"/>
    <w:rsid w:val="6DE811C6"/>
    <w:rsid w:val="6DF60D6D"/>
    <w:rsid w:val="6DFE1DB1"/>
    <w:rsid w:val="6E474C70"/>
    <w:rsid w:val="6E514CED"/>
    <w:rsid w:val="6E9F5A96"/>
    <w:rsid w:val="6EB563D5"/>
    <w:rsid w:val="6ED06370"/>
    <w:rsid w:val="6ED92677"/>
    <w:rsid w:val="6F225983"/>
    <w:rsid w:val="6F756463"/>
    <w:rsid w:val="6F78651F"/>
    <w:rsid w:val="6FAB43A0"/>
    <w:rsid w:val="6FE82712"/>
    <w:rsid w:val="6FFC5590"/>
    <w:rsid w:val="7032740D"/>
    <w:rsid w:val="70520E5E"/>
    <w:rsid w:val="706039D1"/>
    <w:rsid w:val="706D1DD0"/>
    <w:rsid w:val="70856B87"/>
    <w:rsid w:val="70D527EE"/>
    <w:rsid w:val="70EB490A"/>
    <w:rsid w:val="71155D16"/>
    <w:rsid w:val="715B5300"/>
    <w:rsid w:val="71BC6597"/>
    <w:rsid w:val="71D27F8A"/>
    <w:rsid w:val="722A4E10"/>
    <w:rsid w:val="724E4061"/>
    <w:rsid w:val="72553024"/>
    <w:rsid w:val="726B70DE"/>
    <w:rsid w:val="72B973DB"/>
    <w:rsid w:val="72CE582D"/>
    <w:rsid w:val="72CE6C04"/>
    <w:rsid w:val="72D10062"/>
    <w:rsid w:val="72E67B20"/>
    <w:rsid w:val="73122968"/>
    <w:rsid w:val="731F5D5E"/>
    <w:rsid w:val="73263645"/>
    <w:rsid w:val="733E2A7C"/>
    <w:rsid w:val="73774284"/>
    <w:rsid w:val="73C51AD5"/>
    <w:rsid w:val="741E793C"/>
    <w:rsid w:val="745E3944"/>
    <w:rsid w:val="7492214E"/>
    <w:rsid w:val="74A17E64"/>
    <w:rsid w:val="74BB7486"/>
    <w:rsid w:val="7522120C"/>
    <w:rsid w:val="75652AAE"/>
    <w:rsid w:val="7575101D"/>
    <w:rsid w:val="761F5F27"/>
    <w:rsid w:val="762374DD"/>
    <w:rsid w:val="762E7B16"/>
    <w:rsid w:val="7635099D"/>
    <w:rsid w:val="763D256F"/>
    <w:rsid w:val="765270BD"/>
    <w:rsid w:val="7663097E"/>
    <w:rsid w:val="76BE7334"/>
    <w:rsid w:val="76D02D12"/>
    <w:rsid w:val="77135EC4"/>
    <w:rsid w:val="776F3C0F"/>
    <w:rsid w:val="77762421"/>
    <w:rsid w:val="7787613D"/>
    <w:rsid w:val="778A0953"/>
    <w:rsid w:val="77B117F1"/>
    <w:rsid w:val="77B56B1F"/>
    <w:rsid w:val="77D76497"/>
    <w:rsid w:val="77D9283C"/>
    <w:rsid w:val="780F09F4"/>
    <w:rsid w:val="78715194"/>
    <w:rsid w:val="78A90480"/>
    <w:rsid w:val="78FE0B54"/>
    <w:rsid w:val="794F5F0B"/>
    <w:rsid w:val="79581991"/>
    <w:rsid w:val="797B450E"/>
    <w:rsid w:val="799A3DE5"/>
    <w:rsid w:val="79A602A5"/>
    <w:rsid w:val="79E90E52"/>
    <w:rsid w:val="7A03390C"/>
    <w:rsid w:val="7A2716DF"/>
    <w:rsid w:val="7A28424D"/>
    <w:rsid w:val="7A364017"/>
    <w:rsid w:val="7A591AF2"/>
    <w:rsid w:val="7A5E46FA"/>
    <w:rsid w:val="7A8265E1"/>
    <w:rsid w:val="7A964FFA"/>
    <w:rsid w:val="7A9D0226"/>
    <w:rsid w:val="7B062A26"/>
    <w:rsid w:val="7B075571"/>
    <w:rsid w:val="7B163CE8"/>
    <w:rsid w:val="7B434D5B"/>
    <w:rsid w:val="7B686D42"/>
    <w:rsid w:val="7B766300"/>
    <w:rsid w:val="7B775CCA"/>
    <w:rsid w:val="7B841746"/>
    <w:rsid w:val="7BAD5618"/>
    <w:rsid w:val="7BB86BF4"/>
    <w:rsid w:val="7BC75181"/>
    <w:rsid w:val="7C5E0755"/>
    <w:rsid w:val="7C6C5AC7"/>
    <w:rsid w:val="7C6D44C4"/>
    <w:rsid w:val="7CC6544B"/>
    <w:rsid w:val="7CF37689"/>
    <w:rsid w:val="7D0239FF"/>
    <w:rsid w:val="7D060BD5"/>
    <w:rsid w:val="7D2A2CAA"/>
    <w:rsid w:val="7D463C5B"/>
    <w:rsid w:val="7D5A1358"/>
    <w:rsid w:val="7D5E40CD"/>
    <w:rsid w:val="7D755310"/>
    <w:rsid w:val="7DCD56F2"/>
    <w:rsid w:val="7E24686C"/>
    <w:rsid w:val="7E2B0D76"/>
    <w:rsid w:val="7E446EAD"/>
    <w:rsid w:val="7E4C6CEC"/>
    <w:rsid w:val="7E5E6101"/>
    <w:rsid w:val="7E9E39F1"/>
    <w:rsid w:val="7EB05287"/>
    <w:rsid w:val="7F001CE7"/>
    <w:rsid w:val="7F7E2491"/>
    <w:rsid w:val="7F81480B"/>
    <w:rsid w:val="7FC660A1"/>
    <w:rsid w:val="7FE47E50"/>
    <w:rsid w:val="7FFF0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99" w:semiHidden="0" w:name="Hyperlink" w:locked="1"/>
    <w:lsdException w:unhideWhenUsed="0" w:uiPriority="0" w:semiHidden="0" w:name="FollowedHyperlink" w:locked="1"/>
    <w:lsdException w:qFormat="1" w:unhideWhenUsed="0" w:uiPriority="22"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39" w:semiHidden="0" w:name="Table Grid"/>
    <w:lsdException w:qFormat="1"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qFormat/>
    <w:locked/>
    <w:uiPriority w:val="0"/>
    <w:pPr>
      <w:keepNext/>
      <w:keepLines/>
      <w:spacing w:before="260" w:after="260" w:line="416" w:lineRule="auto"/>
      <w:ind w:firstLine="200" w:firstLineChars="200"/>
      <w:outlineLvl w:val="1"/>
    </w:pPr>
    <w:rPr>
      <w:rFonts w:ascii="Arial" w:hAnsi="Arial" w:eastAsia="黑体"/>
      <w:b/>
      <w:bCs/>
      <w:sz w:val="32"/>
      <w:szCs w:val="32"/>
    </w:rPr>
  </w:style>
  <w:style w:type="paragraph" w:styleId="2">
    <w:name w:val="heading 3"/>
    <w:basedOn w:val="1"/>
    <w:next w:val="1"/>
    <w:qFormat/>
    <w:locked/>
    <w:uiPriority w:val="0"/>
    <w:pPr>
      <w:keepNext/>
      <w:keepLines/>
      <w:spacing w:before="260" w:after="260" w:line="416" w:lineRule="auto"/>
      <w:ind w:firstLine="200" w:firstLineChars="200"/>
      <w:outlineLvl w:val="2"/>
    </w:pPr>
    <w:rPr>
      <w:b/>
      <w:bCs/>
      <w:sz w:val="32"/>
      <w:szCs w:val="32"/>
    </w:rPr>
  </w:style>
  <w:style w:type="character" w:default="1" w:styleId="25">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locked/>
    <w:uiPriority w:val="0"/>
    <w:pPr>
      <w:ind w:firstLine="420" w:firstLineChars="200"/>
    </w:pPr>
  </w:style>
  <w:style w:type="paragraph" w:styleId="6">
    <w:name w:val="annotation text"/>
    <w:basedOn w:val="1"/>
    <w:link w:val="37"/>
    <w:semiHidden/>
    <w:qFormat/>
    <w:uiPriority w:val="0"/>
    <w:pPr>
      <w:jc w:val="left"/>
    </w:pPr>
    <w:rPr>
      <w:kern w:val="0"/>
      <w:sz w:val="24"/>
      <w:szCs w:val="20"/>
    </w:rPr>
  </w:style>
  <w:style w:type="paragraph" w:styleId="7">
    <w:name w:val="Body Text"/>
    <w:basedOn w:val="1"/>
    <w:link w:val="35"/>
    <w:qFormat/>
    <w:uiPriority w:val="0"/>
    <w:pPr>
      <w:widowControl/>
      <w:snapToGrid w:val="0"/>
      <w:spacing w:before="60" w:after="160" w:line="259" w:lineRule="auto"/>
      <w:ind w:right="113"/>
    </w:pPr>
    <w:rPr>
      <w:kern w:val="0"/>
      <w:sz w:val="18"/>
      <w:szCs w:val="20"/>
    </w:rPr>
  </w:style>
  <w:style w:type="paragraph" w:styleId="8">
    <w:name w:val="Body Text Indent"/>
    <w:basedOn w:val="1"/>
    <w:link w:val="38"/>
    <w:qFormat/>
    <w:uiPriority w:val="0"/>
    <w:pPr>
      <w:spacing w:after="120"/>
      <w:ind w:left="420" w:leftChars="200"/>
    </w:pPr>
    <w:rPr>
      <w:kern w:val="0"/>
      <w:sz w:val="24"/>
      <w:szCs w:val="20"/>
    </w:rPr>
  </w:style>
  <w:style w:type="paragraph" w:styleId="9">
    <w:name w:val="Date"/>
    <w:basedOn w:val="1"/>
    <w:next w:val="1"/>
    <w:link w:val="47"/>
    <w:qFormat/>
    <w:uiPriority w:val="0"/>
    <w:pPr>
      <w:ind w:left="100" w:leftChars="2500"/>
    </w:pPr>
    <w:rPr>
      <w:kern w:val="0"/>
      <w:sz w:val="24"/>
      <w:szCs w:val="20"/>
    </w:rPr>
  </w:style>
  <w:style w:type="paragraph" w:styleId="10">
    <w:name w:val="Body Text Indent 2"/>
    <w:basedOn w:val="1"/>
    <w:qFormat/>
    <w:locked/>
    <w:uiPriority w:val="0"/>
    <w:pPr>
      <w:ind w:firstLine="420" w:firstLineChars="200"/>
    </w:pPr>
    <w:rPr>
      <w:rFonts w:ascii="楷体_GB2312" w:eastAsia="楷体_GB2312"/>
    </w:rPr>
  </w:style>
  <w:style w:type="paragraph" w:styleId="11">
    <w:name w:val="Balloon Text"/>
    <w:basedOn w:val="1"/>
    <w:link w:val="31"/>
    <w:semiHidden/>
    <w:qFormat/>
    <w:uiPriority w:val="0"/>
    <w:rPr>
      <w:kern w:val="0"/>
      <w:sz w:val="18"/>
      <w:szCs w:val="20"/>
    </w:rPr>
  </w:style>
  <w:style w:type="paragraph" w:styleId="12">
    <w:name w:val="footer"/>
    <w:basedOn w:val="1"/>
    <w:link w:val="45"/>
    <w:qFormat/>
    <w:uiPriority w:val="99"/>
    <w:pPr>
      <w:tabs>
        <w:tab w:val="center" w:pos="4153"/>
        <w:tab w:val="right" w:pos="8306"/>
      </w:tabs>
      <w:snapToGrid w:val="0"/>
      <w:jc w:val="left"/>
    </w:pPr>
    <w:rPr>
      <w:kern w:val="0"/>
      <w:sz w:val="18"/>
      <w:szCs w:val="20"/>
    </w:rPr>
  </w:style>
  <w:style w:type="paragraph" w:styleId="13">
    <w:name w:val="header"/>
    <w:basedOn w:val="1"/>
    <w:link w:val="42"/>
    <w:qFormat/>
    <w:uiPriority w:val="0"/>
    <w:pPr>
      <w:pBdr>
        <w:bottom w:val="single" w:color="auto" w:sz="6" w:space="1"/>
      </w:pBdr>
      <w:tabs>
        <w:tab w:val="center" w:pos="4153"/>
        <w:tab w:val="right" w:pos="8306"/>
      </w:tabs>
      <w:snapToGrid w:val="0"/>
      <w:jc w:val="center"/>
    </w:pPr>
    <w:rPr>
      <w:kern w:val="0"/>
      <w:sz w:val="18"/>
      <w:szCs w:val="20"/>
    </w:rPr>
  </w:style>
  <w:style w:type="paragraph" w:styleId="14">
    <w:name w:val="toc 1"/>
    <w:basedOn w:val="1"/>
    <w:next w:val="1"/>
    <w:qFormat/>
    <w:locked/>
    <w:uiPriority w:val="39"/>
  </w:style>
  <w:style w:type="paragraph" w:styleId="15">
    <w:name w:val="index heading"/>
    <w:basedOn w:val="1"/>
    <w:next w:val="16"/>
    <w:qFormat/>
    <w:locked/>
    <w:uiPriority w:val="0"/>
    <w:rPr>
      <w:szCs w:val="20"/>
    </w:rPr>
  </w:style>
  <w:style w:type="paragraph" w:styleId="16">
    <w:name w:val="index 1"/>
    <w:basedOn w:val="1"/>
    <w:next w:val="1"/>
    <w:qFormat/>
    <w:locked/>
    <w:uiPriority w:val="0"/>
  </w:style>
  <w:style w:type="paragraph" w:styleId="17">
    <w:name w:val="List"/>
    <w:basedOn w:val="1"/>
    <w:next w:val="7"/>
    <w:qFormat/>
    <w:locked/>
    <w:uiPriority w:val="0"/>
    <w:pPr>
      <w:spacing w:line="400" w:lineRule="exact"/>
      <w:jc w:val="center"/>
    </w:pPr>
    <w:rPr>
      <w:sz w:val="24"/>
      <w:szCs w:val="20"/>
    </w:rPr>
  </w:style>
  <w:style w:type="paragraph" w:styleId="18">
    <w:name w:val="toc 2"/>
    <w:basedOn w:val="1"/>
    <w:next w:val="1"/>
    <w:qFormat/>
    <w:locked/>
    <w:uiPriority w:val="39"/>
    <w:pPr>
      <w:ind w:left="420"/>
    </w:pPr>
  </w:style>
  <w:style w:type="paragraph" w:styleId="19">
    <w:name w:val="Normal (Web)"/>
    <w:basedOn w:val="1"/>
    <w:link w:val="36"/>
    <w:qFormat/>
    <w:uiPriority w:val="0"/>
    <w:pPr>
      <w:widowControl/>
      <w:spacing w:before="100" w:beforeAutospacing="1" w:after="100" w:afterAutospacing="1"/>
      <w:jc w:val="left"/>
    </w:pPr>
    <w:rPr>
      <w:rFonts w:ascii="宋体" w:hAnsi="宋体"/>
      <w:kern w:val="0"/>
      <w:sz w:val="24"/>
      <w:szCs w:val="20"/>
    </w:rPr>
  </w:style>
  <w:style w:type="paragraph" w:styleId="20">
    <w:name w:val="Title"/>
    <w:basedOn w:val="1"/>
    <w:next w:val="1"/>
    <w:qFormat/>
    <w:locked/>
    <w:uiPriority w:val="0"/>
    <w:pPr>
      <w:spacing w:before="240" w:after="60"/>
      <w:jc w:val="center"/>
      <w:outlineLvl w:val="0"/>
    </w:pPr>
    <w:rPr>
      <w:rFonts w:ascii="Cambria" w:hAnsi="Cambria"/>
      <w:b/>
      <w:bCs/>
      <w:sz w:val="32"/>
      <w:szCs w:val="32"/>
    </w:rPr>
  </w:style>
  <w:style w:type="paragraph" w:styleId="21">
    <w:name w:val="annotation subject"/>
    <w:basedOn w:val="6"/>
    <w:next w:val="6"/>
    <w:link w:val="39"/>
    <w:semiHidden/>
    <w:qFormat/>
    <w:uiPriority w:val="0"/>
    <w:rPr>
      <w:b/>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Table Theme"/>
    <w:basedOn w:val="22"/>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locked/>
    <w:uiPriority w:val="22"/>
    <w:rPr>
      <w:b/>
      <w:bCs/>
    </w:rPr>
  </w:style>
  <w:style w:type="character" w:styleId="27">
    <w:name w:val="page number"/>
    <w:basedOn w:val="25"/>
    <w:qFormat/>
    <w:locked/>
    <w:uiPriority w:val="0"/>
  </w:style>
  <w:style w:type="character" w:styleId="28">
    <w:name w:val="Hyperlink"/>
    <w:basedOn w:val="25"/>
    <w:qFormat/>
    <w:locked/>
    <w:uiPriority w:val="99"/>
    <w:rPr>
      <w:color w:val="0563C1" w:themeColor="hyperlink"/>
      <w:u w:val="single"/>
      <w14:textFill>
        <w14:solidFill>
          <w14:schemeClr w14:val="hlink"/>
        </w14:solidFill>
      </w14:textFill>
    </w:rPr>
  </w:style>
  <w:style w:type="character" w:styleId="29">
    <w:name w:val="annotation reference"/>
    <w:qFormat/>
    <w:uiPriority w:val="0"/>
    <w:rPr>
      <w:sz w:val="21"/>
    </w:rPr>
  </w:style>
  <w:style w:type="character" w:customStyle="1" w:styleId="30">
    <w:name w:val="15"/>
    <w:qFormat/>
    <w:uiPriority w:val="0"/>
    <w:rPr>
      <w:rFonts w:hint="default" w:ascii="Times New Roman" w:hAnsi="Times New Roman" w:cs="Times New Roman"/>
      <w:sz w:val="21"/>
      <w:szCs w:val="21"/>
    </w:rPr>
  </w:style>
  <w:style w:type="character" w:customStyle="1" w:styleId="31">
    <w:name w:val="批注框文本 字符"/>
    <w:link w:val="11"/>
    <w:semiHidden/>
    <w:qFormat/>
    <w:locked/>
    <w:uiPriority w:val="0"/>
    <w:rPr>
      <w:rFonts w:ascii="Times New Roman" w:hAnsi="Times New Roman" w:eastAsia="宋体"/>
      <w:sz w:val="18"/>
    </w:rPr>
  </w:style>
  <w:style w:type="character" w:customStyle="1" w:styleId="32">
    <w:name w:val="页脚 字符"/>
    <w:basedOn w:val="25"/>
    <w:qFormat/>
    <w:uiPriority w:val="99"/>
  </w:style>
  <w:style w:type="character" w:customStyle="1" w:styleId="33">
    <w:name w:val="表格 Char"/>
    <w:link w:val="34"/>
    <w:qFormat/>
    <w:locked/>
    <w:uiPriority w:val="0"/>
    <w:rPr>
      <w:rFonts w:ascii="宋体"/>
      <w:sz w:val="21"/>
    </w:rPr>
  </w:style>
  <w:style w:type="paragraph" w:customStyle="1" w:styleId="34">
    <w:name w:val="表格"/>
    <w:basedOn w:val="1"/>
    <w:next w:val="1"/>
    <w:link w:val="33"/>
    <w:qFormat/>
    <w:uiPriority w:val="0"/>
    <w:pPr>
      <w:adjustRightInd w:val="0"/>
      <w:snapToGrid w:val="0"/>
      <w:spacing w:beforeLines="10" w:afterLines="10" w:line="259" w:lineRule="auto"/>
      <w:jc w:val="center"/>
    </w:pPr>
    <w:rPr>
      <w:rFonts w:ascii="宋体"/>
      <w:kern w:val="0"/>
      <w:szCs w:val="20"/>
    </w:rPr>
  </w:style>
  <w:style w:type="character" w:customStyle="1" w:styleId="35">
    <w:name w:val="正文文本 字符"/>
    <w:link w:val="7"/>
    <w:qFormat/>
    <w:locked/>
    <w:uiPriority w:val="0"/>
    <w:rPr>
      <w:sz w:val="18"/>
    </w:rPr>
  </w:style>
  <w:style w:type="character" w:customStyle="1" w:styleId="36">
    <w:name w:val="普通(网站) 字符"/>
    <w:link w:val="19"/>
    <w:qFormat/>
    <w:locked/>
    <w:uiPriority w:val="0"/>
    <w:rPr>
      <w:rFonts w:ascii="宋体" w:hAnsi="宋体" w:eastAsia="宋体"/>
      <w:sz w:val="24"/>
    </w:rPr>
  </w:style>
  <w:style w:type="character" w:customStyle="1" w:styleId="37">
    <w:name w:val="批注文字 字符"/>
    <w:link w:val="6"/>
    <w:qFormat/>
    <w:locked/>
    <w:uiPriority w:val="0"/>
    <w:rPr>
      <w:rFonts w:ascii="Times New Roman" w:hAnsi="Times New Roman" w:eastAsia="宋体"/>
      <w:sz w:val="24"/>
    </w:rPr>
  </w:style>
  <w:style w:type="character" w:customStyle="1" w:styleId="38">
    <w:name w:val="正文文本缩进 字符"/>
    <w:link w:val="8"/>
    <w:semiHidden/>
    <w:qFormat/>
    <w:locked/>
    <w:uiPriority w:val="0"/>
    <w:rPr>
      <w:rFonts w:ascii="Times New Roman" w:hAnsi="Times New Roman" w:eastAsia="宋体"/>
      <w:sz w:val="24"/>
    </w:rPr>
  </w:style>
  <w:style w:type="character" w:customStyle="1" w:styleId="39">
    <w:name w:val="批注主题 字符"/>
    <w:link w:val="21"/>
    <w:semiHidden/>
    <w:qFormat/>
    <w:locked/>
    <w:uiPriority w:val="0"/>
    <w:rPr>
      <w:rFonts w:ascii="Times New Roman" w:hAnsi="Times New Roman" w:eastAsia="宋体"/>
      <w:b/>
      <w:kern w:val="2"/>
      <w:sz w:val="24"/>
    </w:rPr>
  </w:style>
  <w:style w:type="character" w:customStyle="1" w:styleId="40">
    <w:name w:val="_Style 2"/>
    <w:qFormat/>
    <w:uiPriority w:val="31"/>
    <w:rPr>
      <w:smallCaps/>
      <w:color w:val="C0504D"/>
      <w:u w:val="single"/>
    </w:rPr>
  </w:style>
  <w:style w:type="character" w:customStyle="1" w:styleId="41">
    <w:name w:val="正文文本 字符1"/>
    <w:semiHidden/>
    <w:qFormat/>
    <w:uiPriority w:val="0"/>
    <w:rPr>
      <w:rFonts w:ascii="Times New Roman" w:hAnsi="Times New Roman" w:eastAsia="宋体"/>
      <w:sz w:val="24"/>
    </w:rPr>
  </w:style>
  <w:style w:type="character" w:customStyle="1" w:styleId="42">
    <w:name w:val="页眉 字符"/>
    <w:link w:val="13"/>
    <w:qFormat/>
    <w:locked/>
    <w:uiPriority w:val="0"/>
    <w:rPr>
      <w:sz w:val="18"/>
    </w:rPr>
  </w:style>
  <w:style w:type="character" w:customStyle="1" w:styleId="43">
    <w:name w:val="apple-style-span"/>
    <w:qFormat/>
    <w:uiPriority w:val="0"/>
  </w:style>
  <w:style w:type="character" w:customStyle="1" w:styleId="44">
    <w:name w:val="日期 字符"/>
    <w:semiHidden/>
    <w:qFormat/>
    <w:uiPriority w:val="0"/>
    <w:rPr>
      <w:rFonts w:ascii="Times New Roman" w:hAnsi="Times New Roman" w:eastAsia="宋体"/>
      <w:sz w:val="24"/>
    </w:rPr>
  </w:style>
  <w:style w:type="character" w:customStyle="1" w:styleId="45">
    <w:name w:val="页脚 字符1"/>
    <w:link w:val="12"/>
    <w:qFormat/>
    <w:locked/>
    <w:uiPriority w:val="99"/>
    <w:rPr>
      <w:sz w:val="18"/>
    </w:rPr>
  </w:style>
  <w:style w:type="character" w:customStyle="1" w:styleId="46">
    <w:name w:val="批注文字 字符1"/>
    <w:semiHidden/>
    <w:qFormat/>
    <w:uiPriority w:val="0"/>
    <w:rPr>
      <w:rFonts w:ascii="Times New Roman" w:hAnsi="Times New Roman" w:eastAsia="宋体"/>
      <w:sz w:val="24"/>
    </w:rPr>
  </w:style>
  <w:style w:type="character" w:customStyle="1" w:styleId="47">
    <w:name w:val="日期 字符1"/>
    <w:link w:val="9"/>
    <w:qFormat/>
    <w:locked/>
    <w:uiPriority w:val="0"/>
    <w:rPr>
      <w:rFonts w:ascii="Times New Roman" w:hAnsi="Times New Roman" w:eastAsia="宋体"/>
      <w:sz w:val="24"/>
    </w:rPr>
  </w:style>
  <w:style w:type="paragraph" w:customStyle="1" w:styleId="48">
    <w:name w:val="标题2"/>
    <w:basedOn w:val="1"/>
    <w:next w:val="1"/>
    <w:qFormat/>
    <w:uiPriority w:val="0"/>
    <w:pPr>
      <w:jc w:val="center"/>
    </w:pPr>
    <w:rPr>
      <w:rFonts w:eastAsia="方正楷体_GBK"/>
    </w:rPr>
  </w:style>
  <w:style w:type="paragraph" w:customStyle="1" w:styleId="49">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小表文字"/>
    <w:basedOn w:val="1"/>
    <w:qFormat/>
    <w:uiPriority w:val="0"/>
    <w:pPr>
      <w:jc w:val="center"/>
    </w:pPr>
    <w:rPr>
      <w:szCs w:val="22"/>
    </w:rPr>
  </w:style>
  <w:style w:type="paragraph" w:customStyle="1" w:styleId="51">
    <w:name w:val="表格式"/>
    <w:basedOn w:val="17"/>
    <w:qFormat/>
    <w:uiPriority w:val="0"/>
    <w:rPr>
      <w:rFonts w:ascii="宋体"/>
      <w:sz w:val="21"/>
    </w:rPr>
  </w:style>
  <w:style w:type="paragraph" w:customStyle="1" w:styleId="52">
    <w:name w:val="表表文字"/>
    <w:basedOn w:val="1"/>
    <w:qFormat/>
    <w:uiPriority w:val="0"/>
    <w:pPr>
      <w:wordWrap w:val="0"/>
      <w:adjustRightInd w:val="0"/>
      <w:snapToGrid w:val="0"/>
      <w:jc w:val="center"/>
    </w:pPr>
    <w:rPr>
      <w:kern w:val="0"/>
      <w:szCs w:val="21"/>
    </w:rPr>
  </w:style>
  <w:style w:type="paragraph" w:customStyle="1" w:styleId="53">
    <w:name w:val="xl27"/>
    <w:basedOn w:val="1"/>
    <w:qFormat/>
    <w:uiPriority w:val="0"/>
    <w:pPr>
      <w:widowControl/>
      <w:pBdr>
        <w:bottom w:val="single" w:color="auto" w:sz="12" w:space="0"/>
      </w:pBdr>
      <w:spacing w:before="100" w:after="100"/>
      <w:jc w:val="center"/>
    </w:pPr>
    <w:rPr>
      <w:rFonts w:ascii="宋体" w:hAnsi="宋体"/>
      <w:kern w:val="0"/>
      <w:szCs w:val="20"/>
    </w:rPr>
  </w:style>
  <w:style w:type="paragraph" w:customStyle="1" w:styleId="54">
    <w:name w:val="Table Paragraph"/>
    <w:basedOn w:val="1"/>
    <w:qFormat/>
    <w:uiPriority w:val="1"/>
    <w:pPr>
      <w:autoSpaceDE w:val="0"/>
      <w:autoSpaceDN w:val="0"/>
      <w:adjustRightInd w:val="0"/>
      <w:jc w:val="left"/>
    </w:pPr>
    <w:rPr>
      <w:kern w:val="0"/>
      <w:sz w:val="24"/>
    </w:rPr>
  </w:style>
  <w:style w:type="paragraph" w:customStyle="1" w:styleId="55">
    <w:name w:val="ZW"/>
    <w:basedOn w:val="1"/>
    <w:qFormat/>
    <w:uiPriority w:val="0"/>
    <w:pPr>
      <w:spacing w:line="360" w:lineRule="auto"/>
      <w:ind w:firstLine="480" w:firstLineChars="200"/>
    </w:pPr>
    <w:rPr>
      <w:rFonts w:ascii="宋体" w:hAnsi="宋体"/>
      <w:sz w:val="24"/>
      <w:szCs w:val="20"/>
    </w:rPr>
  </w:style>
  <w:style w:type="paragraph" w:customStyle="1" w:styleId="56">
    <w:name w:val="表头1"/>
    <w:basedOn w:val="1"/>
    <w:qFormat/>
    <w:uiPriority w:val="0"/>
    <w:pPr>
      <w:widowControl/>
      <w:adjustRightInd w:val="0"/>
      <w:snapToGrid w:val="0"/>
      <w:jc w:val="center"/>
    </w:pPr>
    <w:rPr>
      <w:b/>
      <w:kern w:val="0"/>
      <w:sz w:val="24"/>
    </w:rPr>
  </w:style>
  <w:style w:type="paragraph" w:customStyle="1" w:styleId="5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8">
    <w:name w:val="标题 2+ 行距: 固定值 24 磅 Char"/>
    <w:basedOn w:val="4"/>
    <w:qFormat/>
    <w:uiPriority w:val="0"/>
    <w:pPr>
      <w:spacing w:line="480" w:lineRule="exact"/>
      <w:ind w:firstLine="0" w:firstLineChars="0"/>
    </w:pPr>
  </w:style>
  <w:style w:type="paragraph" w:customStyle="1" w:styleId="59">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60">
    <w:name w:val="报告表正文"/>
    <w:basedOn w:val="1"/>
    <w:qFormat/>
    <w:uiPriority w:val="0"/>
    <w:pPr>
      <w:adjustRightInd w:val="0"/>
      <w:spacing w:line="360" w:lineRule="auto"/>
      <w:ind w:left="113" w:right="113" w:firstLine="482"/>
      <w:jc w:val="left"/>
      <w:textAlignment w:val="baseline"/>
    </w:pPr>
    <w:rPr>
      <w:kern w:val="0"/>
      <w:sz w:val="24"/>
      <w:szCs w:val="20"/>
    </w:rPr>
  </w:style>
  <w:style w:type="paragraph" w:customStyle="1" w:styleId="61">
    <w:name w:val="其他"/>
    <w:basedOn w:val="1"/>
    <w:qFormat/>
    <w:uiPriority w:val="0"/>
    <w:pPr>
      <w:shd w:val="clear" w:color="auto" w:fill="FFFFFF"/>
      <w:spacing w:after="40"/>
      <w:jc w:val="left"/>
    </w:pPr>
    <w:rPr>
      <w:rFonts w:ascii="MingLiU" w:hAnsi="MingLiU" w:eastAsia="MingLiU" w:cs="MingLiU"/>
      <w:sz w:val="22"/>
    </w:rPr>
  </w:style>
  <w:style w:type="paragraph" w:customStyle="1" w:styleId="62">
    <w:name w:val="表格文字"/>
    <w:basedOn w:val="1"/>
    <w:link w:val="66"/>
    <w:qFormat/>
    <w:uiPriority w:val="0"/>
    <w:pPr>
      <w:jc w:val="center"/>
    </w:pPr>
    <w:rPr>
      <w:rFonts w:ascii="仿宋_GB2312" w:hAnsi="Arial Black" w:eastAsia="仿宋_GB2312"/>
      <w:kern w:val="44"/>
      <w:sz w:val="24"/>
    </w:rPr>
  </w:style>
  <w:style w:type="paragraph" w:customStyle="1" w:styleId="63">
    <w:name w:val="段落1"/>
    <w:basedOn w:val="1"/>
    <w:qFormat/>
    <w:uiPriority w:val="0"/>
    <w:pPr>
      <w:spacing w:line="480" w:lineRule="exact"/>
      <w:ind w:firstLine="200" w:firstLineChars="200"/>
    </w:pPr>
    <w:rPr>
      <w:rFonts w:eastAsia="楷体_GB2312"/>
      <w:spacing w:val="6"/>
      <w:sz w:val="28"/>
    </w:rPr>
  </w:style>
  <w:style w:type="paragraph" w:customStyle="1" w:styleId="64">
    <w:name w:val="样式 列表 + 左侧:  0 厘米 悬挂缩进: 5.85 字符"/>
    <w:basedOn w:val="17"/>
    <w:qFormat/>
    <w:uiPriority w:val="0"/>
    <w:pPr>
      <w:autoSpaceDE w:val="0"/>
      <w:autoSpaceDN w:val="0"/>
      <w:adjustRightInd w:val="0"/>
      <w:snapToGrid w:val="0"/>
      <w:spacing w:line="240" w:lineRule="auto"/>
      <w:ind w:left="-2" w:leftChars="-8" w:hanging="17" w:hangingChars="8"/>
      <w:contextualSpacing/>
    </w:pPr>
    <w:rPr>
      <w:rFonts w:ascii="宋体" w:hAnsi="宋体" w:cs="宋体"/>
      <w:sz w:val="21"/>
      <w:szCs w:val="21"/>
      <w:lang w:val="zh-CN"/>
    </w:rPr>
  </w:style>
  <w:style w:type="paragraph" w:styleId="65">
    <w:name w:val="List Paragraph"/>
    <w:basedOn w:val="1"/>
    <w:qFormat/>
    <w:uiPriority w:val="0"/>
    <w:pPr>
      <w:ind w:firstLine="420" w:firstLineChars="200"/>
    </w:pPr>
    <w:rPr>
      <w:rFonts w:asciiTheme="minorHAnsi" w:hAnsiTheme="minorHAnsi" w:eastAsiaTheme="minorEastAsia" w:cstheme="minorBidi"/>
      <w:szCs w:val="22"/>
    </w:rPr>
  </w:style>
  <w:style w:type="character" w:customStyle="1" w:styleId="66">
    <w:name w:val="表格文字 Char"/>
    <w:link w:val="62"/>
    <w:qFormat/>
    <w:uiPriority w:val="0"/>
    <w:rPr>
      <w:rFonts w:ascii="仿宋_GB2312" w:hAnsi="Arial Black" w:eastAsia="仿宋_GB2312"/>
      <w:kern w:val="44"/>
      <w:sz w:val="24"/>
      <w:szCs w:val="24"/>
    </w:rPr>
  </w:style>
  <w:style w:type="paragraph" w:customStyle="1" w:styleId="67">
    <w:name w:val="列出段落2"/>
    <w:basedOn w:val="1"/>
    <w:qFormat/>
    <w:uiPriority w:val="99"/>
    <w:pPr>
      <w:ind w:firstLine="420" w:firstLineChars="200"/>
    </w:pPr>
    <w:rPr>
      <w:szCs w:val="20"/>
    </w:rPr>
  </w:style>
  <w:style w:type="paragraph" w:customStyle="1" w:styleId="68">
    <w:name w:val="表居中（中文）"/>
    <w:basedOn w:val="1"/>
    <w:qFormat/>
    <w:uiPriority w:val="0"/>
    <w:pPr>
      <w:adjustRightInd w:val="0"/>
      <w:spacing w:line="380" w:lineRule="atLeast"/>
      <w:jc w:val="center"/>
      <w:textAlignment w:val="baseline"/>
    </w:pPr>
    <w:rPr>
      <w:rFonts w:eastAsia="楷体_GB2312"/>
      <w:kern w:val="0"/>
      <w:sz w:val="24"/>
      <w:szCs w:val="20"/>
    </w:rPr>
  </w:style>
  <w:style w:type="paragraph" w:customStyle="1" w:styleId="69">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olor w:val="FF0000"/>
      <w:kern w:val="0"/>
      <w:sz w:val="24"/>
    </w:rPr>
  </w:style>
  <w:style w:type="character" w:customStyle="1" w:styleId="70">
    <w:name w:val="markedcontent"/>
    <w:basedOn w:val="25"/>
    <w:qFormat/>
    <w:uiPriority w:val="0"/>
  </w:style>
  <w:style w:type="paragraph" w:customStyle="1" w:styleId="71">
    <w:name w:val="TOC Heading"/>
    <w:basedOn w:val="3"/>
    <w:next w:val="1"/>
    <w:unhideWhenUsed/>
    <w:qFormat/>
    <w:uiPriority w:val="39"/>
    <w:pPr>
      <w:keepLines/>
      <w:widowControl/>
      <w:overflowPunct/>
      <w:snapToGrid/>
      <w:spacing w:before="240" w:after="0"/>
      <w:ind w:left="0" w:firstLine="0"/>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emf"/><Relationship Id="rId17" Type="http://schemas.openxmlformats.org/officeDocument/2006/relationships/oleObject" Target="embeddings/oleObject5.bin"/><Relationship Id="rId16" Type="http://schemas.openxmlformats.org/officeDocument/2006/relationships/image" Target="media/image4.emf"/><Relationship Id="rId15" Type="http://schemas.openxmlformats.org/officeDocument/2006/relationships/oleObject" Target="embeddings/oleObject4.bin"/><Relationship Id="rId14" Type="http://schemas.openxmlformats.org/officeDocument/2006/relationships/image" Target="media/image3.emf"/><Relationship Id="rId13" Type="http://schemas.openxmlformats.org/officeDocument/2006/relationships/oleObject" Target="embeddings/oleObject3.bin"/><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9F0023-3245-4B9E-990A-D885CFB5360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51</Pages>
  <Words>32632</Words>
  <Characters>7510</Characters>
  <Lines>62</Lines>
  <Paragraphs>80</Paragraphs>
  <TotalTime>3</TotalTime>
  <ScaleCrop>false</ScaleCrop>
  <LinksUpToDate>false</LinksUpToDate>
  <CharactersWithSpaces>40062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2021-03-29T05:07:00Z</dcterms:created>
  <dc:creator>lhj</dc:creator>
  <cp:lastModifiedBy>Biu~Biu~Biu~ </cp:lastModifiedBy>
  <cp:lastPrinted>2021-12-09T07:44:00Z</cp:lastPrinted>
  <dcterms:modified xsi:type="dcterms:W3CDTF">2022-03-17T08:57:01Z</dcterms:modified>
  <dc:title>附件2</dc:title>
  <cp:revision>8359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EA38CFBD9D9B489ABB1741855E868429</vt:lpwstr>
  </property>
</Properties>
</file>