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jc w:val="center"/>
        <w:rPr>
          <w:rFonts w:hint="eastAsia"/>
          <w:b/>
          <w:bCs/>
          <w:color w:val="auto"/>
          <w:sz w:val="44"/>
          <w:szCs w:val="44"/>
          <w:highlight w:val="none"/>
        </w:rPr>
      </w:pPr>
      <w:r>
        <w:rPr>
          <w:rFonts w:hint="eastAsia"/>
          <w:b/>
          <w:bCs/>
          <w:color w:val="auto"/>
          <w:sz w:val="44"/>
          <w:szCs w:val="44"/>
          <w:highlight w:val="none"/>
          <w:lang w:val="en-US" w:eastAsia="zh-CN"/>
        </w:rPr>
        <w:t>苏州市苏州茂龙地产发展有限公司苏地2017-WG-82号地块项目（地块一）</w:t>
      </w:r>
      <w:r>
        <w:rPr>
          <w:rFonts w:hint="eastAsia"/>
          <w:b/>
          <w:bCs/>
          <w:color w:val="auto"/>
          <w:sz w:val="44"/>
          <w:szCs w:val="44"/>
          <w:highlight w:val="none"/>
        </w:rPr>
        <w:t>验收调查报告</w:t>
      </w:r>
    </w:p>
    <w:p>
      <w:pPr>
        <w:jc w:val="center"/>
        <w:rPr>
          <w:rFonts w:hint="eastAsia"/>
          <w:color w:val="auto"/>
          <w:sz w:val="40"/>
          <w:szCs w:val="40"/>
          <w:highlight w:val="none"/>
        </w:rPr>
      </w:pPr>
    </w:p>
    <w:p>
      <w:pPr>
        <w:jc w:val="center"/>
        <w:rPr>
          <w:rFonts w:hint="eastAsia"/>
          <w:color w:val="auto"/>
          <w:sz w:val="40"/>
          <w:szCs w:val="40"/>
          <w:highlight w:val="none"/>
        </w:rPr>
      </w:pPr>
    </w:p>
    <w:p>
      <w:pPr>
        <w:jc w:val="center"/>
        <w:rPr>
          <w:rFonts w:hint="eastAsia"/>
          <w:color w:val="auto"/>
          <w:sz w:val="40"/>
          <w:szCs w:val="40"/>
          <w:highlight w:val="none"/>
        </w:rPr>
      </w:pPr>
    </w:p>
    <w:p>
      <w:pPr>
        <w:rPr>
          <w:rFonts w:hint="eastAsia"/>
          <w:color w:val="auto"/>
          <w:sz w:val="40"/>
          <w:szCs w:val="40"/>
          <w:highlight w:val="none"/>
        </w:rPr>
      </w:pPr>
    </w:p>
    <w:p>
      <w:pPr>
        <w:jc w:val="center"/>
        <w:rPr>
          <w:rFonts w:hint="eastAsia"/>
          <w:color w:val="auto"/>
          <w:sz w:val="40"/>
          <w:szCs w:val="40"/>
          <w:highlight w:val="none"/>
        </w:rPr>
      </w:pPr>
    </w:p>
    <w:p>
      <w:pPr>
        <w:jc w:val="center"/>
        <w:rPr>
          <w:rFonts w:hint="eastAsia"/>
          <w:color w:val="auto"/>
          <w:sz w:val="40"/>
          <w:szCs w:val="40"/>
          <w:highlight w:val="none"/>
        </w:rPr>
      </w:pPr>
    </w:p>
    <w:tbl>
      <w:tblPr>
        <w:tblStyle w:val="12"/>
        <w:tblW w:w="7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5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854" w:type="dxa"/>
            <w:tcBorders>
              <w:top w:val="nil"/>
              <w:left w:val="nil"/>
              <w:bottom w:val="nil"/>
              <w:right w:val="nil"/>
            </w:tcBorders>
            <w:noWrap w:val="0"/>
            <w:vAlign w:val="center"/>
          </w:tcPr>
          <w:p>
            <w:pPr>
              <w:spacing w:line="240" w:lineRule="auto"/>
              <w:jc w:val="center"/>
              <w:rPr>
                <w:rFonts w:eastAsia="楷体_GB2312"/>
                <w:color w:val="auto"/>
                <w:highlight w:val="none"/>
              </w:rPr>
            </w:pPr>
            <w:r>
              <w:rPr>
                <w:b/>
                <w:color w:val="auto"/>
                <w:sz w:val="32"/>
                <w:szCs w:val="32"/>
                <w:highlight w:val="none"/>
              </w:rPr>
              <w:t>建设单位：</w:t>
            </w:r>
          </w:p>
        </w:tc>
        <w:tc>
          <w:tcPr>
            <w:tcW w:w="5655" w:type="dxa"/>
            <w:tcBorders>
              <w:top w:val="nil"/>
              <w:left w:val="nil"/>
              <w:right w:val="nil"/>
            </w:tcBorders>
            <w:noWrap w:val="0"/>
            <w:vAlign w:val="center"/>
          </w:tcPr>
          <w:p>
            <w:pPr>
              <w:spacing w:line="240" w:lineRule="auto"/>
              <w:jc w:val="center"/>
              <w:rPr>
                <w:color w:val="auto"/>
                <w:sz w:val="32"/>
                <w:szCs w:val="32"/>
                <w:highlight w:val="none"/>
              </w:rPr>
            </w:pPr>
            <w:r>
              <w:rPr>
                <w:rFonts w:hint="eastAsia"/>
                <w:color w:val="auto"/>
                <w:sz w:val="32"/>
                <w:szCs w:val="32"/>
                <w:highlight w:val="none"/>
              </w:rPr>
              <w:t>苏州茂龙地产发展有限公司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854" w:type="dxa"/>
            <w:tcBorders>
              <w:top w:val="nil"/>
              <w:left w:val="nil"/>
              <w:bottom w:val="nil"/>
              <w:right w:val="nil"/>
            </w:tcBorders>
            <w:noWrap w:val="0"/>
            <w:vAlign w:val="center"/>
          </w:tcPr>
          <w:p>
            <w:pPr>
              <w:spacing w:line="240" w:lineRule="auto"/>
              <w:jc w:val="center"/>
              <w:rPr>
                <w:rFonts w:eastAsia="楷体_GB2312"/>
                <w:color w:val="auto"/>
                <w:highlight w:val="none"/>
              </w:rPr>
            </w:pPr>
            <w:r>
              <w:rPr>
                <w:b/>
                <w:color w:val="auto"/>
                <w:sz w:val="32"/>
                <w:szCs w:val="32"/>
                <w:highlight w:val="none"/>
              </w:rPr>
              <w:t>编制单位：</w:t>
            </w:r>
          </w:p>
        </w:tc>
        <w:tc>
          <w:tcPr>
            <w:tcW w:w="5655" w:type="dxa"/>
            <w:tcBorders>
              <w:left w:val="nil"/>
              <w:right w:val="nil"/>
            </w:tcBorders>
            <w:noWrap w:val="0"/>
            <w:vAlign w:val="center"/>
          </w:tcPr>
          <w:p>
            <w:pPr>
              <w:spacing w:line="240" w:lineRule="auto"/>
              <w:jc w:val="center"/>
              <w:rPr>
                <w:rFonts w:hint="eastAsia" w:eastAsia="宋体"/>
                <w:color w:val="auto"/>
                <w:sz w:val="32"/>
                <w:szCs w:val="32"/>
                <w:highlight w:val="none"/>
                <w:lang w:eastAsia="zh-CN"/>
              </w:rPr>
            </w:pPr>
            <w:r>
              <w:rPr>
                <w:rFonts w:hint="eastAsia"/>
                <w:color w:val="auto"/>
                <w:sz w:val="32"/>
                <w:szCs w:val="32"/>
                <w:highlight w:val="none"/>
                <w:lang w:eastAsia="zh-CN"/>
              </w:rPr>
              <w:t>苏州得以清环境技术有限公司</w:t>
            </w:r>
          </w:p>
        </w:tc>
      </w:tr>
    </w:tbl>
    <w:p>
      <w:pPr>
        <w:jc w:val="center"/>
        <w:rPr>
          <w:rFonts w:hint="eastAsia"/>
          <w:color w:val="auto"/>
          <w:sz w:val="40"/>
          <w:szCs w:val="40"/>
          <w:highlight w:val="none"/>
        </w:rPr>
      </w:pPr>
    </w:p>
    <w:p>
      <w:pPr>
        <w:jc w:val="center"/>
        <w:rPr>
          <w:rFonts w:hint="eastAsia"/>
          <w:color w:val="auto"/>
          <w:sz w:val="40"/>
          <w:szCs w:val="40"/>
          <w:highlight w:val="none"/>
        </w:rPr>
      </w:pPr>
      <w:r>
        <w:rPr>
          <w:rFonts w:hint="eastAsia"/>
          <w:color w:val="auto"/>
          <w:sz w:val="40"/>
          <w:szCs w:val="40"/>
          <w:highlight w:val="none"/>
        </w:rPr>
        <w:t>2021年</w:t>
      </w:r>
      <w:r>
        <w:rPr>
          <w:rFonts w:hint="eastAsia"/>
          <w:color w:val="auto"/>
          <w:sz w:val="40"/>
          <w:szCs w:val="40"/>
          <w:highlight w:val="none"/>
          <w:lang w:val="en-US" w:eastAsia="zh-CN"/>
        </w:rPr>
        <w:t>11</w:t>
      </w:r>
      <w:r>
        <w:rPr>
          <w:rFonts w:hint="eastAsia"/>
          <w:color w:val="auto"/>
          <w:sz w:val="40"/>
          <w:szCs w:val="40"/>
          <w:highlight w:val="none"/>
        </w:rPr>
        <w:t>月</w:t>
      </w:r>
    </w:p>
    <w:p>
      <w:pPr>
        <w:rPr>
          <w:color w:val="auto"/>
          <w:sz w:val="32"/>
          <w:szCs w:val="32"/>
          <w:highlight w:val="none"/>
        </w:rPr>
      </w:pPr>
      <w:r>
        <w:rPr>
          <w:rFonts w:hint="eastAsia"/>
          <w:color w:val="auto"/>
          <w:szCs w:val="40"/>
          <w:highlight w:val="none"/>
        </w:rPr>
        <w:br w:type="page"/>
      </w:r>
      <w:r>
        <w:rPr>
          <w:color w:val="auto"/>
          <w:sz w:val="32"/>
          <w:szCs w:val="32"/>
          <w:highlight w:val="none"/>
        </w:rPr>
        <w:t>建设单位：</w:t>
      </w:r>
      <w:r>
        <w:rPr>
          <w:rFonts w:hint="eastAsia"/>
          <w:color w:val="auto"/>
          <w:sz w:val="32"/>
          <w:szCs w:val="32"/>
          <w:highlight w:val="none"/>
        </w:rPr>
        <w:t>苏州茂龙地产发展有限公司</w:t>
      </w:r>
    </w:p>
    <w:p>
      <w:pPr>
        <w:rPr>
          <w:rFonts w:hint="eastAsia" w:eastAsia="宋体"/>
          <w:color w:val="auto"/>
          <w:sz w:val="32"/>
          <w:szCs w:val="32"/>
          <w:highlight w:val="none"/>
          <w:lang w:val="en-US" w:eastAsia="zh-CN"/>
        </w:rPr>
      </w:pPr>
      <w:r>
        <w:rPr>
          <w:color w:val="auto"/>
          <w:sz w:val="32"/>
          <w:szCs w:val="32"/>
          <w:highlight w:val="none"/>
        </w:rPr>
        <w:t>法定代表人：</w:t>
      </w:r>
      <w:r>
        <w:rPr>
          <w:rFonts w:hint="eastAsia"/>
          <w:color w:val="auto"/>
          <w:sz w:val="32"/>
          <w:szCs w:val="32"/>
          <w:highlight w:val="none"/>
          <w:lang w:val="en-US" w:eastAsia="zh-CN"/>
        </w:rPr>
        <w:t>陈国邦</w:t>
      </w:r>
    </w:p>
    <w:p>
      <w:pPr>
        <w:rPr>
          <w:color w:val="auto"/>
          <w:sz w:val="32"/>
          <w:szCs w:val="32"/>
          <w:highlight w:val="none"/>
        </w:rPr>
      </w:pPr>
      <w:r>
        <w:rPr>
          <w:color w:val="auto"/>
          <w:sz w:val="32"/>
          <w:szCs w:val="32"/>
          <w:highlight w:val="none"/>
        </w:rPr>
        <w:t>编制单位：</w:t>
      </w:r>
      <w:r>
        <w:rPr>
          <w:rFonts w:hint="eastAsia"/>
          <w:color w:val="auto"/>
          <w:sz w:val="32"/>
          <w:szCs w:val="32"/>
          <w:highlight w:val="none"/>
        </w:rPr>
        <w:t>苏州得以清环境</w:t>
      </w:r>
      <w:r>
        <w:rPr>
          <w:rFonts w:hint="eastAsia"/>
          <w:color w:val="auto"/>
          <w:sz w:val="32"/>
          <w:szCs w:val="32"/>
          <w:highlight w:val="none"/>
          <w:lang w:val="en-US" w:eastAsia="zh-CN"/>
        </w:rPr>
        <w:t>技术</w:t>
      </w:r>
      <w:r>
        <w:rPr>
          <w:rFonts w:hint="eastAsia"/>
          <w:color w:val="auto"/>
          <w:sz w:val="32"/>
          <w:szCs w:val="32"/>
          <w:highlight w:val="none"/>
        </w:rPr>
        <w:t>有限公司</w:t>
      </w:r>
    </w:p>
    <w:p>
      <w:pPr>
        <w:rPr>
          <w:rFonts w:hint="eastAsia"/>
          <w:color w:val="auto"/>
          <w:sz w:val="32"/>
          <w:szCs w:val="32"/>
          <w:highlight w:val="none"/>
          <w:lang w:val="en-US" w:eastAsia="zh-CN"/>
        </w:rPr>
      </w:pPr>
      <w:r>
        <w:rPr>
          <w:color w:val="auto"/>
          <w:sz w:val="32"/>
          <w:szCs w:val="32"/>
          <w:highlight w:val="none"/>
        </w:rPr>
        <w:t>法人代表：</w:t>
      </w:r>
      <w:r>
        <w:rPr>
          <w:rFonts w:hint="eastAsia"/>
          <w:color w:val="auto"/>
          <w:sz w:val="32"/>
          <w:szCs w:val="32"/>
          <w:highlight w:val="none"/>
          <w:lang w:val="en-US" w:eastAsia="zh-CN"/>
        </w:rPr>
        <w:t>叶健键</w:t>
      </w:r>
    </w:p>
    <w:p>
      <w:pPr>
        <w:rPr>
          <w:rFonts w:hint="eastAsia"/>
          <w:color w:val="auto"/>
          <w:sz w:val="32"/>
          <w:szCs w:val="32"/>
          <w:highlight w:val="none"/>
          <w:lang w:val="en-US" w:eastAsia="zh-CN"/>
        </w:rPr>
      </w:pPr>
      <w:r>
        <w:rPr>
          <w:rFonts w:hint="eastAsia"/>
          <w:color w:val="auto"/>
          <w:sz w:val="32"/>
          <w:szCs w:val="32"/>
          <w:highlight w:val="none"/>
          <w:lang w:val="en-US" w:eastAsia="zh-CN"/>
        </w:rPr>
        <w:br w:type="page"/>
      </w:r>
    </w:p>
    <w:p>
      <w:pPr>
        <w:pStyle w:val="10"/>
        <w:tabs>
          <w:tab w:val="right" w:leader="dot" w:pos="8306"/>
        </w:tabs>
        <w:jc w:val="center"/>
        <w:rPr>
          <w:rFonts w:hint="eastAsia" w:eastAsia="宋体"/>
          <w:b/>
          <w:bCs/>
          <w:lang w:val="en-US" w:eastAsia="zh-CN"/>
        </w:rPr>
      </w:pPr>
      <w:bookmarkStart w:id="0" w:name="_Toc4245"/>
      <w:r>
        <w:rPr>
          <w:rFonts w:hint="eastAsia"/>
          <w:b/>
          <w:bCs/>
          <w:lang w:val="en-US" w:eastAsia="zh-CN"/>
        </w:rPr>
        <w:t>目录</w:t>
      </w:r>
    </w:p>
    <w:p>
      <w:pPr>
        <w:pStyle w:val="10"/>
        <w:tabs>
          <w:tab w:val="right" w:leader="dot" w:pos="8306"/>
        </w:tabs>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_Toc10297 </w:instrText>
      </w:r>
      <w:r>
        <w:rPr>
          <w:rFonts w:hint="eastAsia"/>
        </w:rPr>
        <w:fldChar w:fldCharType="separate"/>
      </w:r>
      <w:r>
        <w:rPr>
          <w:rFonts w:hint="eastAsia"/>
          <w:highlight w:val="none"/>
        </w:rPr>
        <w:t>1项目概况</w:t>
      </w:r>
      <w:r>
        <w:tab/>
      </w:r>
      <w:r>
        <w:fldChar w:fldCharType="begin"/>
      </w:r>
      <w:r>
        <w:instrText xml:space="preserve"> PAGEREF _Toc10297 </w:instrText>
      </w:r>
      <w:r>
        <w:fldChar w:fldCharType="separate"/>
      </w:r>
      <w:r>
        <w:t>1</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_Toc58 </w:instrText>
      </w:r>
      <w:r>
        <w:rPr>
          <w:rFonts w:hint="eastAsia"/>
        </w:rPr>
        <w:fldChar w:fldCharType="separate"/>
      </w:r>
      <w:r>
        <w:rPr>
          <w:rFonts w:hint="eastAsia"/>
          <w:highlight w:val="none"/>
        </w:rPr>
        <w:t>2验收依据</w:t>
      </w:r>
      <w:r>
        <w:tab/>
      </w:r>
      <w:r>
        <w:fldChar w:fldCharType="begin"/>
      </w:r>
      <w:r>
        <w:instrText xml:space="preserve"> PAGEREF _Toc58 </w:instrText>
      </w:r>
      <w:r>
        <w:fldChar w:fldCharType="separate"/>
      </w:r>
      <w:r>
        <w:t>2</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_Toc522 </w:instrText>
      </w:r>
      <w:r>
        <w:rPr>
          <w:rFonts w:hint="eastAsia"/>
        </w:rPr>
        <w:fldChar w:fldCharType="separate"/>
      </w:r>
      <w:r>
        <w:rPr>
          <w:highlight w:val="none"/>
        </w:rPr>
        <w:t>2.1</w:t>
      </w:r>
      <w:r>
        <w:rPr>
          <w:rFonts w:hint="eastAsia"/>
          <w:highlight w:val="none"/>
        </w:rPr>
        <w:t>法规标准依据</w:t>
      </w:r>
      <w:r>
        <w:tab/>
      </w:r>
      <w:r>
        <w:fldChar w:fldCharType="begin"/>
      </w:r>
      <w:r>
        <w:instrText xml:space="preserve"> PAGEREF _Toc522 </w:instrText>
      </w:r>
      <w:r>
        <w:fldChar w:fldCharType="separate"/>
      </w:r>
      <w:r>
        <w:t>2</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_Toc4047 </w:instrText>
      </w:r>
      <w:r>
        <w:rPr>
          <w:rFonts w:hint="eastAsia"/>
        </w:rPr>
        <w:fldChar w:fldCharType="separate"/>
      </w:r>
      <w:r>
        <w:rPr>
          <w:highlight w:val="none"/>
        </w:rPr>
        <w:t>2.1.1法律、法规</w:t>
      </w:r>
      <w:r>
        <w:tab/>
      </w:r>
      <w:r>
        <w:fldChar w:fldCharType="begin"/>
      </w:r>
      <w:r>
        <w:instrText xml:space="preserve"> PAGEREF _Toc4047 </w:instrText>
      </w:r>
      <w:r>
        <w:fldChar w:fldCharType="separate"/>
      </w:r>
      <w:r>
        <w:t>2</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_Toc23256 </w:instrText>
      </w:r>
      <w:r>
        <w:rPr>
          <w:rFonts w:hint="eastAsia"/>
        </w:rPr>
        <w:fldChar w:fldCharType="separate"/>
      </w:r>
      <w:r>
        <w:rPr>
          <w:highlight w:val="none"/>
        </w:rPr>
        <w:t>2.1.2地方法规与政策</w:t>
      </w:r>
      <w:r>
        <w:tab/>
      </w:r>
      <w:r>
        <w:fldChar w:fldCharType="begin"/>
      </w:r>
      <w:r>
        <w:instrText xml:space="preserve"> PAGEREF _Toc23256 </w:instrText>
      </w:r>
      <w:r>
        <w:fldChar w:fldCharType="separate"/>
      </w:r>
      <w:r>
        <w:t>2</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_Toc21220 </w:instrText>
      </w:r>
      <w:r>
        <w:rPr>
          <w:rFonts w:hint="eastAsia"/>
        </w:rPr>
        <w:fldChar w:fldCharType="separate"/>
      </w:r>
      <w:r>
        <w:rPr>
          <w:highlight w:val="none"/>
        </w:rPr>
        <w:t>2.1.3环境保护标准及规范</w:t>
      </w:r>
      <w:r>
        <w:tab/>
      </w:r>
      <w:r>
        <w:fldChar w:fldCharType="begin"/>
      </w:r>
      <w:r>
        <w:instrText xml:space="preserve"> PAGEREF _Toc21220 </w:instrText>
      </w:r>
      <w:r>
        <w:fldChar w:fldCharType="separate"/>
      </w:r>
      <w:r>
        <w:t>3</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_Toc31927 </w:instrText>
      </w:r>
      <w:r>
        <w:rPr>
          <w:rFonts w:hint="eastAsia"/>
        </w:rPr>
        <w:fldChar w:fldCharType="separate"/>
      </w:r>
      <w:r>
        <w:rPr>
          <w:highlight w:val="none"/>
        </w:rPr>
        <w:t>2.</w:t>
      </w:r>
      <w:r>
        <w:rPr>
          <w:rFonts w:hint="eastAsia"/>
          <w:highlight w:val="none"/>
        </w:rPr>
        <w:t>2</w:t>
      </w:r>
      <w:r>
        <w:rPr>
          <w:highlight w:val="none"/>
        </w:rPr>
        <w:t>工程资料</w:t>
      </w:r>
      <w:r>
        <w:tab/>
      </w:r>
      <w:r>
        <w:fldChar w:fldCharType="begin"/>
      </w:r>
      <w:r>
        <w:instrText xml:space="preserve"> PAGEREF _Toc31927 </w:instrText>
      </w:r>
      <w:r>
        <w:fldChar w:fldCharType="separate"/>
      </w:r>
      <w:r>
        <w:t>4</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_Toc12556 </w:instrText>
      </w:r>
      <w:r>
        <w:rPr>
          <w:rFonts w:hint="eastAsia"/>
        </w:rPr>
        <w:fldChar w:fldCharType="separate"/>
      </w:r>
      <w:r>
        <w:rPr>
          <w:rFonts w:hint="eastAsia"/>
          <w:highlight w:val="none"/>
        </w:rPr>
        <w:t>3建设项目建设情况</w:t>
      </w:r>
      <w:r>
        <w:tab/>
      </w:r>
      <w:r>
        <w:fldChar w:fldCharType="begin"/>
      </w:r>
      <w:r>
        <w:instrText xml:space="preserve"> PAGEREF _Toc12556 </w:instrText>
      </w:r>
      <w:r>
        <w:fldChar w:fldCharType="separate"/>
      </w:r>
      <w:r>
        <w:t>5</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_Toc1940 </w:instrText>
      </w:r>
      <w:r>
        <w:rPr>
          <w:rFonts w:hint="eastAsia"/>
        </w:rPr>
        <w:fldChar w:fldCharType="separate"/>
      </w:r>
      <w:r>
        <w:rPr>
          <w:rFonts w:hint="eastAsia"/>
          <w:highlight w:val="none"/>
        </w:rPr>
        <w:t>3.1建设项目内容</w:t>
      </w:r>
      <w:r>
        <w:tab/>
      </w:r>
      <w:r>
        <w:fldChar w:fldCharType="begin"/>
      </w:r>
      <w:r>
        <w:instrText xml:space="preserve"> PAGEREF _Toc1940 </w:instrText>
      </w:r>
      <w:r>
        <w:fldChar w:fldCharType="separate"/>
      </w:r>
      <w:r>
        <w:t>5</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_Toc20118 </w:instrText>
      </w:r>
      <w:r>
        <w:rPr>
          <w:rFonts w:hint="eastAsia"/>
        </w:rPr>
        <w:fldChar w:fldCharType="separate"/>
      </w:r>
      <w:r>
        <w:rPr>
          <w:rFonts w:hint="eastAsia"/>
          <w:highlight w:val="none"/>
        </w:rPr>
        <w:t>3.2项目建设过程</w:t>
      </w:r>
      <w:r>
        <w:tab/>
      </w:r>
      <w:r>
        <w:fldChar w:fldCharType="begin"/>
      </w:r>
      <w:r>
        <w:instrText xml:space="preserve"> PAGEREF _Toc20118 </w:instrText>
      </w:r>
      <w:r>
        <w:fldChar w:fldCharType="separate"/>
      </w:r>
      <w:r>
        <w:t>5</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_Toc27187 </w:instrText>
      </w:r>
      <w:r>
        <w:rPr>
          <w:rFonts w:hint="eastAsia"/>
        </w:rPr>
        <w:fldChar w:fldCharType="separate"/>
      </w:r>
      <w:r>
        <w:rPr>
          <w:rFonts w:hint="eastAsia"/>
          <w:highlight w:val="none"/>
        </w:rPr>
        <w:t>3.3项目变动情况</w:t>
      </w:r>
      <w:r>
        <w:tab/>
      </w:r>
      <w:r>
        <w:fldChar w:fldCharType="begin"/>
      </w:r>
      <w:r>
        <w:instrText xml:space="preserve"> PAGEREF _Toc27187 </w:instrText>
      </w:r>
      <w:r>
        <w:fldChar w:fldCharType="separate"/>
      </w:r>
      <w:r>
        <w:t>6</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_Toc5151 </w:instrText>
      </w:r>
      <w:r>
        <w:rPr>
          <w:rFonts w:hint="eastAsia"/>
        </w:rPr>
        <w:fldChar w:fldCharType="separate"/>
      </w:r>
      <w:r>
        <w:rPr>
          <w:rFonts w:hint="eastAsia"/>
          <w:highlight w:val="none"/>
        </w:rPr>
        <w:t>3.4项目验收工况</w:t>
      </w:r>
      <w:r>
        <w:tab/>
      </w:r>
      <w:r>
        <w:fldChar w:fldCharType="begin"/>
      </w:r>
      <w:r>
        <w:instrText xml:space="preserve"> PAGEREF _Toc5151 </w:instrText>
      </w:r>
      <w:r>
        <w:fldChar w:fldCharType="separate"/>
      </w:r>
      <w:r>
        <w:t>7</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_Toc29695 </w:instrText>
      </w:r>
      <w:r>
        <w:rPr>
          <w:rFonts w:hint="eastAsia"/>
        </w:rPr>
        <w:fldChar w:fldCharType="separate"/>
      </w:r>
      <w:r>
        <w:rPr>
          <w:rFonts w:hint="eastAsia"/>
          <w:highlight w:val="none"/>
        </w:rPr>
        <w:t>4</w:t>
      </w:r>
      <w:r>
        <w:rPr>
          <w:rFonts w:hint="eastAsia"/>
          <w:highlight w:val="none"/>
          <w:lang w:val="en-US" w:eastAsia="zh-CN"/>
        </w:rPr>
        <w:t>建设项目环境影响登记表</w:t>
      </w:r>
      <w:r>
        <w:tab/>
      </w:r>
      <w:r>
        <w:fldChar w:fldCharType="begin"/>
      </w:r>
      <w:r>
        <w:instrText xml:space="preserve"> PAGEREF _Toc29695 </w:instrText>
      </w:r>
      <w:r>
        <w:fldChar w:fldCharType="separate"/>
      </w:r>
      <w:r>
        <w:t>9</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_Toc32676 </w:instrText>
      </w:r>
      <w:r>
        <w:rPr>
          <w:rFonts w:hint="eastAsia"/>
        </w:rPr>
        <w:fldChar w:fldCharType="separate"/>
      </w:r>
      <w:r>
        <w:rPr>
          <w:rFonts w:hint="eastAsia"/>
          <w:highlight w:val="none"/>
          <w:lang w:val="en-US" w:eastAsia="zh-CN"/>
        </w:rPr>
        <w:t>5</w:t>
      </w:r>
      <w:r>
        <w:rPr>
          <w:rFonts w:hint="eastAsia"/>
          <w:highlight w:val="none"/>
        </w:rPr>
        <w:t>环境保护设施调查</w:t>
      </w:r>
      <w:r>
        <w:tab/>
      </w:r>
      <w:r>
        <w:fldChar w:fldCharType="begin"/>
      </w:r>
      <w:r>
        <w:instrText xml:space="preserve"> PAGEREF _Toc32676 </w:instrText>
      </w:r>
      <w:r>
        <w:fldChar w:fldCharType="separate"/>
      </w:r>
      <w:r>
        <w:t>10</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_Toc20052 </w:instrText>
      </w:r>
      <w:r>
        <w:rPr>
          <w:rFonts w:hint="eastAsia"/>
        </w:rPr>
        <w:fldChar w:fldCharType="separate"/>
      </w:r>
      <w:r>
        <w:rPr>
          <w:rFonts w:hint="eastAsia"/>
          <w:highlight w:val="none"/>
          <w:lang w:val="en-US" w:eastAsia="zh-CN"/>
        </w:rPr>
        <w:t>5</w:t>
      </w:r>
      <w:r>
        <w:rPr>
          <w:rFonts w:hint="eastAsia"/>
          <w:highlight w:val="none"/>
        </w:rPr>
        <w:t>.1生态保护工程和设施</w:t>
      </w:r>
      <w:r>
        <w:tab/>
      </w:r>
      <w:r>
        <w:fldChar w:fldCharType="begin"/>
      </w:r>
      <w:r>
        <w:instrText xml:space="preserve"> PAGEREF _Toc20052 </w:instrText>
      </w:r>
      <w:r>
        <w:fldChar w:fldCharType="separate"/>
      </w:r>
      <w:r>
        <w:t>10</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_Toc29467 </w:instrText>
      </w:r>
      <w:r>
        <w:rPr>
          <w:rFonts w:hint="eastAsia"/>
        </w:rPr>
        <w:fldChar w:fldCharType="separate"/>
      </w:r>
      <w:r>
        <w:rPr>
          <w:rFonts w:hint="eastAsia"/>
          <w:highlight w:val="none"/>
          <w:lang w:val="en-US" w:eastAsia="zh-CN"/>
        </w:rPr>
        <w:t>5</w:t>
      </w:r>
      <w:r>
        <w:rPr>
          <w:rFonts w:hint="eastAsia"/>
          <w:highlight w:val="none"/>
        </w:rPr>
        <w:t>.2污染防治设施和处置设施</w:t>
      </w:r>
      <w:r>
        <w:tab/>
      </w:r>
      <w:r>
        <w:fldChar w:fldCharType="begin"/>
      </w:r>
      <w:r>
        <w:instrText xml:space="preserve"> PAGEREF _Toc29467 </w:instrText>
      </w:r>
      <w:r>
        <w:fldChar w:fldCharType="separate"/>
      </w:r>
      <w:r>
        <w:t>10</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_Toc24881 </w:instrText>
      </w:r>
      <w:r>
        <w:rPr>
          <w:rFonts w:hint="eastAsia"/>
        </w:rPr>
        <w:fldChar w:fldCharType="separate"/>
      </w:r>
      <w:r>
        <w:rPr>
          <w:rFonts w:hint="eastAsia"/>
          <w:highlight w:val="none"/>
          <w:lang w:val="en-US" w:eastAsia="zh-CN"/>
        </w:rPr>
        <w:t>5</w:t>
      </w:r>
      <w:r>
        <w:rPr>
          <w:rFonts w:hint="eastAsia"/>
          <w:highlight w:val="none"/>
        </w:rPr>
        <w:t>.2.1大气污染防治措施</w:t>
      </w:r>
      <w:r>
        <w:tab/>
      </w:r>
      <w:r>
        <w:fldChar w:fldCharType="begin"/>
      </w:r>
      <w:r>
        <w:instrText xml:space="preserve"> PAGEREF _Toc24881 </w:instrText>
      </w:r>
      <w:r>
        <w:fldChar w:fldCharType="separate"/>
      </w:r>
      <w:r>
        <w:t>10</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_Toc5343 </w:instrText>
      </w:r>
      <w:r>
        <w:rPr>
          <w:rFonts w:hint="eastAsia"/>
        </w:rPr>
        <w:fldChar w:fldCharType="separate"/>
      </w:r>
      <w:r>
        <w:rPr>
          <w:rFonts w:hint="eastAsia"/>
          <w:highlight w:val="none"/>
          <w:lang w:val="en-US" w:eastAsia="zh-CN"/>
        </w:rPr>
        <w:t>5</w:t>
      </w:r>
      <w:r>
        <w:rPr>
          <w:rFonts w:hint="eastAsia"/>
          <w:highlight w:val="none"/>
        </w:rPr>
        <w:t>.2.2水污染防治措施</w:t>
      </w:r>
      <w:r>
        <w:tab/>
      </w:r>
      <w:r>
        <w:fldChar w:fldCharType="begin"/>
      </w:r>
      <w:r>
        <w:instrText xml:space="preserve"> PAGEREF _Toc5343 </w:instrText>
      </w:r>
      <w:r>
        <w:fldChar w:fldCharType="separate"/>
      </w:r>
      <w:r>
        <w:t>12</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_Toc1656 </w:instrText>
      </w:r>
      <w:r>
        <w:rPr>
          <w:rFonts w:hint="eastAsia"/>
        </w:rPr>
        <w:fldChar w:fldCharType="separate"/>
      </w:r>
      <w:r>
        <w:rPr>
          <w:rFonts w:hint="eastAsia"/>
          <w:highlight w:val="none"/>
          <w:lang w:val="en-US" w:eastAsia="zh-CN"/>
        </w:rPr>
        <w:t>5</w:t>
      </w:r>
      <w:r>
        <w:rPr>
          <w:rFonts w:hint="eastAsia"/>
          <w:highlight w:val="none"/>
        </w:rPr>
        <w:t>.3施工期环境保护措施</w:t>
      </w:r>
      <w:r>
        <w:tab/>
      </w:r>
      <w:r>
        <w:fldChar w:fldCharType="begin"/>
      </w:r>
      <w:r>
        <w:instrText xml:space="preserve"> PAGEREF _Toc1656 </w:instrText>
      </w:r>
      <w:r>
        <w:fldChar w:fldCharType="separate"/>
      </w:r>
      <w:r>
        <w:t>13</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_Toc14450 </w:instrText>
      </w:r>
      <w:r>
        <w:rPr>
          <w:rFonts w:hint="eastAsia"/>
        </w:rPr>
        <w:fldChar w:fldCharType="separate"/>
      </w:r>
      <w:r>
        <w:rPr>
          <w:rFonts w:hint="eastAsia"/>
          <w:highlight w:val="none"/>
          <w:lang w:val="en-US" w:eastAsia="zh-CN"/>
        </w:rPr>
        <w:t>6</w:t>
      </w:r>
      <w:r>
        <w:rPr>
          <w:rFonts w:hint="eastAsia"/>
          <w:highlight w:val="none"/>
        </w:rPr>
        <w:t>环境影响调查</w:t>
      </w:r>
      <w:r>
        <w:tab/>
      </w:r>
      <w:r>
        <w:fldChar w:fldCharType="begin"/>
      </w:r>
      <w:r>
        <w:instrText xml:space="preserve"> PAGEREF _Toc14450 </w:instrText>
      </w:r>
      <w:r>
        <w:fldChar w:fldCharType="separate"/>
      </w:r>
      <w:r>
        <w:t>15</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_Toc18466 </w:instrText>
      </w:r>
      <w:r>
        <w:rPr>
          <w:rFonts w:hint="eastAsia"/>
        </w:rPr>
        <w:fldChar w:fldCharType="separate"/>
      </w:r>
      <w:r>
        <w:rPr>
          <w:rFonts w:hint="eastAsia"/>
          <w:highlight w:val="none"/>
          <w:lang w:val="en-US" w:eastAsia="zh-CN"/>
        </w:rPr>
        <w:t>6</w:t>
      </w:r>
      <w:r>
        <w:rPr>
          <w:rFonts w:hint="eastAsia"/>
          <w:highlight w:val="none"/>
        </w:rPr>
        <w:t>.1生态环境影响调查</w:t>
      </w:r>
      <w:r>
        <w:tab/>
      </w:r>
      <w:r>
        <w:fldChar w:fldCharType="begin"/>
      </w:r>
      <w:r>
        <w:instrText xml:space="preserve"> PAGEREF _Toc18466 </w:instrText>
      </w:r>
      <w:r>
        <w:fldChar w:fldCharType="separate"/>
      </w:r>
      <w:r>
        <w:t>15</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_Toc14951 </w:instrText>
      </w:r>
      <w:r>
        <w:rPr>
          <w:rFonts w:hint="eastAsia"/>
        </w:rPr>
        <w:fldChar w:fldCharType="separate"/>
      </w:r>
      <w:r>
        <w:rPr>
          <w:rFonts w:hint="eastAsia"/>
          <w:highlight w:val="none"/>
          <w:lang w:val="en-US" w:eastAsia="zh-CN"/>
        </w:rPr>
        <w:t>6</w:t>
      </w:r>
      <w:r>
        <w:rPr>
          <w:rFonts w:hint="eastAsia"/>
          <w:highlight w:val="none"/>
        </w:rPr>
        <w:t>.2环境影响监测</w:t>
      </w:r>
      <w:r>
        <w:tab/>
      </w:r>
      <w:r>
        <w:fldChar w:fldCharType="begin"/>
      </w:r>
      <w:r>
        <w:instrText xml:space="preserve"> PAGEREF _Toc14951 </w:instrText>
      </w:r>
      <w:r>
        <w:fldChar w:fldCharType="separate"/>
      </w:r>
      <w:r>
        <w:t>15</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_Toc2318 </w:instrText>
      </w:r>
      <w:r>
        <w:rPr>
          <w:rFonts w:hint="eastAsia"/>
        </w:rPr>
        <w:fldChar w:fldCharType="separate"/>
      </w:r>
      <w:r>
        <w:rPr>
          <w:rFonts w:hint="eastAsia"/>
          <w:szCs w:val="28"/>
          <w:highlight w:val="none"/>
          <w:lang w:val="en-US" w:eastAsia="zh-CN"/>
        </w:rPr>
        <w:t>6</w:t>
      </w:r>
      <w:r>
        <w:rPr>
          <w:szCs w:val="28"/>
          <w:highlight w:val="none"/>
        </w:rPr>
        <w:t>.2.1水环境影响调查与分析</w:t>
      </w:r>
      <w:r>
        <w:tab/>
      </w:r>
      <w:r>
        <w:fldChar w:fldCharType="begin"/>
      </w:r>
      <w:r>
        <w:instrText xml:space="preserve"> PAGEREF _Toc2318 </w:instrText>
      </w:r>
      <w:r>
        <w:fldChar w:fldCharType="separate"/>
      </w:r>
      <w:r>
        <w:t>15</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_Toc20585 </w:instrText>
      </w:r>
      <w:r>
        <w:rPr>
          <w:rFonts w:hint="eastAsia"/>
        </w:rPr>
        <w:fldChar w:fldCharType="separate"/>
      </w:r>
      <w:r>
        <w:rPr>
          <w:rFonts w:hint="eastAsia"/>
          <w:szCs w:val="28"/>
          <w:highlight w:val="none"/>
          <w:lang w:val="en-US" w:eastAsia="zh-CN"/>
        </w:rPr>
        <w:t>6</w:t>
      </w:r>
      <w:r>
        <w:rPr>
          <w:szCs w:val="28"/>
          <w:highlight w:val="none"/>
        </w:rPr>
        <w:t>.2.2大气环境影响调查与分析</w:t>
      </w:r>
      <w:r>
        <w:tab/>
      </w:r>
      <w:r>
        <w:fldChar w:fldCharType="begin"/>
      </w:r>
      <w:r>
        <w:instrText xml:space="preserve"> PAGEREF _Toc20585 </w:instrText>
      </w:r>
      <w:r>
        <w:fldChar w:fldCharType="separate"/>
      </w:r>
      <w:r>
        <w:t>16</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_Toc13655 </w:instrText>
      </w:r>
      <w:r>
        <w:rPr>
          <w:rFonts w:hint="eastAsia"/>
        </w:rPr>
        <w:fldChar w:fldCharType="separate"/>
      </w:r>
      <w:r>
        <w:rPr>
          <w:rFonts w:hint="eastAsia"/>
          <w:szCs w:val="28"/>
          <w:highlight w:val="none"/>
          <w:lang w:val="en-US" w:eastAsia="zh-CN"/>
        </w:rPr>
        <w:t>6</w:t>
      </w:r>
      <w:r>
        <w:rPr>
          <w:szCs w:val="28"/>
          <w:highlight w:val="none"/>
        </w:rPr>
        <w:t>.2.3声环境影响调查与分析</w:t>
      </w:r>
      <w:r>
        <w:tab/>
      </w:r>
      <w:r>
        <w:fldChar w:fldCharType="begin"/>
      </w:r>
      <w:r>
        <w:instrText xml:space="preserve"> PAGEREF _Toc13655 </w:instrText>
      </w:r>
      <w:r>
        <w:fldChar w:fldCharType="separate"/>
      </w:r>
      <w:r>
        <w:t>16</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_Toc5824 </w:instrText>
      </w:r>
      <w:r>
        <w:rPr>
          <w:rFonts w:hint="eastAsia"/>
        </w:rPr>
        <w:fldChar w:fldCharType="separate"/>
      </w:r>
      <w:r>
        <w:rPr>
          <w:rFonts w:hint="eastAsia"/>
          <w:highlight w:val="none"/>
          <w:lang w:val="en-US" w:eastAsia="zh-CN"/>
        </w:rPr>
        <w:t>7</w:t>
      </w:r>
      <w:r>
        <w:rPr>
          <w:rFonts w:hint="eastAsia"/>
          <w:highlight w:val="none"/>
        </w:rPr>
        <w:t>验收调查结论</w:t>
      </w:r>
      <w:r>
        <w:tab/>
      </w:r>
      <w:r>
        <w:fldChar w:fldCharType="begin"/>
      </w:r>
      <w:r>
        <w:instrText xml:space="preserve"> PAGEREF _Toc5824 </w:instrText>
      </w:r>
      <w:r>
        <w:fldChar w:fldCharType="separate"/>
      </w:r>
      <w:r>
        <w:t>18</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_Toc15960 </w:instrText>
      </w:r>
      <w:r>
        <w:rPr>
          <w:rFonts w:hint="eastAsia"/>
        </w:rPr>
        <w:fldChar w:fldCharType="separate"/>
      </w:r>
      <w:r>
        <w:rPr>
          <w:rFonts w:hint="eastAsia"/>
          <w:highlight w:val="none"/>
          <w:lang w:val="en-US" w:eastAsia="zh-CN"/>
        </w:rPr>
        <w:t>7</w:t>
      </w:r>
      <w:r>
        <w:rPr>
          <w:highlight w:val="none"/>
        </w:rPr>
        <w:t>.1工程实况</w:t>
      </w:r>
      <w:r>
        <w:tab/>
      </w:r>
      <w:r>
        <w:fldChar w:fldCharType="begin"/>
      </w:r>
      <w:r>
        <w:instrText xml:space="preserve"> PAGEREF _Toc15960 </w:instrText>
      </w:r>
      <w:r>
        <w:fldChar w:fldCharType="separate"/>
      </w:r>
      <w:r>
        <w:t>18</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_Toc11976 </w:instrText>
      </w:r>
      <w:r>
        <w:rPr>
          <w:rFonts w:hint="eastAsia"/>
        </w:rPr>
        <w:fldChar w:fldCharType="separate"/>
      </w:r>
      <w:r>
        <w:rPr>
          <w:rFonts w:hint="eastAsia"/>
          <w:highlight w:val="none"/>
          <w:lang w:val="en-US" w:eastAsia="zh-CN"/>
        </w:rPr>
        <w:t>7</w:t>
      </w:r>
      <w:r>
        <w:rPr>
          <w:highlight w:val="none"/>
        </w:rPr>
        <w:t>.2生态环境影响调查结论</w:t>
      </w:r>
      <w:r>
        <w:tab/>
      </w:r>
      <w:r>
        <w:fldChar w:fldCharType="begin"/>
      </w:r>
      <w:r>
        <w:instrText xml:space="preserve"> PAGEREF _Toc11976 </w:instrText>
      </w:r>
      <w:r>
        <w:fldChar w:fldCharType="separate"/>
      </w:r>
      <w:r>
        <w:t>18</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_Toc1985 </w:instrText>
      </w:r>
      <w:r>
        <w:rPr>
          <w:rFonts w:hint="eastAsia"/>
        </w:rPr>
        <w:fldChar w:fldCharType="separate"/>
      </w:r>
      <w:r>
        <w:rPr>
          <w:rFonts w:hint="eastAsia"/>
          <w:highlight w:val="none"/>
          <w:lang w:val="en-US" w:eastAsia="zh-CN"/>
        </w:rPr>
        <w:t>7</w:t>
      </w:r>
      <w:r>
        <w:rPr>
          <w:highlight w:val="none"/>
        </w:rPr>
        <w:t>.3环境影响调查结论</w:t>
      </w:r>
      <w:r>
        <w:tab/>
      </w:r>
      <w:r>
        <w:fldChar w:fldCharType="begin"/>
      </w:r>
      <w:r>
        <w:instrText xml:space="preserve"> PAGEREF _Toc1985 </w:instrText>
      </w:r>
      <w:r>
        <w:fldChar w:fldCharType="separate"/>
      </w:r>
      <w:r>
        <w:t>18</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_Toc7720 </w:instrText>
      </w:r>
      <w:r>
        <w:rPr>
          <w:rFonts w:hint="eastAsia"/>
        </w:rPr>
        <w:fldChar w:fldCharType="separate"/>
      </w:r>
      <w:r>
        <w:rPr>
          <w:rFonts w:hint="eastAsia"/>
          <w:highlight w:val="none"/>
          <w:lang w:val="en-US" w:eastAsia="zh-CN"/>
        </w:rPr>
        <w:t>7</w:t>
      </w:r>
      <w:r>
        <w:rPr>
          <w:highlight w:val="none"/>
        </w:rPr>
        <w:t>.4环境管理状况调查结论</w:t>
      </w:r>
      <w:r>
        <w:tab/>
      </w:r>
      <w:r>
        <w:fldChar w:fldCharType="begin"/>
      </w:r>
      <w:r>
        <w:instrText xml:space="preserve"> PAGEREF _Toc7720 </w:instrText>
      </w:r>
      <w:r>
        <w:fldChar w:fldCharType="separate"/>
      </w:r>
      <w:r>
        <w:t>20</w:t>
      </w:r>
      <w:r>
        <w:fldChar w:fldCharType="end"/>
      </w:r>
      <w:r>
        <w:rPr>
          <w:rFonts w:hint="eastAsia"/>
        </w:rPr>
        <w:fldChar w:fldCharType="end"/>
      </w:r>
    </w:p>
    <w:p>
      <w:pPr>
        <w:pStyle w:val="11"/>
        <w:tabs>
          <w:tab w:val="right" w:leader="dot" w:pos="8306"/>
        </w:tabs>
      </w:pPr>
      <w:r>
        <w:rPr>
          <w:rFonts w:hint="eastAsia"/>
        </w:rPr>
        <w:fldChar w:fldCharType="begin"/>
      </w:r>
      <w:r>
        <w:rPr>
          <w:rFonts w:hint="eastAsia"/>
        </w:rPr>
        <w:instrText xml:space="preserve"> HYPERLINK \l _Toc22126 </w:instrText>
      </w:r>
      <w:r>
        <w:rPr>
          <w:rFonts w:hint="eastAsia"/>
        </w:rPr>
        <w:fldChar w:fldCharType="separate"/>
      </w:r>
      <w:r>
        <w:rPr>
          <w:rFonts w:hint="eastAsia"/>
          <w:highlight w:val="none"/>
          <w:lang w:val="en-US" w:eastAsia="zh-CN"/>
        </w:rPr>
        <w:t>7</w:t>
      </w:r>
      <w:r>
        <w:rPr>
          <w:highlight w:val="none"/>
        </w:rPr>
        <w:t>.5验收调查总结论</w:t>
      </w:r>
      <w:r>
        <w:tab/>
      </w:r>
      <w:r>
        <w:fldChar w:fldCharType="begin"/>
      </w:r>
      <w:r>
        <w:instrText xml:space="preserve"> PAGEREF _Toc22126 </w:instrText>
      </w:r>
      <w:r>
        <w:fldChar w:fldCharType="separate"/>
      </w:r>
      <w:r>
        <w:t>20</w:t>
      </w:r>
      <w:r>
        <w:fldChar w:fldCharType="end"/>
      </w:r>
      <w:r>
        <w:rPr>
          <w:rFonts w:hint="eastAsia"/>
        </w:rPr>
        <w:fldChar w:fldCharType="end"/>
      </w:r>
    </w:p>
    <w:p>
      <w:pPr>
        <w:bidi w:val="0"/>
        <w:rPr>
          <w:rFonts w:hint="eastAsia"/>
        </w:rPr>
        <w:sectPr>
          <w:pgSz w:w="11906" w:h="16838"/>
          <w:pgMar w:top="1440" w:right="1800" w:bottom="1440" w:left="1800" w:header="851" w:footer="992" w:gutter="0"/>
          <w:cols w:space="425" w:num="1"/>
          <w:docGrid w:type="lines" w:linePitch="312" w:charSpace="0"/>
        </w:sectPr>
      </w:pPr>
      <w:r>
        <w:rPr>
          <w:rFonts w:hint="eastAsia"/>
        </w:rPr>
        <w:fldChar w:fldCharType="end"/>
      </w:r>
    </w:p>
    <w:p>
      <w:pPr>
        <w:pStyle w:val="2"/>
        <w:rPr>
          <w:rFonts w:hint="eastAsia"/>
          <w:color w:val="auto"/>
          <w:highlight w:val="none"/>
        </w:rPr>
      </w:pPr>
      <w:bookmarkStart w:id="1" w:name="_Toc10297"/>
      <w:r>
        <w:rPr>
          <w:rFonts w:hint="eastAsia"/>
          <w:color w:val="auto"/>
          <w:highlight w:val="none"/>
        </w:rPr>
        <w:t>1项目概况</w:t>
      </w:r>
      <w:bookmarkEnd w:id="0"/>
      <w:bookmarkEnd w:id="1"/>
    </w:p>
    <w:p>
      <w:pPr>
        <w:bidi w:val="0"/>
        <w:ind w:firstLine="560" w:firstLineChars="200"/>
        <w:rPr>
          <w:rFonts w:hint="eastAsia"/>
          <w:color w:val="auto"/>
          <w:highlight w:val="none"/>
          <w:lang w:val="en-US" w:eastAsia="zh-CN"/>
        </w:rPr>
      </w:pPr>
      <w:r>
        <w:rPr>
          <w:rFonts w:hint="eastAsia"/>
          <w:color w:val="auto"/>
          <w:highlight w:val="none"/>
        </w:rPr>
        <w:t>苏州茂龙地产发展有限公司</w:t>
      </w:r>
      <w:r>
        <w:rPr>
          <w:color w:val="auto"/>
          <w:highlight w:val="none"/>
        </w:rPr>
        <w:t>成立于20</w:t>
      </w:r>
      <w:r>
        <w:rPr>
          <w:rFonts w:hint="eastAsia"/>
          <w:color w:val="auto"/>
          <w:highlight w:val="none"/>
          <w:lang w:val="en-US" w:eastAsia="zh-CN"/>
        </w:rPr>
        <w:t>18</w:t>
      </w:r>
      <w:r>
        <w:rPr>
          <w:color w:val="auto"/>
          <w:highlight w:val="none"/>
        </w:rPr>
        <w:t>年</w:t>
      </w:r>
      <w:r>
        <w:rPr>
          <w:rFonts w:hint="eastAsia"/>
          <w:color w:val="auto"/>
          <w:highlight w:val="none"/>
          <w:lang w:val="en-US" w:eastAsia="zh-CN"/>
        </w:rPr>
        <w:t>5</w:t>
      </w:r>
      <w:r>
        <w:rPr>
          <w:color w:val="auto"/>
          <w:highlight w:val="none"/>
        </w:rPr>
        <w:t>月</w:t>
      </w:r>
      <w:r>
        <w:rPr>
          <w:rFonts w:hint="eastAsia"/>
          <w:color w:val="auto"/>
          <w:highlight w:val="none"/>
          <w:lang w:val="en-US" w:eastAsia="zh-CN"/>
        </w:rPr>
        <w:t>7</w:t>
      </w:r>
      <w:r>
        <w:rPr>
          <w:color w:val="auto"/>
          <w:highlight w:val="none"/>
        </w:rPr>
        <w:t>日，位于苏州</w:t>
      </w:r>
      <w:r>
        <w:rPr>
          <w:rFonts w:hint="eastAsia"/>
          <w:color w:val="auto"/>
          <w:highlight w:val="none"/>
          <w:lang w:val="en-US" w:eastAsia="zh-CN"/>
        </w:rPr>
        <w:t>高</w:t>
      </w:r>
      <w:r>
        <w:rPr>
          <w:color w:val="auto"/>
          <w:highlight w:val="none"/>
        </w:rPr>
        <w:t>新区</w:t>
      </w:r>
      <w:r>
        <w:rPr>
          <w:rFonts w:hint="eastAsia"/>
          <w:color w:val="auto"/>
          <w:highlight w:val="none"/>
          <w:lang w:val="en-US" w:eastAsia="zh-CN"/>
        </w:rPr>
        <w:t>邓尉路109号1幢</w:t>
      </w:r>
      <w:r>
        <w:rPr>
          <w:color w:val="auto"/>
          <w:highlight w:val="none"/>
        </w:rPr>
        <w:t>，</w:t>
      </w:r>
      <w:r>
        <w:rPr>
          <w:rFonts w:hint="eastAsia"/>
          <w:color w:val="auto"/>
          <w:highlight w:val="none"/>
          <w:lang w:val="en-US" w:eastAsia="zh-CN"/>
        </w:rPr>
        <w:t>狮山街道办公室209室。本公司</w:t>
      </w:r>
      <w:r>
        <w:rPr>
          <w:color w:val="auto"/>
          <w:highlight w:val="none"/>
        </w:rPr>
        <w:t>成立至今主要从事</w:t>
      </w:r>
      <w:r>
        <w:rPr>
          <w:rFonts w:hint="eastAsia"/>
          <w:color w:val="auto"/>
          <w:highlight w:val="none"/>
        </w:rPr>
        <w:t>房地产开发与经营</w:t>
      </w:r>
      <w:r>
        <w:rPr>
          <w:color w:val="auto"/>
          <w:highlight w:val="none"/>
        </w:rPr>
        <w:t>。</w:t>
      </w:r>
      <w:r>
        <w:rPr>
          <w:rFonts w:hint="eastAsia"/>
          <w:color w:val="auto"/>
          <w:highlight w:val="none"/>
          <w:lang w:val="en-US" w:eastAsia="zh-CN"/>
        </w:rPr>
        <w:t>本次验收针对苏州市苏州茂龙地产发展有限公司苏地2017-WG-82号地块项目（地块一），项目</w:t>
      </w:r>
      <w:r>
        <w:rPr>
          <w:color w:val="auto"/>
          <w:highlight w:val="none"/>
        </w:rPr>
        <w:t>建设规模：</w:t>
      </w:r>
      <w:r>
        <w:rPr>
          <w:rFonts w:hint="eastAsia"/>
          <w:color w:val="auto"/>
          <w:highlight w:val="none"/>
          <w:lang w:val="en-US" w:eastAsia="zh-CN"/>
        </w:rPr>
        <w:t>包括建设5栋住宅、1栋物业配套用房、2个变电所、2个门卫、1个燃气调压室及1个垃圾房；整体项目总投资36060万元，环保投资1080万元。</w:t>
      </w:r>
    </w:p>
    <w:p>
      <w:pPr>
        <w:bidi w:val="0"/>
        <w:ind w:firstLine="560" w:firstLineChars="200"/>
        <w:rPr>
          <w:rFonts w:hint="eastAsia"/>
          <w:color w:val="auto"/>
          <w:highlight w:val="none"/>
          <w:lang w:eastAsia="zh-CN"/>
        </w:rPr>
      </w:pPr>
      <w:r>
        <w:rPr>
          <w:color w:val="auto"/>
          <w:highlight w:val="none"/>
        </w:rPr>
        <w:t>201</w:t>
      </w:r>
      <w:r>
        <w:rPr>
          <w:rFonts w:hint="eastAsia"/>
          <w:color w:val="auto"/>
          <w:highlight w:val="none"/>
        </w:rPr>
        <w:t>9</w:t>
      </w:r>
      <w:r>
        <w:rPr>
          <w:color w:val="auto"/>
          <w:highlight w:val="none"/>
        </w:rPr>
        <w:t>年</w:t>
      </w:r>
      <w:r>
        <w:rPr>
          <w:rFonts w:hint="eastAsia"/>
          <w:color w:val="auto"/>
          <w:highlight w:val="none"/>
        </w:rPr>
        <w:t>8</w:t>
      </w:r>
      <w:r>
        <w:rPr>
          <w:color w:val="auto"/>
          <w:highlight w:val="none"/>
        </w:rPr>
        <w:t>月，苏州</w:t>
      </w:r>
      <w:r>
        <w:rPr>
          <w:rFonts w:hint="eastAsia"/>
          <w:color w:val="auto"/>
          <w:highlight w:val="none"/>
        </w:rPr>
        <w:t>国家</w:t>
      </w:r>
      <w:r>
        <w:rPr>
          <w:color w:val="auto"/>
          <w:highlight w:val="none"/>
        </w:rPr>
        <w:t>高新</w:t>
      </w:r>
      <w:r>
        <w:rPr>
          <w:rFonts w:hint="eastAsia"/>
          <w:color w:val="auto"/>
          <w:highlight w:val="none"/>
        </w:rPr>
        <w:t>技术产业开发</w:t>
      </w:r>
      <w:r>
        <w:rPr>
          <w:color w:val="auto"/>
          <w:highlight w:val="none"/>
        </w:rPr>
        <w:t>区环境保护局批准同意开工建设《</w:t>
      </w:r>
      <w:r>
        <w:rPr>
          <w:rFonts w:hint="eastAsia"/>
          <w:color w:val="auto"/>
          <w:highlight w:val="none"/>
        </w:rPr>
        <w:t>苏州市苏州茂龙地产发展有限公司苏地2017-WG-82号地块项目</w:t>
      </w:r>
      <w:r>
        <w:rPr>
          <w:color w:val="auto"/>
          <w:highlight w:val="none"/>
        </w:rPr>
        <w:t>》（</w:t>
      </w:r>
      <w:r>
        <w:rPr>
          <w:rFonts w:hint="eastAsia"/>
          <w:color w:val="auto"/>
          <w:highlight w:val="none"/>
          <w:lang w:val="en-US" w:eastAsia="zh-CN"/>
        </w:rPr>
        <w:t>备案号：201832050500000393</w:t>
      </w:r>
      <w:r>
        <w:rPr>
          <w:color w:val="auto"/>
          <w:highlight w:val="none"/>
        </w:rPr>
        <w:t>）。该项目在</w:t>
      </w:r>
      <w:r>
        <w:rPr>
          <w:rFonts w:hint="eastAsia"/>
          <w:color w:val="auto"/>
          <w:highlight w:val="none"/>
          <w:lang w:val="en-US" w:eastAsia="zh-CN"/>
        </w:rPr>
        <w:t>江苏省苏州市高新区狮山街道黄埔街东西、竹园路南。</w:t>
      </w:r>
    </w:p>
    <w:p>
      <w:pPr>
        <w:bidi w:val="0"/>
        <w:ind w:firstLine="560" w:firstLineChars="200"/>
        <w:rPr>
          <w:rFonts w:hint="eastAsia"/>
          <w:color w:val="auto"/>
          <w:highlight w:val="none"/>
        </w:rPr>
      </w:pPr>
      <w:r>
        <w:rPr>
          <w:rFonts w:hint="eastAsia"/>
          <w:color w:val="auto"/>
          <w:highlight w:val="none"/>
        </w:rPr>
        <w:t>目前</w:t>
      </w:r>
      <w:r>
        <w:rPr>
          <w:rFonts w:hint="eastAsia"/>
          <w:color w:val="auto"/>
          <w:highlight w:val="none"/>
          <w:lang w:val="en-US" w:eastAsia="zh-CN"/>
        </w:rPr>
        <w:t>本</w:t>
      </w:r>
      <w:r>
        <w:rPr>
          <w:rFonts w:hint="eastAsia"/>
          <w:color w:val="auto"/>
          <w:highlight w:val="none"/>
        </w:rPr>
        <w:t>项目</w:t>
      </w:r>
      <w:r>
        <w:rPr>
          <w:rFonts w:hint="eastAsia"/>
          <w:color w:val="auto"/>
          <w:highlight w:val="none"/>
          <w:lang w:val="en-US" w:eastAsia="zh-CN"/>
        </w:rPr>
        <w:t>地块一</w:t>
      </w:r>
      <w:r>
        <w:rPr>
          <w:rFonts w:hint="eastAsia"/>
          <w:color w:val="auto"/>
          <w:highlight w:val="none"/>
          <w:lang w:eastAsia="zh-CN"/>
        </w:rPr>
        <w:t>房地产</w:t>
      </w:r>
      <w:r>
        <w:rPr>
          <w:rFonts w:hint="eastAsia"/>
          <w:color w:val="auto"/>
          <w:highlight w:val="none"/>
        </w:rPr>
        <w:t>建设已经完成。为了保证该工程项目达到国家、江苏省、苏州市有关建设项目环境影响的要求，依据《建设项目竣工环境保护验收暂行办法》(国环规环评[2017]4号)，项目验收需编制竣工环境保护验收调查报告，受苏州茂龙地产发展有限公司委托，</w:t>
      </w:r>
      <w:r>
        <w:rPr>
          <w:rFonts w:hint="eastAsia"/>
          <w:color w:val="auto"/>
          <w:highlight w:val="none"/>
          <w:lang w:eastAsia="zh-CN"/>
        </w:rPr>
        <w:t>苏州得以清环境技术有限公司</w:t>
      </w:r>
      <w:r>
        <w:rPr>
          <w:rFonts w:hint="eastAsia"/>
          <w:color w:val="auto"/>
          <w:highlight w:val="none"/>
        </w:rPr>
        <w:t>承担了该项目竣工环境保护验收调查报告编制工作。在建设单位、工程监理单位、施工单位及相关部门的协助下，我公司通过对施工现场的实地踏勘以及对施工区和周边环境现状的调查分析，收集了有关资料，在此基础上编制出了该项目的竣工环境保护验收调查报告。</w:t>
      </w:r>
    </w:p>
    <w:p>
      <w:pPr>
        <w:rPr>
          <w:rFonts w:hint="eastAsia"/>
          <w:color w:val="auto"/>
          <w:highlight w:val="none"/>
        </w:rPr>
      </w:pPr>
      <w:r>
        <w:rPr>
          <w:rFonts w:hint="eastAsia"/>
          <w:color w:val="auto"/>
          <w:highlight w:val="none"/>
        </w:rPr>
        <w:br w:type="page"/>
      </w:r>
    </w:p>
    <w:p>
      <w:pPr>
        <w:pStyle w:val="2"/>
        <w:rPr>
          <w:rFonts w:hint="eastAsia"/>
          <w:color w:val="auto"/>
          <w:highlight w:val="none"/>
        </w:rPr>
      </w:pPr>
      <w:bookmarkStart w:id="2" w:name="_Toc58"/>
      <w:bookmarkStart w:id="3" w:name="_Toc11693"/>
      <w:r>
        <w:rPr>
          <w:rFonts w:hint="eastAsia"/>
          <w:color w:val="auto"/>
          <w:highlight w:val="none"/>
        </w:rPr>
        <w:t>2验收依据</w:t>
      </w:r>
      <w:bookmarkEnd w:id="2"/>
      <w:bookmarkEnd w:id="3"/>
    </w:p>
    <w:p>
      <w:pPr>
        <w:pStyle w:val="3"/>
        <w:rPr>
          <w:color w:val="auto"/>
          <w:highlight w:val="none"/>
        </w:rPr>
      </w:pPr>
      <w:bookmarkStart w:id="4" w:name="_Toc28495"/>
      <w:bookmarkStart w:id="5" w:name="_Toc22876"/>
      <w:bookmarkStart w:id="6" w:name="_Toc511143588"/>
      <w:bookmarkStart w:id="7" w:name="_Toc511144013"/>
      <w:bookmarkStart w:id="8" w:name="_Toc511143476"/>
      <w:bookmarkStart w:id="9" w:name="_Toc511143522"/>
      <w:bookmarkStart w:id="10" w:name="_Toc522"/>
      <w:bookmarkStart w:id="11" w:name="_Toc2702"/>
      <w:bookmarkStart w:id="12" w:name="_Toc10683"/>
      <w:r>
        <w:rPr>
          <w:color w:val="auto"/>
          <w:highlight w:val="none"/>
        </w:rPr>
        <w:t>2.1</w:t>
      </w:r>
      <w:bookmarkEnd w:id="4"/>
      <w:bookmarkEnd w:id="5"/>
      <w:bookmarkEnd w:id="6"/>
      <w:bookmarkEnd w:id="7"/>
      <w:bookmarkEnd w:id="8"/>
      <w:bookmarkEnd w:id="9"/>
      <w:r>
        <w:rPr>
          <w:rFonts w:hint="eastAsia"/>
          <w:color w:val="auto"/>
          <w:highlight w:val="none"/>
        </w:rPr>
        <w:t>法规标准依据</w:t>
      </w:r>
      <w:bookmarkEnd w:id="10"/>
      <w:bookmarkEnd w:id="11"/>
      <w:bookmarkEnd w:id="12"/>
    </w:p>
    <w:p>
      <w:pPr>
        <w:pStyle w:val="4"/>
        <w:rPr>
          <w:color w:val="auto"/>
          <w:highlight w:val="none"/>
        </w:rPr>
      </w:pPr>
      <w:bookmarkStart w:id="13" w:name="_Toc13915"/>
      <w:bookmarkStart w:id="14" w:name="_Toc511143523"/>
      <w:bookmarkStart w:id="15" w:name="_Toc24564"/>
      <w:bookmarkStart w:id="16" w:name="_Toc4047"/>
      <w:r>
        <w:rPr>
          <w:color w:val="auto"/>
          <w:highlight w:val="none"/>
        </w:rPr>
        <w:t>2.1.1法律、法规</w:t>
      </w:r>
      <w:bookmarkEnd w:id="13"/>
      <w:bookmarkEnd w:id="14"/>
      <w:bookmarkEnd w:id="15"/>
      <w:bookmarkEnd w:id="16"/>
    </w:p>
    <w:p>
      <w:pPr>
        <w:rPr>
          <w:color w:val="auto"/>
          <w:highlight w:val="none"/>
        </w:rPr>
      </w:pPr>
      <w:r>
        <w:rPr>
          <w:color w:val="auto"/>
          <w:highlight w:val="none"/>
        </w:rPr>
        <w:t>（1）《中华人民共和国环境保护法》（2014年4月24日修订，2015年1月1日起施行）；</w:t>
      </w:r>
    </w:p>
    <w:p>
      <w:pPr>
        <w:rPr>
          <w:color w:val="auto"/>
          <w:highlight w:val="none"/>
        </w:rPr>
      </w:pPr>
      <w:r>
        <w:rPr>
          <w:color w:val="auto"/>
          <w:highlight w:val="none"/>
        </w:rPr>
        <w:t>（2）《中华人民共和国环境影响评价法》（2016年9月1日起施行，2018年12月29日修订）；</w:t>
      </w:r>
    </w:p>
    <w:p>
      <w:pPr>
        <w:rPr>
          <w:color w:val="auto"/>
          <w:highlight w:val="none"/>
        </w:rPr>
      </w:pPr>
      <w:r>
        <w:rPr>
          <w:color w:val="auto"/>
          <w:highlight w:val="none"/>
        </w:rPr>
        <w:t>（3）《中华人民共和国水污染防治法》（2017年6月27日修订，2018年1月1日起施行）；</w:t>
      </w:r>
    </w:p>
    <w:p>
      <w:pPr>
        <w:rPr>
          <w:color w:val="auto"/>
          <w:highlight w:val="none"/>
        </w:rPr>
      </w:pPr>
      <w:r>
        <w:rPr>
          <w:color w:val="auto"/>
          <w:highlight w:val="none"/>
        </w:rPr>
        <w:t>（4）《中华人民共和国大气污染防治法》（2018年10月26日修订，2018年10月26日施行）；</w:t>
      </w:r>
    </w:p>
    <w:p>
      <w:pPr>
        <w:rPr>
          <w:color w:val="auto"/>
          <w:highlight w:val="none"/>
        </w:rPr>
      </w:pPr>
      <w:r>
        <w:rPr>
          <w:color w:val="auto"/>
          <w:highlight w:val="none"/>
        </w:rPr>
        <w:t>（5）《中华人民共和国环境噪声污染防治法》（2018年12月29日修订）；</w:t>
      </w:r>
    </w:p>
    <w:p>
      <w:pPr>
        <w:rPr>
          <w:color w:val="auto"/>
          <w:highlight w:val="none"/>
        </w:rPr>
      </w:pPr>
      <w:r>
        <w:rPr>
          <w:color w:val="auto"/>
          <w:highlight w:val="none"/>
        </w:rPr>
        <w:t>（6）《中华人民共和国固体废物污染环境防治法(2020年修订)》（20</w:t>
      </w:r>
      <w:r>
        <w:rPr>
          <w:rFonts w:hint="eastAsia"/>
          <w:color w:val="auto"/>
          <w:highlight w:val="none"/>
        </w:rPr>
        <w:t>20</w:t>
      </w:r>
      <w:r>
        <w:rPr>
          <w:color w:val="auto"/>
          <w:highlight w:val="none"/>
        </w:rPr>
        <w:t>年</w:t>
      </w:r>
      <w:r>
        <w:rPr>
          <w:rFonts w:hint="eastAsia"/>
          <w:color w:val="auto"/>
          <w:highlight w:val="none"/>
        </w:rPr>
        <w:t>4</w:t>
      </w:r>
      <w:r>
        <w:rPr>
          <w:color w:val="auto"/>
          <w:highlight w:val="none"/>
        </w:rPr>
        <w:t>月</w:t>
      </w:r>
      <w:r>
        <w:rPr>
          <w:rFonts w:hint="eastAsia"/>
          <w:color w:val="auto"/>
          <w:highlight w:val="none"/>
        </w:rPr>
        <w:t>29</w:t>
      </w:r>
      <w:r>
        <w:rPr>
          <w:color w:val="auto"/>
          <w:highlight w:val="none"/>
        </w:rPr>
        <w:t>日修订）；</w:t>
      </w:r>
    </w:p>
    <w:p>
      <w:pPr>
        <w:rPr>
          <w:color w:val="auto"/>
          <w:highlight w:val="none"/>
        </w:rPr>
      </w:pPr>
      <w:r>
        <w:rPr>
          <w:color w:val="auto"/>
          <w:highlight w:val="none"/>
        </w:rPr>
        <w:t>（7）《建设项目环境保护管理条例》(国务院令第682号，2017年10月)；</w:t>
      </w:r>
    </w:p>
    <w:p>
      <w:pPr>
        <w:rPr>
          <w:color w:val="auto"/>
          <w:highlight w:val="none"/>
        </w:rPr>
      </w:pPr>
      <w:r>
        <w:rPr>
          <w:color w:val="auto"/>
          <w:highlight w:val="none"/>
        </w:rPr>
        <w:t>（8）《国家危险废物名录》(国家环境保护部令第39号，2016年3月30日)；</w:t>
      </w:r>
    </w:p>
    <w:p>
      <w:pPr>
        <w:rPr>
          <w:color w:val="auto"/>
          <w:szCs w:val="28"/>
          <w:highlight w:val="none"/>
        </w:rPr>
      </w:pPr>
      <w:r>
        <w:rPr>
          <w:color w:val="auto"/>
          <w:highlight w:val="none"/>
        </w:rPr>
        <w:t>（9）《关于加强建设项目重大变动环评管理的通知》（江苏省环境保护厅，苏环办[2015]256号，2015年10月）。</w:t>
      </w:r>
    </w:p>
    <w:p>
      <w:pPr>
        <w:pStyle w:val="4"/>
        <w:rPr>
          <w:color w:val="auto"/>
          <w:highlight w:val="none"/>
        </w:rPr>
      </w:pPr>
      <w:bookmarkStart w:id="17" w:name="_Toc23256"/>
      <w:bookmarkStart w:id="18" w:name="_Toc3800"/>
      <w:bookmarkStart w:id="19" w:name="_Toc511143524"/>
      <w:bookmarkStart w:id="20" w:name="_Toc8508"/>
      <w:r>
        <w:rPr>
          <w:color w:val="auto"/>
          <w:highlight w:val="none"/>
        </w:rPr>
        <w:t>2.1.2地方法规与政策</w:t>
      </w:r>
      <w:bookmarkEnd w:id="17"/>
      <w:bookmarkEnd w:id="18"/>
      <w:bookmarkEnd w:id="19"/>
      <w:bookmarkEnd w:id="20"/>
    </w:p>
    <w:p>
      <w:pPr>
        <w:rPr>
          <w:color w:val="auto"/>
          <w:highlight w:val="none"/>
        </w:rPr>
      </w:pPr>
      <w:r>
        <w:rPr>
          <w:color w:val="auto"/>
          <w:highlight w:val="none"/>
        </w:rPr>
        <w:t>（1）《江苏省环境保护条例》，江苏省人大常委会关于修改《江苏省环境保护条例》的决定，1997年7月31日江苏省第八届人民代表大会常务委员会第二十九次会议通过；江苏省第十届人民代表大会常务委员会第十三次会议修正，2005年1月1日实施；</w:t>
      </w:r>
    </w:p>
    <w:p>
      <w:pPr>
        <w:rPr>
          <w:color w:val="auto"/>
          <w:highlight w:val="none"/>
        </w:rPr>
      </w:pPr>
      <w:r>
        <w:rPr>
          <w:color w:val="auto"/>
          <w:highlight w:val="none"/>
        </w:rPr>
        <w:t>（2）《江苏省排污口设置及规范化整治管理办法》(江苏省环境保护厅，苏环控[1997]122号，1997年9月)；</w:t>
      </w:r>
    </w:p>
    <w:p>
      <w:pPr>
        <w:rPr>
          <w:color w:val="auto"/>
          <w:highlight w:val="none"/>
        </w:rPr>
      </w:pPr>
      <w:r>
        <w:rPr>
          <w:color w:val="auto"/>
          <w:highlight w:val="none"/>
        </w:rPr>
        <w:t>（3）关于印发《关于加强建设项目环境保护管理的若干规定》的通知，苏环委[98]1号文；</w:t>
      </w:r>
    </w:p>
    <w:p>
      <w:pPr>
        <w:rPr>
          <w:color w:val="auto"/>
          <w:highlight w:val="none"/>
        </w:rPr>
      </w:pPr>
      <w:r>
        <w:rPr>
          <w:color w:val="auto"/>
          <w:highlight w:val="none"/>
        </w:rPr>
        <w:t>（4）《关于切实做好建设项目环境管理工作的通知》苏环管[2006]98号；</w:t>
      </w:r>
    </w:p>
    <w:p>
      <w:pPr>
        <w:rPr>
          <w:color w:val="auto"/>
          <w:highlight w:val="none"/>
        </w:rPr>
      </w:pPr>
      <w:r>
        <w:rPr>
          <w:color w:val="auto"/>
          <w:highlight w:val="none"/>
        </w:rPr>
        <w:t>（6）《关于推进环境保护工作的若干政策措施》，苏政发[2006]92号；</w:t>
      </w:r>
    </w:p>
    <w:p>
      <w:pPr>
        <w:rPr>
          <w:color w:val="auto"/>
          <w:highlight w:val="none"/>
        </w:rPr>
      </w:pPr>
      <w:r>
        <w:rPr>
          <w:color w:val="auto"/>
          <w:highlight w:val="none"/>
        </w:rPr>
        <w:t>（7）《关于切实做好建设项目环境管理工作的通知》，苏环管[2006]98号；</w:t>
      </w:r>
    </w:p>
    <w:p>
      <w:pPr>
        <w:rPr>
          <w:color w:val="auto"/>
          <w:highlight w:val="none"/>
        </w:rPr>
      </w:pPr>
      <w:r>
        <w:rPr>
          <w:color w:val="auto"/>
          <w:highlight w:val="none"/>
        </w:rPr>
        <w:t>（8）《苏州市民用建筑节能管理办法》苏府2008第103号令；</w:t>
      </w:r>
    </w:p>
    <w:p>
      <w:pPr>
        <w:rPr>
          <w:color w:val="auto"/>
          <w:highlight w:val="none"/>
        </w:rPr>
      </w:pPr>
      <w:r>
        <w:rPr>
          <w:color w:val="auto"/>
          <w:highlight w:val="none"/>
        </w:rPr>
        <w:t>（9）《关于建设项目竣工环境保护验收实行公示的通知》（环办[2003]26号 2003年3月28日）；</w:t>
      </w:r>
    </w:p>
    <w:p>
      <w:pPr>
        <w:rPr>
          <w:color w:val="auto"/>
          <w:highlight w:val="none"/>
        </w:rPr>
      </w:pPr>
      <w:r>
        <w:rPr>
          <w:color w:val="auto"/>
          <w:highlight w:val="none"/>
        </w:rPr>
        <w:t>（10）《苏州市城市总体规划(2007-2020)》；</w:t>
      </w:r>
    </w:p>
    <w:p>
      <w:pPr>
        <w:rPr>
          <w:color w:val="auto"/>
          <w:highlight w:val="none"/>
        </w:rPr>
      </w:pPr>
      <w:r>
        <w:rPr>
          <w:color w:val="auto"/>
          <w:highlight w:val="none"/>
        </w:rPr>
        <w:t>（11）《苏州高新区(虎丘区)城乡一体化暨分区规划(2009-2030)》，江苏省城市规划设计研究院，江苏省城市交通规划研究中心，2010年1月；</w:t>
      </w:r>
    </w:p>
    <w:p>
      <w:pPr>
        <w:pStyle w:val="4"/>
        <w:rPr>
          <w:color w:val="auto"/>
          <w:highlight w:val="none"/>
        </w:rPr>
      </w:pPr>
      <w:bookmarkStart w:id="21" w:name="_Toc13753"/>
      <w:bookmarkStart w:id="22" w:name="_Toc511143525"/>
      <w:bookmarkStart w:id="23" w:name="_Toc18471"/>
      <w:bookmarkStart w:id="24" w:name="_Toc21220"/>
      <w:r>
        <w:rPr>
          <w:color w:val="auto"/>
          <w:highlight w:val="none"/>
        </w:rPr>
        <w:t>2.1.3环境保护标准及规范</w:t>
      </w:r>
      <w:bookmarkEnd w:id="21"/>
      <w:bookmarkEnd w:id="22"/>
      <w:bookmarkEnd w:id="23"/>
      <w:bookmarkEnd w:id="24"/>
    </w:p>
    <w:p>
      <w:pPr>
        <w:rPr>
          <w:color w:val="auto"/>
          <w:highlight w:val="none"/>
        </w:rPr>
      </w:pPr>
      <w:r>
        <w:rPr>
          <w:color w:val="auto"/>
          <w:highlight w:val="none"/>
        </w:rPr>
        <w:t>（1）《环境空气质量标准》（GB3095-2012）；</w:t>
      </w:r>
    </w:p>
    <w:p>
      <w:pPr>
        <w:rPr>
          <w:color w:val="auto"/>
          <w:highlight w:val="none"/>
        </w:rPr>
      </w:pPr>
      <w:r>
        <w:rPr>
          <w:color w:val="auto"/>
          <w:highlight w:val="none"/>
        </w:rPr>
        <w:t>（2）《地表水环境质量标准》（GB3838-2002）；</w:t>
      </w:r>
    </w:p>
    <w:p>
      <w:pPr>
        <w:rPr>
          <w:color w:val="auto"/>
          <w:highlight w:val="none"/>
        </w:rPr>
      </w:pPr>
      <w:r>
        <w:rPr>
          <w:color w:val="auto"/>
          <w:highlight w:val="none"/>
        </w:rPr>
        <w:t>（3）《声环境质量标准》（GB3096-2008）；</w:t>
      </w:r>
    </w:p>
    <w:p>
      <w:pPr>
        <w:rPr>
          <w:color w:val="auto"/>
          <w:highlight w:val="none"/>
        </w:rPr>
      </w:pPr>
      <w:r>
        <w:rPr>
          <w:color w:val="auto"/>
          <w:highlight w:val="none"/>
        </w:rPr>
        <w:t>（4）《污水排入城镇下水道水质标准》（GBT31962-2015）；</w:t>
      </w:r>
    </w:p>
    <w:p>
      <w:pPr>
        <w:rPr>
          <w:color w:val="auto"/>
          <w:highlight w:val="none"/>
        </w:rPr>
      </w:pPr>
      <w:r>
        <w:rPr>
          <w:color w:val="auto"/>
          <w:highlight w:val="none"/>
        </w:rPr>
        <w:t>（5）《太湖地区城镇污水处理厂及重点工业行业主要水污染物排放限值》（DB32_1072-2018）；</w:t>
      </w:r>
    </w:p>
    <w:p>
      <w:pPr>
        <w:rPr>
          <w:color w:val="auto"/>
          <w:highlight w:val="none"/>
        </w:rPr>
      </w:pPr>
      <w:r>
        <w:rPr>
          <w:color w:val="auto"/>
          <w:highlight w:val="none"/>
        </w:rPr>
        <w:t>（6）《城镇污水处理厂污染物排放标准》（GB18918-2002）；</w:t>
      </w:r>
    </w:p>
    <w:p>
      <w:pPr>
        <w:rPr>
          <w:color w:val="auto"/>
          <w:highlight w:val="none"/>
        </w:rPr>
      </w:pPr>
      <w:r>
        <w:rPr>
          <w:color w:val="auto"/>
          <w:highlight w:val="none"/>
        </w:rPr>
        <w:t>（7）《大气污染物综合排放标准》（GB16297-1996）；</w:t>
      </w:r>
    </w:p>
    <w:p>
      <w:pPr>
        <w:rPr>
          <w:color w:val="auto"/>
          <w:highlight w:val="none"/>
        </w:rPr>
      </w:pPr>
      <w:r>
        <w:rPr>
          <w:color w:val="auto"/>
          <w:highlight w:val="none"/>
        </w:rPr>
        <w:t>（8）《建筑施工场界环境噪声排放标准》（GB12523-2011）；</w:t>
      </w:r>
    </w:p>
    <w:p>
      <w:pPr>
        <w:rPr>
          <w:color w:val="auto"/>
          <w:highlight w:val="none"/>
        </w:rPr>
      </w:pPr>
      <w:r>
        <w:rPr>
          <w:color w:val="auto"/>
          <w:highlight w:val="none"/>
        </w:rPr>
        <w:t>（9）《防治城市扬尘污染技术规范》（HJ/T393-2007），国家环境保护局，2007.11.21；</w:t>
      </w:r>
    </w:p>
    <w:p>
      <w:pPr>
        <w:rPr>
          <w:color w:val="auto"/>
          <w:szCs w:val="28"/>
          <w:highlight w:val="none"/>
        </w:rPr>
      </w:pPr>
      <w:r>
        <w:rPr>
          <w:color w:val="auto"/>
          <w:highlight w:val="none"/>
        </w:rPr>
        <w:t>（10）《城市给水工程规划方案》（GB50282-98）。</w:t>
      </w:r>
    </w:p>
    <w:p>
      <w:pPr>
        <w:pStyle w:val="3"/>
        <w:rPr>
          <w:color w:val="auto"/>
          <w:highlight w:val="none"/>
        </w:rPr>
      </w:pPr>
      <w:bookmarkStart w:id="25" w:name="_Toc4243"/>
      <w:bookmarkStart w:id="26" w:name="_Toc8881"/>
      <w:bookmarkStart w:id="27" w:name="_Toc511143526"/>
      <w:bookmarkStart w:id="28" w:name="_Toc31927"/>
      <w:r>
        <w:rPr>
          <w:color w:val="auto"/>
          <w:highlight w:val="none"/>
        </w:rPr>
        <w:t>2.</w:t>
      </w:r>
      <w:r>
        <w:rPr>
          <w:rFonts w:hint="eastAsia"/>
          <w:color w:val="auto"/>
          <w:highlight w:val="none"/>
        </w:rPr>
        <w:t>2</w:t>
      </w:r>
      <w:r>
        <w:rPr>
          <w:color w:val="auto"/>
          <w:highlight w:val="none"/>
        </w:rPr>
        <w:t>工程资料</w:t>
      </w:r>
      <w:bookmarkEnd w:id="25"/>
      <w:bookmarkEnd w:id="26"/>
      <w:bookmarkEnd w:id="27"/>
      <w:bookmarkEnd w:id="28"/>
    </w:p>
    <w:p>
      <w:pPr>
        <w:rPr>
          <w:color w:val="auto"/>
          <w:highlight w:val="none"/>
        </w:rPr>
      </w:pPr>
      <w:r>
        <w:rPr>
          <w:rFonts w:hint="eastAsia"/>
          <w:color w:val="auto"/>
          <w:highlight w:val="none"/>
        </w:rPr>
        <w:t>（1）苏州市苏州茂龙地产发展有限公司苏地2017-WG-82号地块项目</w:t>
      </w:r>
      <w:r>
        <w:rPr>
          <w:rFonts w:hint="eastAsia"/>
          <w:color w:val="auto"/>
          <w:highlight w:val="none"/>
          <w:lang w:val="en-US" w:eastAsia="zh-CN"/>
        </w:rPr>
        <w:t>建设项目环境影响登记表</w:t>
      </w:r>
      <w:r>
        <w:rPr>
          <w:color w:val="auto"/>
          <w:highlight w:val="none"/>
        </w:rPr>
        <w:t>；</w:t>
      </w:r>
    </w:p>
    <w:p>
      <w:pPr>
        <w:bidi w:val="0"/>
        <w:rPr>
          <w:color w:val="auto"/>
          <w:highlight w:val="none"/>
        </w:rPr>
      </w:pPr>
      <w:r>
        <w:rPr>
          <w:rFonts w:hint="eastAsia"/>
          <w:color w:val="auto"/>
          <w:highlight w:val="none"/>
        </w:rPr>
        <w:t>（2）苏州茂龙地产发展有限公司</w:t>
      </w:r>
      <w:r>
        <w:rPr>
          <w:color w:val="auto"/>
          <w:highlight w:val="none"/>
        </w:rPr>
        <w:t>提供的其他资料。</w:t>
      </w:r>
    </w:p>
    <w:p>
      <w:pPr>
        <w:rPr>
          <w:color w:val="auto"/>
          <w:highlight w:val="none"/>
        </w:rPr>
      </w:pPr>
      <w:r>
        <w:rPr>
          <w:color w:val="auto"/>
          <w:highlight w:val="none"/>
        </w:rPr>
        <w:br w:type="page"/>
      </w:r>
    </w:p>
    <w:p>
      <w:pPr>
        <w:pStyle w:val="2"/>
        <w:rPr>
          <w:rFonts w:hint="eastAsia"/>
          <w:color w:val="auto"/>
          <w:highlight w:val="none"/>
        </w:rPr>
      </w:pPr>
      <w:bookmarkStart w:id="29" w:name="_Toc25651"/>
      <w:bookmarkStart w:id="30" w:name="_Toc560"/>
      <w:bookmarkStart w:id="31" w:name="_Toc12556"/>
      <w:r>
        <w:rPr>
          <w:rFonts w:hint="eastAsia"/>
          <w:color w:val="auto"/>
          <w:highlight w:val="none"/>
        </w:rPr>
        <w:t>3建设项目建设情况</w:t>
      </w:r>
      <w:bookmarkEnd w:id="29"/>
      <w:bookmarkEnd w:id="30"/>
      <w:bookmarkEnd w:id="31"/>
    </w:p>
    <w:p>
      <w:pPr>
        <w:pStyle w:val="3"/>
        <w:rPr>
          <w:rFonts w:hint="eastAsia"/>
          <w:color w:val="auto"/>
          <w:highlight w:val="none"/>
        </w:rPr>
      </w:pPr>
      <w:bookmarkStart w:id="32" w:name="_Toc1241"/>
      <w:bookmarkStart w:id="33" w:name="_Toc16239"/>
      <w:bookmarkStart w:id="34" w:name="_Toc1940"/>
      <w:r>
        <w:rPr>
          <w:rFonts w:hint="eastAsia"/>
          <w:color w:val="auto"/>
          <w:highlight w:val="none"/>
        </w:rPr>
        <w:t>3.1建设项目内容</w:t>
      </w:r>
      <w:bookmarkEnd w:id="32"/>
      <w:bookmarkEnd w:id="33"/>
      <w:bookmarkEnd w:id="34"/>
    </w:p>
    <w:p>
      <w:pPr>
        <w:ind w:firstLine="560" w:firstLineChars="200"/>
        <w:rPr>
          <w:color w:val="auto"/>
          <w:highlight w:val="none"/>
        </w:rPr>
      </w:pPr>
      <w:r>
        <w:rPr>
          <w:color w:val="auto"/>
          <w:highlight w:val="none"/>
        </w:rPr>
        <w:t>20</w:t>
      </w:r>
      <w:r>
        <w:rPr>
          <w:rFonts w:hint="eastAsia"/>
          <w:color w:val="auto"/>
          <w:highlight w:val="none"/>
          <w:lang w:val="en-US" w:eastAsia="zh-CN"/>
        </w:rPr>
        <w:t>18</w:t>
      </w:r>
      <w:r>
        <w:rPr>
          <w:color w:val="auto"/>
          <w:highlight w:val="none"/>
        </w:rPr>
        <w:t>年</w:t>
      </w:r>
      <w:r>
        <w:rPr>
          <w:rFonts w:hint="eastAsia"/>
          <w:color w:val="auto"/>
          <w:highlight w:val="none"/>
          <w:lang w:val="en-US" w:eastAsia="zh-CN"/>
        </w:rPr>
        <w:t>7</w:t>
      </w:r>
      <w:r>
        <w:rPr>
          <w:color w:val="auto"/>
          <w:highlight w:val="none"/>
        </w:rPr>
        <w:t>月建设单位</w:t>
      </w:r>
      <w:r>
        <w:rPr>
          <w:rFonts w:hint="eastAsia"/>
          <w:color w:val="auto"/>
          <w:highlight w:val="none"/>
          <w:lang w:val="en-US" w:eastAsia="zh-CN"/>
        </w:rPr>
        <w:t>自行取得</w:t>
      </w:r>
      <w:r>
        <w:rPr>
          <w:rFonts w:hint="eastAsia"/>
          <w:color w:val="auto"/>
          <w:highlight w:val="none"/>
        </w:rPr>
        <w:t>苏州市苏州茂龙地产发展有限公司苏地2017-WG-82号地块项目</w:t>
      </w:r>
      <w:r>
        <w:rPr>
          <w:rFonts w:hint="eastAsia"/>
          <w:color w:val="auto"/>
          <w:highlight w:val="none"/>
          <w:lang w:val="en-US" w:eastAsia="zh-CN"/>
        </w:rPr>
        <w:t>建设项目环境影响登记表</w:t>
      </w:r>
      <w:r>
        <w:rPr>
          <w:color w:val="auto"/>
          <w:highlight w:val="none"/>
        </w:rPr>
        <w:t>，</w:t>
      </w:r>
      <w:r>
        <w:rPr>
          <w:rFonts w:hint="eastAsia"/>
          <w:color w:val="auto"/>
          <w:highlight w:val="none"/>
          <w:lang w:val="en-US" w:eastAsia="zh-CN"/>
        </w:rPr>
        <w:t>备案号</w:t>
      </w:r>
      <w:r>
        <w:rPr>
          <w:color w:val="auto"/>
          <w:highlight w:val="none"/>
        </w:rPr>
        <w:t>：</w:t>
      </w:r>
      <w:r>
        <w:rPr>
          <w:rFonts w:hint="eastAsia"/>
          <w:color w:val="auto"/>
          <w:highlight w:val="none"/>
          <w:lang w:val="en-US" w:eastAsia="zh-CN"/>
        </w:rPr>
        <w:t>201832050500000393</w:t>
      </w:r>
      <w:r>
        <w:rPr>
          <w:color w:val="auto"/>
          <w:highlight w:val="none"/>
        </w:rPr>
        <w:t>。</w:t>
      </w:r>
    </w:p>
    <w:p>
      <w:pPr>
        <w:ind w:firstLine="560" w:firstLineChars="200"/>
        <w:rPr>
          <w:rFonts w:hint="default"/>
          <w:color w:val="auto"/>
          <w:highlight w:val="none"/>
          <w:lang w:val="en-US"/>
        </w:rPr>
      </w:pPr>
      <w:r>
        <w:rPr>
          <w:rFonts w:hint="eastAsia"/>
          <w:color w:val="auto"/>
          <w:highlight w:val="none"/>
          <w:lang w:val="en-US" w:eastAsia="zh-CN"/>
        </w:rPr>
        <w:t>整体</w:t>
      </w:r>
      <w:r>
        <w:rPr>
          <w:color w:val="auto"/>
          <w:highlight w:val="none"/>
        </w:rPr>
        <w:t>项目在苏州高新区</w:t>
      </w:r>
      <w:r>
        <w:rPr>
          <w:rFonts w:hint="eastAsia"/>
          <w:color w:val="auto"/>
          <w:highlight w:val="none"/>
          <w:lang w:val="en-US" w:eastAsia="zh-CN"/>
        </w:rPr>
        <w:t>狮山街道</w:t>
      </w:r>
      <w:r>
        <w:rPr>
          <w:color w:val="auto"/>
          <w:highlight w:val="none"/>
        </w:rPr>
        <w:t>建设，项目地位于</w:t>
      </w:r>
      <w:r>
        <w:rPr>
          <w:rFonts w:hint="eastAsia"/>
          <w:color w:val="auto"/>
          <w:highlight w:val="none"/>
          <w:lang w:val="en-US" w:eastAsia="zh-CN"/>
        </w:rPr>
        <w:t>黄埔街东西、竹园路南</w:t>
      </w:r>
      <w:r>
        <w:rPr>
          <w:color w:val="auto"/>
          <w:highlight w:val="none"/>
        </w:rPr>
        <w:t>，项目设计总体建设规模：</w:t>
      </w:r>
      <w:r>
        <w:rPr>
          <w:rFonts w:hint="eastAsia"/>
          <w:color w:val="auto"/>
          <w:highlight w:val="none"/>
          <w:lang w:val="en-US" w:eastAsia="zh-CN"/>
        </w:rPr>
        <w:t>本次验收项目属于地块一，</w:t>
      </w:r>
      <w:r>
        <w:rPr>
          <w:color w:val="auto"/>
          <w:highlight w:val="none"/>
        </w:rPr>
        <w:t>总建筑面积</w:t>
      </w:r>
      <w:r>
        <w:rPr>
          <w:rFonts w:hint="eastAsia"/>
          <w:color w:val="auto"/>
          <w:highlight w:val="none"/>
          <w:lang w:val="en-US" w:eastAsia="zh-CN"/>
        </w:rPr>
        <w:t>69583.92</w:t>
      </w:r>
      <w:r>
        <w:rPr>
          <w:color w:val="auto"/>
          <w:highlight w:val="none"/>
        </w:rPr>
        <w:t>平方米；</w:t>
      </w:r>
      <w:r>
        <w:rPr>
          <w:rFonts w:hint="eastAsia"/>
          <w:color w:val="auto"/>
          <w:highlight w:val="none"/>
          <w:lang w:val="en-US" w:eastAsia="zh-CN"/>
        </w:rPr>
        <w:t>包括建设5栋住宅、1栋物业配套用房、2个变电所、2个门卫、1个燃气调压室及1个垃圾房</w:t>
      </w:r>
      <w:r>
        <w:rPr>
          <w:color w:val="auto"/>
          <w:highlight w:val="none"/>
        </w:rPr>
        <w:t>。</w:t>
      </w:r>
    </w:p>
    <w:p>
      <w:pPr>
        <w:pStyle w:val="3"/>
        <w:rPr>
          <w:color w:val="auto"/>
          <w:highlight w:val="none"/>
        </w:rPr>
      </w:pPr>
      <w:bookmarkStart w:id="35" w:name="_Toc10689"/>
      <w:bookmarkStart w:id="36" w:name="_Toc20118"/>
      <w:bookmarkStart w:id="37" w:name="_Toc18353"/>
      <w:r>
        <w:rPr>
          <w:rFonts w:hint="eastAsia"/>
          <w:color w:val="auto"/>
          <w:highlight w:val="none"/>
        </w:rPr>
        <w:t>3.2项目建设过程</w:t>
      </w:r>
      <w:bookmarkEnd w:id="35"/>
      <w:bookmarkEnd w:id="36"/>
      <w:bookmarkEnd w:id="37"/>
    </w:p>
    <w:p>
      <w:pPr>
        <w:bidi w:val="0"/>
        <w:ind w:firstLine="560" w:firstLineChars="200"/>
        <w:rPr>
          <w:color w:val="auto"/>
          <w:highlight w:val="none"/>
        </w:rPr>
      </w:pPr>
      <w:r>
        <w:rPr>
          <w:rFonts w:hint="eastAsia"/>
          <w:color w:val="auto"/>
          <w:highlight w:val="none"/>
        </w:rPr>
        <w:t>整体</w:t>
      </w:r>
      <w:r>
        <w:rPr>
          <w:color w:val="auto"/>
          <w:highlight w:val="none"/>
        </w:rPr>
        <w:t>项目于201</w:t>
      </w:r>
      <w:r>
        <w:rPr>
          <w:rFonts w:hint="eastAsia"/>
          <w:color w:val="auto"/>
          <w:highlight w:val="none"/>
          <w:lang w:val="en-US" w:eastAsia="zh-CN"/>
        </w:rPr>
        <w:t>8</w:t>
      </w:r>
      <w:r>
        <w:rPr>
          <w:color w:val="auto"/>
          <w:highlight w:val="none"/>
        </w:rPr>
        <w:t>年</w:t>
      </w:r>
      <w:r>
        <w:rPr>
          <w:rFonts w:hint="eastAsia"/>
          <w:color w:val="auto"/>
          <w:highlight w:val="none"/>
          <w:lang w:val="en-US" w:eastAsia="zh-CN"/>
        </w:rPr>
        <w:t>8</w:t>
      </w:r>
      <w:r>
        <w:rPr>
          <w:color w:val="auto"/>
          <w:highlight w:val="none"/>
        </w:rPr>
        <w:t>月</w:t>
      </w:r>
      <w:r>
        <w:rPr>
          <w:rFonts w:hint="eastAsia"/>
          <w:color w:val="auto"/>
          <w:highlight w:val="none"/>
          <w:lang w:val="en-US" w:eastAsia="zh-CN"/>
        </w:rPr>
        <w:t>31日</w:t>
      </w:r>
      <w:r>
        <w:rPr>
          <w:color w:val="auto"/>
          <w:highlight w:val="none"/>
        </w:rPr>
        <w:t>取得</w:t>
      </w:r>
      <w:r>
        <w:rPr>
          <w:rFonts w:hint="eastAsia"/>
          <w:color w:val="auto"/>
          <w:highlight w:val="none"/>
        </w:rPr>
        <w:t>《</w:t>
      </w:r>
      <w:r>
        <w:rPr>
          <w:color w:val="auto"/>
          <w:highlight w:val="none"/>
        </w:rPr>
        <w:t>建设工程规划许可证</w:t>
      </w:r>
      <w:r>
        <w:rPr>
          <w:rFonts w:hint="eastAsia"/>
          <w:color w:val="auto"/>
          <w:highlight w:val="none"/>
        </w:rPr>
        <w:t>》（建</w:t>
      </w:r>
      <w:r>
        <w:rPr>
          <w:color w:val="auto"/>
          <w:highlight w:val="none"/>
        </w:rPr>
        <w:t>字第320505201</w:t>
      </w:r>
      <w:r>
        <w:rPr>
          <w:rFonts w:hint="eastAsia"/>
          <w:color w:val="auto"/>
          <w:highlight w:val="none"/>
          <w:lang w:val="en-US" w:eastAsia="zh-CN"/>
        </w:rPr>
        <w:t>800122</w:t>
      </w:r>
      <w:r>
        <w:rPr>
          <w:color w:val="auto"/>
          <w:highlight w:val="none"/>
        </w:rPr>
        <w:t>号</w:t>
      </w:r>
      <w:r>
        <w:rPr>
          <w:rFonts w:hint="eastAsia"/>
          <w:color w:val="auto"/>
          <w:highlight w:val="none"/>
        </w:rPr>
        <w:t>）</w:t>
      </w:r>
      <w:r>
        <w:rPr>
          <w:color w:val="auto"/>
          <w:highlight w:val="none"/>
        </w:rPr>
        <w:t>。</w:t>
      </w:r>
      <w:r>
        <w:rPr>
          <w:rFonts w:hint="eastAsia"/>
          <w:color w:val="auto"/>
          <w:highlight w:val="none"/>
          <w:lang w:val="en-US" w:eastAsia="zh-CN"/>
        </w:rPr>
        <w:t>本</w:t>
      </w:r>
      <w:r>
        <w:rPr>
          <w:color w:val="auto"/>
          <w:highlight w:val="none"/>
        </w:rPr>
        <w:t>项目</w:t>
      </w:r>
      <w:r>
        <w:rPr>
          <w:rFonts w:hint="eastAsia"/>
          <w:color w:val="auto"/>
          <w:highlight w:val="none"/>
          <w:lang w:eastAsia="zh-CN"/>
        </w:rPr>
        <w:t>（</w:t>
      </w:r>
      <w:r>
        <w:rPr>
          <w:rFonts w:hint="eastAsia"/>
          <w:color w:val="auto"/>
          <w:highlight w:val="none"/>
          <w:lang w:val="en-US" w:eastAsia="zh-CN"/>
        </w:rPr>
        <w:t>地块一</w:t>
      </w:r>
      <w:r>
        <w:rPr>
          <w:rFonts w:hint="eastAsia"/>
          <w:color w:val="auto"/>
          <w:highlight w:val="none"/>
          <w:lang w:eastAsia="zh-CN"/>
        </w:rPr>
        <w:t>）</w:t>
      </w:r>
      <w:r>
        <w:rPr>
          <w:color w:val="auto"/>
          <w:highlight w:val="none"/>
        </w:rPr>
        <w:t>于201</w:t>
      </w:r>
      <w:r>
        <w:rPr>
          <w:rFonts w:hint="eastAsia"/>
          <w:color w:val="auto"/>
          <w:highlight w:val="none"/>
          <w:lang w:val="en-US" w:eastAsia="zh-CN"/>
        </w:rPr>
        <w:t>8</w:t>
      </w:r>
      <w:r>
        <w:rPr>
          <w:color w:val="auto"/>
          <w:highlight w:val="none"/>
        </w:rPr>
        <w:t>年</w:t>
      </w:r>
      <w:r>
        <w:rPr>
          <w:rFonts w:hint="eastAsia"/>
          <w:color w:val="auto"/>
          <w:highlight w:val="none"/>
          <w:lang w:val="en-US" w:eastAsia="zh-CN"/>
        </w:rPr>
        <w:t>12</w:t>
      </w:r>
      <w:r>
        <w:rPr>
          <w:color w:val="auto"/>
          <w:highlight w:val="none"/>
        </w:rPr>
        <w:t>月</w:t>
      </w:r>
      <w:r>
        <w:rPr>
          <w:rFonts w:hint="eastAsia"/>
          <w:color w:val="auto"/>
          <w:highlight w:val="none"/>
          <w:lang w:val="en-US" w:eastAsia="zh-CN"/>
        </w:rPr>
        <w:t>19日取得</w:t>
      </w:r>
      <w:r>
        <w:rPr>
          <w:color w:val="auto"/>
          <w:highlight w:val="none"/>
        </w:rPr>
        <w:t>《建筑工程施工许可证》（编号：320</w:t>
      </w:r>
      <w:r>
        <w:rPr>
          <w:rFonts w:hint="eastAsia"/>
          <w:color w:val="auto"/>
          <w:highlight w:val="none"/>
        </w:rPr>
        <w:t>505</w:t>
      </w:r>
      <w:r>
        <w:rPr>
          <w:rFonts w:hint="eastAsia"/>
          <w:color w:val="auto"/>
          <w:highlight w:val="none"/>
          <w:lang w:val="en-US" w:eastAsia="zh-CN"/>
        </w:rPr>
        <w:t>201812190301</w:t>
      </w:r>
      <w:r>
        <w:rPr>
          <w:color w:val="auto"/>
          <w:highlight w:val="none"/>
        </w:rPr>
        <w:t>）</w:t>
      </w:r>
      <w:r>
        <w:rPr>
          <w:rFonts w:hint="eastAsia"/>
          <w:color w:val="auto"/>
          <w:highlight w:val="none"/>
          <w:lang w:eastAsia="zh-CN"/>
        </w:rPr>
        <w:t>；</w:t>
      </w:r>
      <w:r>
        <w:rPr>
          <w:rFonts w:hint="eastAsia"/>
          <w:color w:val="auto"/>
          <w:highlight w:val="none"/>
          <w:lang w:val="en-US" w:eastAsia="zh-CN"/>
        </w:rPr>
        <w:t>与2018年12月19日</w:t>
      </w:r>
      <w:r>
        <w:rPr>
          <w:color w:val="auto"/>
          <w:highlight w:val="none"/>
        </w:rPr>
        <w:t>开始施工，竣工日期为20</w:t>
      </w:r>
      <w:r>
        <w:rPr>
          <w:rFonts w:hint="eastAsia"/>
          <w:color w:val="auto"/>
          <w:highlight w:val="none"/>
        </w:rPr>
        <w:t>2</w:t>
      </w:r>
      <w:r>
        <w:rPr>
          <w:rFonts w:hint="eastAsia"/>
          <w:color w:val="auto"/>
          <w:highlight w:val="none"/>
          <w:lang w:val="en-US" w:eastAsia="zh-CN"/>
        </w:rPr>
        <w:t>1</w:t>
      </w:r>
      <w:r>
        <w:rPr>
          <w:color w:val="auto"/>
          <w:highlight w:val="none"/>
        </w:rPr>
        <w:t>年</w:t>
      </w:r>
      <w:r>
        <w:rPr>
          <w:rFonts w:hint="eastAsia"/>
          <w:color w:val="auto"/>
          <w:highlight w:val="none"/>
          <w:lang w:val="en-US" w:eastAsia="zh-CN"/>
        </w:rPr>
        <w:t>11</w:t>
      </w:r>
      <w:r>
        <w:rPr>
          <w:color w:val="auto"/>
          <w:highlight w:val="none"/>
        </w:rPr>
        <w:t>月</w:t>
      </w:r>
      <w:r>
        <w:rPr>
          <w:rFonts w:hint="eastAsia"/>
          <w:color w:val="auto"/>
          <w:highlight w:val="none"/>
          <w:lang w:val="en-US" w:eastAsia="zh-CN"/>
        </w:rPr>
        <w:t>8日</w:t>
      </w:r>
      <w:r>
        <w:rPr>
          <w:color w:val="auto"/>
          <w:highlight w:val="none"/>
        </w:rPr>
        <w:t>。</w:t>
      </w:r>
    </w:p>
    <w:p>
      <w:pPr>
        <w:bidi w:val="0"/>
        <w:ind w:firstLine="560" w:firstLineChars="200"/>
        <w:rPr>
          <w:color w:val="auto"/>
          <w:highlight w:val="none"/>
        </w:rPr>
      </w:pPr>
      <w:r>
        <w:rPr>
          <w:color w:val="auto"/>
          <w:highlight w:val="none"/>
        </w:rPr>
        <w:t>目前</w:t>
      </w:r>
      <w:r>
        <w:rPr>
          <w:rFonts w:hint="eastAsia"/>
          <w:color w:val="auto"/>
          <w:highlight w:val="none"/>
          <w:lang w:val="en-US" w:eastAsia="zh-CN"/>
        </w:rPr>
        <w:t>本</w:t>
      </w:r>
      <w:r>
        <w:rPr>
          <w:color w:val="auto"/>
          <w:highlight w:val="none"/>
        </w:rPr>
        <w:t>项目</w:t>
      </w:r>
      <w:r>
        <w:rPr>
          <w:rFonts w:hint="eastAsia"/>
          <w:color w:val="auto"/>
          <w:highlight w:val="none"/>
          <w:lang w:eastAsia="zh-CN"/>
        </w:rPr>
        <w:t>（</w:t>
      </w:r>
      <w:r>
        <w:rPr>
          <w:rFonts w:hint="eastAsia"/>
          <w:color w:val="auto"/>
          <w:highlight w:val="none"/>
          <w:lang w:val="en-US" w:eastAsia="zh-CN"/>
        </w:rPr>
        <w:t>地块一</w:t>
      </w:r>
      <w:r>
        <w:rPr>
          <w:rFonts w:hint="eastAsia"/>
          <w:color w:val="auto"/>
          <w:highlight w:val="none"/>
          <w:lang w:eastAsia="zh-CN"/>
        </w:rPr>
        <w:t>）</w:t>
      </w:r>
      <w:r>
        <w:rPr>
          <w:rFonts w:hint="eastAsia"/>
          <w:color w:val="auto"/>
          <w:highlight w:val="none"/>
        </w:rPr>
        <w:t>的</w:t>
      </w:r>
      <w:r>
        <w:rPr>
          <w:rFonts w:hint="eastAsia"/>
          <w:color w:val="auto"/>
          <w:highlight w:val="none"/>
          <w:lang w:eastAsia="zh-CN"/>
        </w:rPr>
        <w:t>房地产</w:t>
      </w:r>
      <w:r>
        <w:rPr>
          <w:rFonts w:hint="eastAsia"/>
          <w:color w:val="auto"/>
          <w:highlight w:val="none"/>
        </w:rPr>
        <w:t>建设已经完成，本次验收为苏州市苏州茂龙地产发展有限公司苏地2017-WG-82号地块项目</w:t>
      </w:r>
      <w:r>
        <w:rPr>
          <w:rFonts w:hint="eastAsia"/>
          <w:color w:val="auto"/>
          <w:highlight w:val="none"/>
          <w:lang w:eastAsia="zh-CN"/>
        </w:rPr>
        <w:t>（</w:t>
      </w:r>
      <w:r>
        <w:rPr>
          <w:rFonts w:hint="eastAsia"/>
          <w:color w:val="auto"/>
          <w:highlight w:val="none"/>
          <w:lang w:val="en-US" w:eastAsia="zh-CN"/>
        </w:rPr>
        <w:t>地块一</w:t>
      </w:r>
      <w:r>
        <w:rPr>
          <w:rFonts w:hint="eastAsia"/>
          <w:color w:val="auto"/>
          <w:highlight w:val="none"/>
          <w:lang w:eastAsia="zh-CN"/>
        </w:rPr>
        <w:t>）</w:t>
      </w:r>
      <w:r>
        <w:rPr>
          <w:rFonts w:hint="eastAsia"/>
          <w:color w:val="auto"/>
          <w:highlight w:val="none"/>
          <w:lang w:val="en-US" w:eastAsia="zh-CN"/>
        </w:rPr>
        <w:t>建设项目验收</w:t>
      </w:r>
      <w:r>
        <w:rPr>
          <w:rFonts w:hint="eastAsia"/>
          <w:color w:val="auto"/>
          <w:highlight w:val="none"/>
        </w:rPr>
        <w:t>，</w:t>
      </w:r>
      <w:r>
        <w:rPr>
          <w:color w:val="auto"/>
          <w:highlight w:val="none"/>
        </w:rPr>
        <w:t>总建筑面积</w:t>
      </w:r>
      <w:r>
        <w:rPr>
          <w:rFonts w:hint="eastAsia"/>
          <w:color w:val="auto"/>
          <w:highlight w:val="none"/>
          <w:lang w:val="en-US" w:eastAsia="zh-CN"/>
        </w:rPr>
        <w:t>69583.92</w:t>
      </w:r>
      <w:r>
        <w:rPr>
          <w:color w:val="auto"/>
          <w:highlight w:val="none"/>
        </w:rPr>
        <w:t>平方米；</w:t>
      </w:r>
      <w:r>
        <w:rPr>
          <w:rFonts w:hint="eastAsia"/>
          <w:color w:val="auto"/>
          <w:highlight w:val="none"/>
          <w:lang w:val="en-US" w:eastAsia="zh-CN"/>
        </w:rPr>
        <w:t>包括建设5栋住宅、1栋物业配套用房、2个变电所、2个门卫、1个燃气调压室及1个垃圾房</w:t>
      </w:r>
      <w:r>
        <w:rPr>
          <w:color w:val="auto"/>
          <w:highlight w:val="none"/>
        </w:rPr>
        <w:t>。202</w:t>
      </w:r>
      <w:r>
        <w:rPr>
          <w:rFonts w:hint="eastAsia"/>
          <w:color w:val="auto"/>
          <w:highlight w:val="none"/>
          <w:lang w:val="en-US" w:eastAsia="zh-CN"/>
        </w:rPr>
        <w:t>1</w:t>
      </w:r>
      <w:r>
        <w:rPr>
          <w:color w:val="auto"/>
          <w:highlight w:val="none"/>
        </w:rPr>
        <w:t>年</w:t>
      </w:r>
      <w:r>
        <w:rPr>
          <w:rFonts w:hint="eastAsia"/>
          <w:color w:val="auto"/>
          <w:highlight w:val="none"/>
          <w:lang w:val="en-US" w:eastAsia="zh-CN"/>
        </w:rPr>
        <w:t>10</w:t>
      </w:r>
      <w:r>
        <w:rPr>
          <w:color w:val="auto"/>
          <w:highlight w:val="none"/>
        </w:rPr>
        <w:t>月</w:t>
      </w:r>
      <w:r>
        <w:rPr>
          <w:rFonts w:hint="eastAsia"/>
          <w:color w:val="auto"/>
          <w:highlight w:val="none"/>
          <w:lang w:eastAsia="zh-CN"/>
        </w:rPr>
        <w:t>，</w:t>
      </w:r>
      <w:r>
        <w:rPr>
          <w:rFonts w:hint="eastAsia"/>
          <w:color w:val="auto"/>
          <w:highlight w:val="none"/>
          <w:lang w:val="en-US" w:eastAsia="zh-CN"/>
        </w:rPr>
        <w:t>苏州得以清环境技术有限公司</w:t>
      </w:r>
      <w:r>
        <w:rPr>
          <w:color w:val="auto"/>
          <w:highlight w:val="none"/>
        </w:rPr>
        <w:t>委托</w:t>
      </w:r>
      <w:r>
        <w:rPr>
          <w:rFonts w:hint="eastAsia"/>
          <w:color w:val="auto"/>
          <w:highlight w:val="none"/>
        </w:rPr>
        <w:t>江苏锦城</w:t>
      </w:r>
      <w:r>
        <w:rPr>
          <w:color w:val="auto"/>
          <w:highlight w:val="none"/>
        </w:rPr>
        <w:t>检测</w:t>
      </w:r>
      <w:r>
        <w:rPr>
          <w:rFonts w:hint="eastAsia"/>
          <w:color w:val="auto"/>
          <w:highlight w:val="none"/>
        </w:rPr>
        <w:t>科技</w:t>
      </w:r>
      <w:r>
        <w:rPr>
          <w:color w:val="auto"/>
          <w:highlight w:val="none"/>
        </w:rPr>
        <w:t>有限公司对</w:t>
      </w:r>
      <w:r>
        <w:rPr>
          <w:rFonts w:hint="eastAsia"/>
          <w:color w:val="auto"/>
          <w:highlight w:val="none"/>
          <w:lang w:val="en-US" w:eastAsia="zh-CN"/>
        </w:rPr>
        <w:t>本公司</w:t>
      </w:r>
      <w:r>
        <w:rPr>
          <w:rFonts w:hint="eastAsia"/>
          <w:color w:val="auto"/>
          <w:highlight w:val="none"/>
        </w:rPr>
        <w:t>“苏州市苏州茂龙地产发展有限公司苏地2017-WG-82号地块项目”</w:t>
      </w:r>
      <w:r>
        <w:rPr>
          <w:color w:val="auto"/>
          <w:highlight w:val="none"/>
        </w:rPr>
        <w:t>进行</w:t>
      </w:r>
      <w:r>
        <w:rPr>
          <w:rFonts w:hint="eastAsia"/>
          <w:color w:val="auto"/>
          <w:highlight w:val="none"/>
          <w:lang w:eastAsia="zh-CN"/>
        </w:rPr>
        <w:t>房地产</w:t>
      </w:r>
      <w:r>
        <w:rPr>
          <w:color w:val="auto"/>
          <w:highlight w:val="none"/>
        </w:rPr>
        <w:t>的验收监测。</w:t>
      </w:r>
      <w:r>
        <w:rPr>
          <w:rFonts w:hint="eastAsia"/>
          <w:color w:val="auto"/>
          <w:highlight w:val="none"/>
        </w:rPr>
        <w:t>江苏锦城</w:t>
      </w:r>
      <w:r>
        <w:rPr>
          <w:color w:val="auto"/>
          <w:highlight w:val="none"/>
        </w:rPr>
        <w:t>检测</w:t>
      </w:r>
      <w:r>
        <w:rPr>
          <w:rFonts w:hint="eastAsia"/>
          <w:color w:val="auto"/>
          <w:highlight w:val="none"/>
        </w:rPr>
        <w:t>科技</w:t>
      </w:r>
      <w:r>
        <w:rPr>
          <w:color w:val="auto"/>
          <w:highlight w:val="none"/>
        </w:rPr>
        <w:t>有限公司组织专业技术人员于202</w:t>
      </w:r>
      <w:r>
        <w:rPr>
          <w:rFonts w:hint="eastAsia"/>
          <w:color w:val="auto"/>
          <w:highlight w:val="none"/>
          <w:lang w:val="en-US" w:eastAsia="zh-CN"/>
        </w:rPr>
        <w:t>1</w:t>
      </w:r>
      <w:r>
        <w:rPr>
          <w:color w:val="auto"/>
          <w:highlight w:val="none"/>
        </w:rPr>
        <w:t>年</w:t>
      </w:r>
      <w:r>
        <w:rPr>
          <w:rFonts w:hint="eastAsia"/>
          <w:color w:val="auto"/>
          <w:highlight w:val="none"/>
          <w:lang w:val="en-US" w:eastAsia="zh-CN"/>
        </w:rPr>
        <w:t>10</w:t>
      </w:r>
      <w:r>
        <w:rPr>
          <w:color w:val="auto"/>
          <w:highlight w:val="none"/>
        </w:rPr>
        <w:t>月</w:t>
      </w:r>
      <w:r>
        <w:rPr>
          <w:rFonts w:hint="eastAsia"/>
          <w:color w:val="auto"/>
          <w:highlight w:val="none"/>
          <w:lang w:val="en-US" w:eastAsia="zh-CN"/>
        </w:rPr>
        <w:t>15</w:t>
      </w:r>
      <w:r>
        <w:rPr>
          <w:color w:val="auto"/>
          <w:highlight w:val="none"/>
        </w:rPr>
        <w:t>日-</w:t>
      </w:r>
      <w:r>
        <w:rPr>
          <w:rFonts w:hint="eastAsia"/>
          <w:color w:val="auto"/>
          <w:highlight w:val="none"/>
        </w:rPr>
        <w:t>1</w:t>
      </w:r>
      <w:r>
        <w:rPr>
          <w:rFonts w:hint="eastAsia"/>
          <w:color w:val="auto"/>
          <w:highlight w:val="none"/>
          <w:lang w:val="en-US" w:eastAsia="zh-CN"/>
        </w:rPr>
        <w:t>0</w:t>
      </w:r>
      <w:r>
        <w:rPr>
          <w:color w:val="auto"/>
          <w:highlight w:val="none"/>
        </w:rPr>
        <w:t>月</w:t>
      </w:r>
      <w:r>
        <w:rPr>
          <w:rFonts w:hint="eastAsia"/>
          <w:color w:val="auto"/>
          <w:highlight w:val="none"/>
          <w:lang w:val="en-US" w:eastAsia="zh-CN"/>
        </w:rPr>
        <w:t>16</w:t>
      </w:r>
      <w:r>
        <w:rPr>
          <w:color w:val="auto"/>
          <w:highlight w:val="none"/>
        </w:rPr>
        <w:t>日进行了现场监测和环境管理检查，根据监测分析结果和现场检查情况编制该项目验收</w:t>
      </w:r>
      <w:r>
        <w:rPr>
          <w:rFonts w:hint="eastAsia"/>
          <w:color w:val="auto"/>
          <w:highlight w:val="none"/>
        </w:rPr>
        <w:t>检测</w:t>
      </w:r>
      <w:r>
        <w:rPr>
          <w:color w:val="auto"/>
          <w:highlight w:val="none"/>
        </w:rPr>
        <w:t>报告表。</w:t>
      </w:r>
    </w:p>
    <w:p>
      <w:pPr>
        <w:pStyle w:val="3"/>
        <w:rPr>
          <w:rFonts w:hint="eastAsia"/>
          <w:color w:val="auto"/>
          <w:highlight w:val="none"/>
        </w:rPr>
      </w:pPr>
      <w:bookmarkStart w:id="38" w:name="_Toc27187"/>
      <w:bookmarkStart w:id="39" w:name="_Toc13661"/>
      <w:bookmarkStart w:id="40" w:name="_Toc23085"/>
      <w:r>
        <w:rPr>
          <w:rFonts w:hint="eastAsia"/>
          <w:color w:val="auto"/>
          <w:highlight w:val="none"/>
        </w:rPr>
        <w:t>3.3项目变动情况</w:t>
      </w:r>
      <w:bookmarkEnd w:id="38"/>
      <w:bookmarkEnd w:id="39"/>
      <w:bookmarkEnd w:id="40"/>
    </w:p>
    <w:p>
      <w:pPr>
        <w:ind w:firstLine="560" w:firstLineChars="200"/>
        <w:rPr>
          <w:color w:val="auto"/>
          <w:highlight w:val="none"/>
        </w:rPr>
      </w:pPr>
      <w:r>
        <w:rPr>
          <w:rFonts w:hint="eastAsia"/>
          <w:color w:val="auto"/>
          <w:highlight w:val="none"/>
        </w:rPr>
        <w:t>本次</w:t>
      </w:r>
      <w:r>
        <w:rPr>
          <w:color w:val="auto"/>
          <w:highlight w:val="none"/>
        </w:rPr>
        <w:t>验收内容包括：</w:t>
      </w:r>
      <w:r>
        <w:rPr>
          <w:rFonts w:hint="eastAsia"/>
          <w:color w:val="auto"/>
          <w:highlight w:val="none"/>
          <w:lang w:val="en-US" w:eastAsia="zh-CN"/>
        </w:rPr>
        <w:t>5栋住宅、1栋物业配套用房、2个变电所、2个门卫、1个燃气调压室及1个垃圾房</w:t>
      </w:r>
      <w:r>
        <w:rPr>
          <w:color w:val="auto"/>
          <w:highlight w:val="none"/>
        </w:rPr>
        <w:t>。</w:t>
      </w:r>
      <w:r>
        <w:rPr>
          <w:rFonts w:hint="eastAsia"/>
          <w:color w:val="auto"/>
          <w:highlight w:val="none"/>
        </w:rPr>
        <w:t>本次项目</w:t>
      </w:r>
      <w:r>
        <w:rPr>
          <w:color w:val="auto"/>
          <w:highlight w:val="none"/>
        </w:rPr>
        <w:t>工程</w:t>
      </w:r>
      <w:r>
        <w:rPr>
          <w:rFonts w:hint="eastAsia"/>
          <w:color w:val="auto"/>
          <w:highlight w:val="none"/>
        </w:rPr>
        <w:t>实际建设内容见表3.2-1，项目变动情况</w:t>
      </w:r>
      <w:r>
        <w:rPr>
          <w:color w:val="auto"/>
          <w:highlight w:val="none"/>
        </w:rPr>
        <w:t>见表3.2-</w:t>
      </w:r>
      <w:r>
        <w:rPr>
          <w:rFonts w:hint="eastAsia"/>
          <w:color w:val="auto"/>
          <w:highlight w:val="none"/>
        </w:rPr>
        <w:t>2</w:t>
      </w:r>
      <w:r>
        <w:rPr>
          <w:color w:val="auto"/>
          <w:highlight w:val="none"/>
        </w:rPr>
        <w:t>。</w:t>
      </w:r>
    </w:p>
    <w:p>
      <w:pPr>
        <w:jc w:val="center"/>
        <w:rPr>
          <w:b/>
          <w:bCs/>
          <w:color w:val="auto"/>
          <w:highlight w:val="none"/>
        </w:rPr>
      </w:pPr>
      <w:r>
        <w:rPr>
          <w:b/>
          <w:bCs/>
          <w:color w:val="auto"/>
          <w:highlight w:val="none"/>
        </w:rPr>
        <w:t xml:space="preserve">表3.2-1 </w:t>
      </w:r>
      <w:r>
        <w:rPr>
          <w:rFonts w:hint="eastAsia"/>
          <w:b/>
          <w:bCs/>
          <w:color w:val="auto"/>
          <w:highlight w:val="none"/>
        </w:rPr>
        <w:t>本次项目</w:t>
      </w:r>
      <w:r>
        <w:rPr>
          <w:b/>
          <w:bCs/>
          <w:color w:val="auto"/>
          <w:highlight w:val="none"/>
        </w:rPr>
        <w:t>工程</w:t>
      </w:r>
      <w:r>
        <w:rPr>
          <w:rFonts w:hint="eastAsia"/>
          <w:b/>
          <w:bCs/>
          <w:color w:val="auto"/>
          <w:highlight w:val="none"/>
        </w:rPr>
        <w:t>实际建设内容一览</w:t>
      </w:r>
      <w:r>
        <w:rPr>
          <w:b/>
          <w:bCs/>
          <w:color w:val="auto"/>
          <w:highlight w:val="none"/>
        </w:rPr>
        <w:t>表</w:t>
      </w:r>
    </w:p>
    <w:tbl>
      <w:tblPr>
        <w:tblStyle w:val="12"/>
        <w:tblW w:w="4998" w:type="pct"/>
        <w:jc w:val="center"/>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414"/>
        <w:gridCol w:w="1483"/>
        <w:gridCol w:w="2057"/>
        <w:gridCol w:w="2084"/>
      </w:tblGrid>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699" w:type="pct"/>
            <w:gridSpan w:val="2"/>
            <w:tcBorders>
              <w:bottom w:val="single" w:color="auto" w:sz="12" w:space="0"/>
            </w:tcBorders>
            <w:noWrap w:val="0"/>
            <w:vAlign w:val="center"/>
          </w:tcPr>
          <w:p>
            <w:pPr>
              <w:spacing w:line="240" w:lineRule="auto"/>
              <w:jc w:val="center"/>
              <w:rPr>
                <w:b/>
                <w:bCs/>
                <w:color w:val="auto"/>
                <w:kern w:val="0"/>
                <w:sz w:val="21"/>
                <w:szCs w:val="21"/>
                <w:highlight w:val="none"/>
                <w:u w:val="none" w:color="000000"/>
              </w:rPr>
            </w:pPr>
            <w:r>
              <w:rPr>
                <w:b/>
                <w:bCs/>
                <w:color w:val="auto"/>
                <w:kern w:val="0"/>
                <w:sz w:val="21"/>
                <w:szCs w:val="21"/>
                <w:highlight w:val="none"/>
                <w:u w:val="none" w:color="000000"/>
              </w:rPr>
              <w:t>名称</w:t>
            </w:r>
          </w:p>
        </w:tc>
        <w:tc>
          <w:tcPr>
            <w:tcW w:w="870" w:type="pct"/>
            <w:tcBorders>
              <w:bottom w:val="single" w:color="auto" w:sz="12" w:space="0"/>
            </w:tcBorders>
            <w:noWrap w:val="0"/>
            <w:vAlign w:val="center"/>
          </w:tcPr>
          <w:p>
            <w:pPr>
              <w:spacing w:line="240" w:lineRule="auto"/>
              <w:jc w:val="center"/>
              <w:rPr>
                <w:b/>
                <w:bCs/>
                <w:color w:val="auto"/>
                <w:kern w:val="0"/>
                <w:sz w:val="21"/>
                <w:szCs w:val="21"/>
                <w:highlight w:val="none"/>
                <w:u w:val="none" w:color="000000"/>
              </w:rPr>
            </w:pPr>
            <w:r>
              <w:rPr>
                <w:b/>
                <w:bCs/>
                <w:color w:val="auto"/>
                <w:kern w:val="0"/>
                <w:sz w:val="21"/>
                <w:szCs w:val="21"/>
                <w:highlight w:val="none"/>
                <w:u w:val="none" w:color="000000"/>
              </w:rPr>
              <w:t>单位</w:t>
            </w:r>
          </w:p>
        </w:tc>
        <w:tc>
          <w:tcPr>
            <w:tcW w:w="1207" w:type="pct"/>
            <w:tcBorders>
              <w:bottom w:val="single" w:color="auto" w:sz="12" w:space="0"/>
            </w:tcBorders>
            <w:noWrap w:val="0"/>
            <w:vAlign w:val="center"/>
          </w:tcPr>
          <w:p>
            <w:pPr>
              <w:spacing w:line="240" w:lineRule="auto"/>
              <w:jc w:val="center"/>
              <w:rPr>
                <w:rFonts w:hint="default" w:eastAsia="宋体"/>
                <w:b/>
                <w:bCs/>
                <w:color w:val="auto"/>
                <w:kern w:val="0"/>
                <w:sz w:val="21"/>
                <w:szCs w:val="21"/>
                <w:highlight w:val="none"/>
                <w:u w:val="none" w:color="000000"/>
                <w:lang w:val="en-US" w:eastAsia="zh-CN"/>
              </w:rPr>
            </w:pPr>
            <w:r>
              <w:rPr>
                <w:rFonts w:hint="eastAsia"/>
                <w:b/>
                <w:bCs/>
                <w:color w:val="auto"/>
                <w:kern w:val="0"/>
                <w:sz w:val="21"/>
                <w:szCs w:val="21"/>
                <w:highlight w:val="none"/>
                <w:u w:val="none" w:color="000000"/>
                <w:lang w:val="en-US" w:eastAsia="zh-CN"/>
              </w:rPr>
              <w:t>报建施工面积</w:t>
            </w:r>
          </w:p>
        </w:tc>
        <w:tc>
          <w:tcPr>
            <w:tcW w:w="1223" w:type="pct"/>
            <w:tcBorders>
              <w:bottom w:val="single" w:color="auto" w:sz="12" w:space="0"/>
            </w:tcBorders>
            <w:noWrap w:val="0"/>
            <w:vAlign w:val="center"/>
          </w:tcPr>
          <w:p>
            <w:pPr>
              <w:spacing w:line="240" w:lineRule="auto"/>
              <w:jc w:val="center"/>
              <w:rPr>
                <w:rFonts w:hint="default" w:eastAsia="宋体"/>
                <w:b/>
                <w:bCs/>
                <w:color w:val="auto"/>
                <w:kern w:val="0"/>
                <w:sz w:val="21"/>
                <w:szCs w:val="21"/>
                <w:highlight w:val="none"/>
                <w:u w:val="none" w:color="000000"/>
                <w:lang w:val="en-US" w:eastAsia="zh-CN"/>
              </w:rPr>
            </w:pPr>
            <w:r>
              <w:rPr>
                <w:rFonts w:hint="eastAsia"/>
                <w:b/>
                <w:bCs/>
                <w:color w:val="auto"/>
                <w:kern w:val="0"/>
                <w:sz w:val="21"/>
                <w:szCs w:val="21"/>
                <w:highlight w:val="none"/>
                <w:u w:val="none" w:color="000000"/>
                <w:lang w:val="en-US" w:eastAsia="zh-CN"/>
              </w:rPr>
              <w:t>竣工测绘报告</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地库</w:t>
            </w:r>
          </w:p>
        </w:tc>
        <w:tc>
          <w:tcPr>
            <w:tcW w:w="829" w:type="pct"/>
            <w:noWrap w:val="0"/>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eastAsia"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0</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16771.44</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16827.07</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物业配套</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376.25</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382.46</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486.81</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489.96</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变电所1</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227.19</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226.35</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eastAsia"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0</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变电所2</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186.78</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186.78</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eastAsia"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0</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门卫一</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7.02</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7.18</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eastAsia"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0</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门卫二</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7.02</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6.97</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eastAsia"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0</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燃气调压室</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11.58</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eastAsia"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0</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垃圾房</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20.36</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eastAsia"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0</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1#楼</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9655.57</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9662.59</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226.03</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225.77</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color w:val="auto"/>
                <w:kern w:val="0"/>
                <w:sz w:val="21"/>
                <w:szCs w:val="21"/>
                <w:highlight w:val="none"/>
              </w:rPr>
            </w:pPr>
            <w:r>
              <w:rPr>
                <w:rFonts w:hint="eastAsia"/>
                <w:color w:val="auto"/>
                <w:kern w:val="0"/>
                <w:sz w:val="21"/>
                <w:szCs w:val="21"/>
                <w:highlight w:val="none"/>
                <w:lang w:val="en-US" w:eastAsia="zh-CN"/>
              </w:rPr>
              <w:t>2#楼</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5864.74</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5868.99</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369.36</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369.24</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color w:val="auto"/>
                <w:kern w:val="0"/>
                <w:sz w:val="21"/>
                <w:szCs w:val="21"/>
                <w:highlight w:val="none"/>
              </w:rPr>
            </w:pPr>
            <w:r>
              <w:rPr>
                <w:rFonts w:hint="eastAsia"/>
                <w:color w:val="auto"/>
                <w:kern w:val="0"/>
                <w:sz w:val="21"/>
                <w:szCs w:val="21"/>
                <w:highlight w:val="none"/>
                <w:lang w:val="en-US" w:eastAsia="zh-CN"/>
              </w:rPr>
              <w:t>3#楼</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6988.92</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6986.89</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274.83</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274.77</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color w:val="auto"/>
                <w:kern w:val="0"/>
                <w:sz w:val="21"/>
                <w:szCs w:val="21"/>
                <w:highlight w:val="none"/>
              </w:rPr>
            </w:pPr>
            <w:r>
              <w:rPr>
                <w:rFonts w:hint="eastAsia"/>
                <w:color w:val="auto"/>
                <w:kern w:val="0"/>
                <w:sz w:val="21"/>
                <w:szCs w:val="21"/>
                <w:highlight w:val="none"/>
                <w:lang w:val="en-US" w:eastAsia="zh-CN"/>
              </w:rPr>
              <w:t>4#楼</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13046.52</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13055.55</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964.12</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885.91</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noWrap w:val="0"/>
            <w:vAlign w:val="center"/>
          </w:tcPr>
          <w:p>
            <w:pPr>
              <w:spacing w:line="240" w:lineRule="auto"/>
              <w:jc w:val="center"/>
              <w:rPr>
                <w:color w:val="auto"/>
                <w:kern w:val="0"/>
                <w:sz w:val="21"/>
                <w:szCs w:val="21"/>
                <w:highlight w:val="none"/>
              </w:rPr>
            </w:pPr>
            <w:r>
              <w:rPr>
                <w:rFonts w:hint="eastAsia"/>
                <w:color w:val="auto"/>
                <w:kern w:val="0"/>
                <w:sz w:val="21"/>
                <w:szCs w:val="21"/>
                <w:highlight w:val="none"/>
                <w:lang w:val="en-US" w:eastAsia="zh-CN"/>
              </w:rPr>
              <w:t>5#楼</w:t>
            </w: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地上</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13115.63</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13111.41</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noWrap w:val="0"/>
            <w:vAlign w:val="center"/>
          </w:tcPr>
          <w:p>
            <w:pPr>
              <w:spacing w:line="240" w:lineRule="auto"/>
              <w:jc w:val="center"/>
              <w:rPr>
                <w:color w:val="auto"/>
                <w:kern w:val="0"/>
                <w:sz w:val="21"/>
                <w:szCs w:val="21"/>
                <w:highlight w:val="none"/>
              </w:rPr>
            </w:pPr>
          </w:p>
        </w:tc>
        <w:tc>
          <w:tcPr>
            <w:tcW w:w="829"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地下</w:t>
            </w:r>
          </w:p>
        </w:tc>
        <w:tc>
          <w:tcPr>
            <w:tcW w:w="870" w:type="pct"/>
            <w:noWrap w:val="0"/>
            <w:vAlign w:val="center"/>
          </w:tcPr>
          <w:p>
            <w:pPr>
              <w:spacing w:line="240" w:lineRule="auto"/>
              <w:jc w:val="center"/>
              <w:rPr>
                <w:color w:val="auto"/>
                <w:kern w:val="0"/>
                <w:sz w:val="21"/>
                <w:szCs w:val="21"/>
                <w:highlight w:val="none"/>
                <w:u w:val="none" w:color="000000"/>
              </w:rPr>
            </w:pPr>
            <w:r>
              <w:rPr>
                <w:color w:val="auto"/>
                <w:kern w:val="0"/>
                <w:sz w:val="21"/>
                <w:szCs w:val="21"/>
                <w:highlight w:val="none"/>
                <w:u w:val="none" w:color="000000"/>
              </w:rPr>
              <w:t>m</w:t>
            </w:r>
            <w:r>
              <w:rPr>
                <w:color w:val="auto"/>
                <w:kern w:val="0"/>
                <w:sz w:val="21"/>
                <w:szCs w:val="21"/>
                <w:highlight w:val="none"/>
                <w:u w:val="none" w:color="000000"/>
                <w:vertAlign w:val="superscript"/>
              </w:rPr>
              <w:t>2</w:t>
            </w:r>
          </w:p>
        </w:tc>
        <w:tc>
          <w:tcPr>
            <w:tcW w:w="1207" w:type="pct"/>
            <w:noWrap w:val="0"/>
            <w:vAlign w:val="center"/>
          </w:tcPr>
          <w:p>
            <w:pPr>
              <w:spacing w:line="240" w:lineRule="auto"/>
              <w:jc w:val="center"/>
              <w:rPr>
                <w:rFonts w:hint="default"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0</w:t>
            </w:r>
          </w:p>
        </w:tc>
        <w:tc>
          <w:tcPr>
            <w:tcW w:w="1223" w:type="pct"/>
            <w:noWrap w:val="0"/>
            <w:vAlign w:val="center"/>
          </w:tcPr>
          <w:p>
            <w:pPr>
              <w:adjustRightInd/>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PrEx>
        <w:trPr>
          <w:trHeight w:val="23" w:hRule="atLeast"/>
          <w:jc w:val="center"/>
        </w:trPr>
        <w:tc>
          <w:tcPr>
            <w:tcW w:w="2569" w:type="pct"/>
            <w:gridSpan w:val="3"/>
            <w:noWrap w:val="0"/>
            <w:vAlign w:val="center"/>
          </w:tcPr>
          <w:p>
            <w:pPr>
              <w:spacing w:line="240" w:lineRule="auto"/>
              <w:jc w:val="center"/>
              <w:rPr>
                <w:rFonts w:hint="eastAsia" w:eastAsia="宋体"/>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合计</w:t>
            </w:r>
          </w:p>
        </w:tc>
        <w:tc>
          <w:tcPr>
            <w:tcW w:w="1207" w:type="pct"/>
            <w:noWrap w:val="0"/>
            <w:vAlign w:val="center"/>
          </w:tcPr>
          <w:p>
            <w:pPr>
              <w:spacing w:line="240" w:lineRule="auto"/>
              <w:jc w:val="center"/>
              <w:rPr>
                <w:rFonts w:hint="default"/>
                <w:color w:val="auto"/>
                <w:kern w:val="0"/>
                <w:sz w:val="21"/>
                <w:szCs w:val="21"/>
                <w:highlight w:val="none"/>
                <w:u w:val="none" w:color="000000"/>
                <w:lang w:val="en-US" w:eastAsia="zh-CN"/>
              </w:rPr>
            </w:pPr>
            <w:r>
              <w:rPr>
                <w:rFonts w:hint="eastAsia"/>
                <w:color w:val="auto"/>
                <w:kern w:val="0"/>
                <w:sz w:val="21"/>
                <w:szCs w:val="21"/>
                <w:highlight w:val="none"/>
                <w:u w:val="none" w:color="000000"/>
                <w:lang w:val="en-US" w:eastAsia="zh-CN"/>
              </w:rPr>
              <w:t>68600.17</w:t>
            </w:r>
          </w:p>
        </w:tc>
        <w:tc>
          <w:tcPr>
            <w:tcW w:w="1223" w:type="pct"/>
            <w:noWrap w:val="0"/>
            <w:vAlign w:val="center"/>
          </w:tcPr>
          <w:p>
            <w:pPr>
              <w:adjustRightInd/>
              <w:snapToGrid/>
              <w:spacing w:line="240" w:lineRule="auto"/>
              <w:jc w:val="center"/>
              <w:rPr>
                <w:rFonts w:hint="default"/>
                <w:color w:val="auto"/>
                <w:sz w:val="21"/>
                <w:szCs w:val="21"/>
                <w:highlight w:val="none"/>
                <w:lang w:val="en-US" w:eastAsia="zh-CN"/>
              </w:rPr>
            </w:pPr>
            <w:bookmarkStart w:id="128" w:name="_GoBack"/>
            <w:r>
              <w:rPr>
                <w:rFonts w:hint="eastAsia"/>
                <w:color w:val="auto"/>
                <w:sz w:val="21"/>
                <w:szCs w:val="21"/>
                <w:highlight w:val="none"/>
                <w:lang w:val="en-US" w:eastAsia="zh-CN"/>
              </w:rPr>
              <w:t>68567.89</w:t>
            </w:r>
            <w:bookmarkEnd w:id="128"/>
          </w:p>
        </w:tc>
      </w:tr>
    </w:tbl>
    <w:p>
      <w:pPr>
        <w:jc w:val="center"/>
        <w:rPr>
          <w:b/>
          <w:bCs/>
          <w:color w:val="auto"/>
          <w:highlight w:val="none"/>
        </w:rPr>
      </w:pPr>
    </w:p>
    <w:p>
      <w:pPr>
        <w:jc w:val="center"/>
        <w:rPr>
          <w:b/>
          <w:bCs/>
          <w:color w:val="auto"/>
          <w:highlight w:val="none"/>
        </w:rPr>
      </w:pPr>
    </w:p>
    <w:p>
      <w:pPr>
        <w:jc w:val="center"/>
        <w:rPr>
          <w:rFonts w:hint="eastAsia"/>
          <w:b/>
          <w:bCs/>
          <w:color w:val="auto"/>
          <w:highlight w:val="none"/>
        </w:rPr>
      </w:pPr>
      <w:r>
        <w:rPr>
          <w:b/>
          <w:bCs/>
          <w:color w:val="auto"/>
          <w:highlight w:val="none"/>
        </w:rPr>
        <w:t>表3.2-</w:t>
      </w:r>
      <w:r>
        <w:rPr>
          <w:rFonts w:hint="eastAsia"/>
          <w:b/>
          <w:bCs/>
          <w:color w:val="auto"/>
          <w:highlight w:val="none"/>
        </w:rPr>
        <w:t>2项目变动情况一览</w:t>
      </w:r>
      <w:r>
        <w:rPr>
          <w:b/>
          <w:bCs/>
          <w:color w:val="auto"/>
          <w:highlight w:val="none"/>
        </w:rPr>
        <w:t>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4012"/>
        <w:gridCol w:w="1856"/>
        <w:gridCol w:w="1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578" w:type="pct"/>
            <w:noWrap w:val="0"/>
            <w:vAlign w:val="center"/>
          </w:tcPr>
          <w:p>
            <w:pPr>
              <w:pStyle w:val="15"/>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变动</w:t>
            </w:r>
          </w:p>
          <w:p>
            <w:pPr>
              <w:pStyle w:val="15"/>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类别</w:t>
            </w:r>
          </w:p>
        </w:tc>
        <w:tc>
          <w:tcPr>
            <w:tcW w:w="2354" w:type="pct"/>
            <w:noWrap w:val="0"/>
            <w:vAlign w:val="center"/>
          </w:tcPr>
          <w:p>
            <w:pPr>
              <w:pStyle w:val="15"/>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重大变动认定条件</w:t>
            </w:r>
          </w:p>
        </w:tc>
        <w:tc>
          <w:tcPr>
            <w:tcW w:w="1089" w:type="pct"/>
            <w:noWrap w:val="0"/>
            <w:vAlign w:val="center"/>
          </w:tcPr>
          <w:p>
            <w:pPr>
              <w:pStyle w:val="15"/>
              <w:rPr>
                <w:rFonts w:ascii="Times New Roman" w:hAnsi="Times New Roman" w:eastAsia="宋体"/>
                <w:b/>
                <w:color w:val="auto"/>
                <w:kern w:val="2"/>
                <w:sz w:val="21"/>
                <w:szCs w:val="21"/>
                <w:highlight w:val="none"/>
              </w:rPr>
            </w:pPr>
            <w:r>
              <w:rPr>
                <w:rFonts w:hint="eastAsia" w:ascii="Times New Roman" w:hAnsi="Times New Roman" w:eastAsia="宋体"/>
                <w:b/>
                <w:color w:val="auto"/>
                <w:kern w:val="2"/>
                <w:sz w:val="21"/>
                <w:szCs w:val="21"/>
                <w:highlight w:val="none"/>
              </w:rPr>
              <w:t>项目对照情况</w:t>
            </w:r>
          </w:p>
        </w:tc>
        <w:tc>
          <w:tcPr>
            <w:tcW w:w="977" w:type="pct"/>
            <w:noWrap w:val="0"/>
            <w:vAlign w:val="center"/>
          </w:tcPr>
          <w:p>
            <w:pPr>
              <w:pStyle w:val="15"/>
              <w:rPr>
                <w:rFonts w:ascii="Times New Roman" w:hAnsi="Times New Roman" w:eastAsia="宋体"/>
                <w:b/>
                <w:color w:val="auto"/>
                <w:kern w:val="2"/>
                <w:sz w:val="21"/>
                <w:szCs w:val="21"/>
                <w:highlight w:val="none"/>
              </w:rPr>
            </w:pPr>
            <w:r>
              <w:rPr>
                <w:rFonts w:hint="eastAsia" w:ascii="Times New Roman" w:hAnsi="Times New Roman" w:eastAsia="宋体"/>
                <w:b/>
                <w:color w:val="auto"/>
                <w:kern w:val="2"/>
                <w:sz w:val="21"/>
                <w:szCs w:val="21"/>
                <w:highlight w:val="none"/>
              </w:rPr>
              <w:t>变动情况分析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性质</w:t>
            </w:r>
          </w:p>
        </w:tc>
        <w:tc>
          <w:tcPr>
            <w:tcW w:w="2354" w:type="pct"/>
            <w:noWrap w:val="0"/>
            <w:vAlign w:val="center"/>
          </w:tcPr>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1）主要产品品种发生变化（变少的除外）。</w:t>
            </w:r>
          </w:p>
        </w:tc>
        <w:tc>
          <w:tcPr>
            <w:tcW w:w="1089" w:type="pct"/>
            <w:noWrap w:val="0"/>
            <w:vAlign w:val="center"/>
          </w:tcPr>
          <w:p>
            <w:pPr>
              <w:pStyle w:val="15"/>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不涉及</w:t>
            </w:r>
          </w:p>
        </w:tc>
        <w:tc>
          <w:tcPr>
            <w:tcW w:w="977"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78"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规模</w:t>
            </w:r>
          </w:p>
        </w:tc>
        <w:tc>
          <w:tcPr>
            <w:tcW w:w="2354" w:type="pct"/>
            <w:noWrap w:val="0"/>
            <w:vAlign w:val="center"/>
          </w:tcPr>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2）生产能力增加30%及以上。</w:t>
            </w:r>
          </w:p>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3）配套的仓储设施（储存危险化学品或其他环境风险大的物品）总储存容量增加30%及以上。</w:t>
            </w:r>
          </w:p>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4）新增生产装置，导致新增污染因子或污染物排放量增加；原有生产装置规模增加30%及以上，导致新增污染因子或污染物排放量增加。</w:t>
            </w:r>
          </w:p>
        </w:tc>
        <w:tc>
          <w:tcPr>
            <w:tcW w:w="1089" w:type="pct"/>
            <w:noWrap w:val="0"/>
            <w:vAlign w:val="center"/>
          </w:tcPr>
          <w:p>
            <w:pPr>
              <w:pStyle w:val="15"/>
              <w:rPr>
                <w:rFonts w:hint="default" w:ascii="Times New Roman" w:hAnsi="Times New Roman" w:eastAsia="宋体"/>
                <w:color w:val="auto"/>
                <w:kern w:val="2"/>
                <w:sz w:val="21"/>
                <w:szCs w:val="21"/>
                <w:highlight w:val="none"/>
                <w:lang w:val="en-US" w:eastAsia="zh-CN"/>
              </w:rPr>
            </w:pPr>
            <w:r>
              <w:rPr>
                <w:rFonts w:hint="eastAsia" w:ascii="Times New Roman" w:hAnsi="Times New Roman" w:eastAsia="宋体"/>
                <w:color w:val="auto"/>
                <w:kern w:val="2"/>
                <w:sz w:val="21"/>
                <w:szCs w:val="21"/>
                <w:highlight w:val="none"/>
              </w:rPr>
              <w:t>总建筑面积相比原</w:t>
            </w:r>
            <w:r>
              <w:rPr>
                <w:rFonts w:hint="eastAsia" w:ascii="Times New Roman" w:hAnsi="Times New Roman" w:eastAsia="宋体"/>
                <w:color w:val="auto"/>
                <w:kern w:val="2"/>
                <w:sz w:val="21"/>
                <w:szCs w:val="21"/>
                <w:highlight w:val="none"/>
                <w:lang w:val="en-US" w:eastAsia="zh-CN"/>
              </w:rPr>
              <w:t>计划减少32.28</w:t>
            </w:r>
            <w:r>
              <w:rPr>
                <w:rFonts w:hint="eastAsia" w:ascii="Times New Roman" w:hAnsi="Times New Roman" w:eastAsia="宋体"/>
                <w:color w:val="auto"/>
                <w:kern w:val="2"/>
                <w:sz w:val="21"/>
                <w:szCs w:val="21"/>
                <w:highlight w:val="none"/>
              </w:rPr>
              <w:t>m</w:t>
            </w:r>
            <w:r>
              <w:rPr>
                <w:rFonts w:hint="eastAsia" w:ascii="Times New Roman" w:hAnsi="Times New Roman" w:eastAsia="宋体"/>
                <w:color w:val="auto"/>
                <w:kern w:val="2"/>
                <w:sz w:val="21"/>
                <w:szCs w:val="21"/>
                <w:highlight w:val="none"/>
                <w:vertAlign w:val="superscript"/>
              </w:rPr>
              <w:t>2</w:t>
            </w:r>
            <w:r>
              <w:rPr>
                <w:rFonts w:hint="eastAsia" w:ascii="Times New Roman" w:hAnsi="Times New Roman" w:eastAsia="宋体"/>
                <w:color w:val="auto"/>
                <w:kern w:val="2"/>
                <w:sz w:val="21"/>
                <w:szCs w:val="21"/>
                <w:highlight w:val="none"/>
              </w:rPr>
              <w:t>，</w:t>
            </w:r>
            <w:r>
              <w:rPr>
                <w:rFonts w:hint="eastAsia" w:ascii="Times New Roman" w:hAnsi="Times New Roman" w:eastAsia="宋体"/>
                <w:color w:val="auto"/>
                <w:kern w:val="2"/>
                <w:sz w:val="21"/>
                <w:szCs w:val="21"/>
                <w:highlight w:val="none"/>
                <w:lang w:val="en-US" w:eastAsia="zh-CN"/>
              </w:rPr>
              <w:t>减少</w:t>
            </w:r>
            <w:r>
              <w:rPr>
                <w:rFonts w:hint="eastAsia" w:ascii="Times New Roman" w:hAnsi="Times New Roman" w:eastAsia="宋体"/>
                <w:color w:val="auto"/>
                <w:kern w:val="2"/>
                <w:sz w:val="21"/>
                <w:szCs w:val="21"/>
                <w:highlight w:val="none"/>
              </w:rPr>
              <w:t>比例为</w:t>
            </w:r>
            <w:r>
              <w:rPr>
                <w:rFonts w:hint="eastAsia" w:ascii="Times New Roman" w:hAnsi="Times New Roman" w:eastAsia="宋体"/>
                <w:color w:val="auto"/>
                <w:kern w:val="2"/>
                <w:sz w:val="21"/>
                <w:szCs w:val="21"/>
                <w:highlight w:val="none"/>
                <w:lang w:val="en-US" w:eastAsia="zh-CN"/>
              </w:rPr>
              <w:t>0.01</w:t>
            </w:r>
            <w:r>
              <w:rPr>
                <w:rFonts w:hint="eastAsia" w:ascii="Times New Roman" w:hAnsi="Times New Roman" w:eastAsia="宋体"/>
                <w:color w:val="auto"/>
                <w:kern w:val="2"/>
                <w:sz w:val="21"/>
                <w:szCs w:val="21"/>
                <w:highlight w:val="none"/>
              </w:rPr>
              <w:t>%；</w:t>
            </w:r>
          </w:p>
        </w:tc>
        <w:tc>
          <w:tcPr>
            <w:tcW w:w="977" w:type="pct"/>
            <w:noWrap w:val="0"/>
            <w:vAlign w:val="center"/>
          </w:tcPr>
          <w:p>
            <w:pPr>
              <w:pStyle w:val="15"/>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变动小于30%，不属于重大变动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578"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地点</w:t>
            </w:r>
          </w:p>
        </w:tc>
        <w:tc>
          <w:tcPr>
            <w:tcW w:w="2354" w:type="pct"/>
            <w:noWrap w:val="0"/>
            <w:vAlign w:val="center"/>
          </w:tcPr>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5）项目重新选址。</w:t>
            </w:r>
          </w:p>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6）在原厂址内调整（包括总平面布置或生产装置发生变化）导致不利环境影响显著增加。</w:t>
            </w:r>
          </w:p>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7）防护距离边界发生变化并新增了敏感点。</w:t>
            </w:r>
          </w:p>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8）厂外管线路由调整，穿越新的环境敏感区；在现有环境敏感区内路由发生变动且环境影响或环境风险显著增大。</w:t>
            </w:r>
          </w:p>
        </w:tc>
        <w:tc>
          <w:tcPr>
            <w:tcW w:w="1089" w:type="pct"/>
            <w:noWrap w:val="0"/>
            <w:vAlign w:val="center"/>
          </w:tcPr>
          <w:p>
            <w:pPr>
              <w:pStyle w:val="15"/>
              <w:rPr>
                <w:rFonts w:hint="eastAsia" w:ascii="Times New Roman" w:hAnsi="Times New Roman" w:eastAsia="宋体"/>
                <w:color w:val="auto"/>
                <w:kern w:val="2"/>
                <w:sz w:val="21"/>
                <w:szCs w:val="21"/>
                <w:highlight w:val="none"/>
                <w:lang w:eastAsia="zh-CN"/>
              </w:rPr>
            </w:pPr>
            <w:r>
              <w:rPr>
                <w:rFonts w:hint="eastAsia" w:ascii="Times New Roman" w:hAnsi="Times New Roman" w:eastAsia="宋体"/>
                <w:color w:val="auto"/>
                <w:kern w:val="2"/>
                <w:sz w:val="21"/>
                <w:szCs w:val="21"/>
                <w:highlight w:val="none"/>
                <w:lang w:val="en-US" w:eastAsia="zh-CN"/>
              </w:rPr>
              <w:t>不变</w:t>
            </w:r>
          </w:p>
        </w:tc>
        <w:tc>
          <w:tcPr>
            <w:tcW w:w="977"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78"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生产工艺</w:t>
            </w:r>
          </w:p>
        </w:tc>
        <w:tc>
          <w:tcPr>
            <w:tcW w:w="2354" w:type="pct"/>
            <w:noWrap w:val="0"/>
            <w:vAlign w:val="center"/>
          </w:tcPr>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9）主要生产装置类型、主要原辅材料类型、主要燃料类型、以及其他生产工艺和技术调整且导致新增污染因子或污染物排放量增加。</w:t>
            </w:r>
          </w:p>
        </w:tc>
        <w:tc>
          <w:tcPr>
            <w:tcW w:w="1089" w:type="pct"/>
            <w:noWrap w:val="0"/>
            <w:vAlign w:val="center"/>
          </w:tcPr>
          <w:p>
            <w:pPr>
              <w:pStyle w:val="15"/>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不涉及</w:t>
            </w:r>
          </w:p>
        </w:tc>
        <w:tc>
          <w:tcPr>
            <w:tcW w:w="977"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578"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环境保护措施</w:t>
            </w:r>
          </w:p>
        </w:tc>
        <w:tc>
          <w:tcPr>
            <w:tcW w:w="2354" w:type="pct"/>
            <w:noWrap w:val="0"/>
            <w:vAlign w:val="center"/>
          </w:tcPr>
          <w:p>
            <w:pPr>
              <w:pStyle w:val="15"/>
              <w:jc w:val="left"/>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10）污染防治措施的工艺、规模、处置去向、排放形式等调整，导致新增污染因子或污染物排放量、范围或强度增加；其他可能导致环境影响或环境风险增大的环保措施变动。</w:t>
            </w:r>
          </w:p>
        </w:tc>
        <w:tc>
          <w:tcPr>
            <w:tcW w:w="1089" w:type="pct"/>
            <w:noWrap w:val="0"/>
            <w:vAlign w:val="center"/>
          </w:tcPr>
          <w:p>
            <w:pPr>
              <w:pStyle w:val="15"/>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rPr>
              <w:t>不涉及</w:t>
            </w:r>
          </w:p>
        </w:tc>
        <w:tc>
          <w:tcPr>
            <w:tcW w:w="977" w:type="pct"/>
            <w:noWrap w:val="0"/>
            <w:vAlign w:val="center"/>
          </w:tcPr>
          <w:p>
            <w:pPr>
              <w:pStyle w:val="15"/>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其他</w:t>
            </w:r>
          </w:p>
        </w:tc>
        <w:tc>
          <w:tcPr>
            <w:tcW w:w="2354" w:type="pct"/>
            <w:noWrap w:val="0"/>
            <w:vAlign w:val="center"/>
          </w:tcPr>
          <w:p>
            <w:pPr>
              <w:pStyle w:val="1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w:t>
            </w:r>
          </w:p>
        </w:tc>
        <w:tc>
          <w:tcPr>
            <w:tcW w:w="1089" w:type="pct"/>
            <w:noWrap w:val="0"/>
            <w:vAlign w:val="center"/>
          </w:tcPr>
          <w:p>
            <w:pPr>
              <w:pStyle w:val="15"/>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w:t>
            </w:r>
          </w:p>
        </w:tc>
        <w:tc>
          <w:tcPr>
            <w:tcW w:w="977" w:type="pct"/>
            <w:noWrap w:val="0"/>
            <w:vAlign w:val="center"/>
          </w:tcPr>
          <w:p>
            <w:pPr>
              <w:pStyle w:val="15"/>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w:t>
            </w:r>
            <w:r>
              <w:rPr>
                <w:rFonts w:ascii="Times New Roman" w:hAnsi="Times New Roman" w:eastAsia="宋体"/>
                <w:color w:val="auto"/>
                <w:kern w:val="2"/>
                <w:sz w:val="21"/>
                <w:szCs w:val="21"/>
                <w:highlight w:val="none"/>
              </w:rPr>
              <w:t xml:space="preserve">  </w:t>
            </w:r>
          </w:p>
        </w:tc>
      </w:tr>
    </w:tbl>
    <w:p>
      <w:pPr>
        <w:pStyle w:val="3"/>
        <w:rPr>
          <w:rFonts w:hint="eastAsia"/>
          <w:color w:val="auto"/>
          <w:highlight w:val="none"/>
        </w:rPr>
      </w:pPr>
      <w:bookmarkStart w:id="41" w:name="_Toc5151"/>
      <w:bookmarkStart w:id="42" w:name="_Toc17838"/>
      <w:bookmarkStart w:id="43" w:name="_Toc4204"/>
      <w:r>
        <w:rPr>
          <w:rFonts w:hint="eastAsia"/>
          <w:color w:val="auto"/>
          <w:highlight w:val="none"/>
        </w:rPr>
        <w:t>3.4项目验收工况</w:t>
      </w:r>
      <w:bookmarkEnd w:id="41"/>
      <w:bookmarkEnd w:id="42"/>
      <w:bookmarkEnd w:id="43"/>
    </w:p>
    <w:p>
      <w:pPr>
        <w:ind w:firstLine="560" w:firstLineChars="200"/>
        <w:rPr>
          <w:rFonts w:hint="eastAsia"/>
          <w:color w:val="auto"/>
          <w:highlight w:val="none"/>
        </w:rPr>
      </w:pPr>
      <w:r>
        <w:rPr>
          <w:rFonts w:hint="eastAsia"/>
          <w:color w:val="auto"/>
          <w:highlight w:val="none"/>
        </w:rPr>
        <w:t>2021年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8日</w:t>
      </w:r>
      <w:r>
        <w:rPr>
          <w:rFonts w:hint="eastAsia"/>
          <w:color w:val="auto"/>
          <w:highlight w:val="none"/>
        </w:rPr>
        <w:t>，苏州市苏州茂龙地产发展有限公司苏地2017-WG-82号地块项目</w:t>
      </w:r>
      <w:r>
        <w:rPr>
          <w:rFonts w:hint="eastAsia"/>
          <w:color w:val="auto"/>
          <w:highlight w:val="none"/>
          <w:lang w:eastAsia="zh-CN"/>
        </w:rPr>
        <w:t>（</w:t>
      </w:r>
      <w:r>
        <w:rPr>
          <w:rFonts w:hint="eastAsia"/>
          <w:color w:val="auto"/>
          <w:highlight w:val="none"/>
          <w:lang w:val="en-US" w:eastAsia="zh-CN"/>
        </w:rPr>
        <w:t>地块一</w:t>
      </w:r>
      <w:r>
        <w:rPr>
          <w:rFonts w:hint="eastAsia"/>
          <w:color w:val="auto"/>
          <w:highlight w:val="none"/>
          <w:lang w:eastAsia="zh-CN"/>
        </w:rPr>
        <w:t>）</w:t>
      </w:r>
      <w:r>
        <w:rPr>
          <w:rFonts w:hint="eastAsia"/>
          <w:color w:val="auto"/>
          <w:highlight w:val="none"/>
          <w:lang w:val="en-US" w:eastAsia="zh-CN"/>
        </w:rPr>
        <w:t>建设项目</w:t>
      </w:r>
      <w:r>
        <w:rPr>
          <w:rFonts w:hint="eastAsia"/>
          <w:color w:val="auto"/>
          <w:highlight w:val="none"/>
        </w:rPr>
        <w:t>基本完成，因此，苏州茂龙地产发展有限公司自行组织对项目建设进行竣工环境保护验收。</w:t>
      </w:r>
    </w:p>
    <w:p>
      <w:pPr>
        <w:bidi w:val="0"/>
        <w:ind w:firstLine="560" w:firstLineChars="200"/>
        <w:rPr>
          <w:rFonts w:hint="eastAsia"/>
          <w:color w:val="auto"/>
          <w:highlight w:val="none"/>
        </w:rPr>
      </w:pPr>
      <w:r>
        <w:rPr>
          <w:rFonts w:hint="eastAsia"/>
          <w:color w:val="auto"/>
          <w:highlight w:val="none"/>
        </w:rPr>
        <w:t>本次验收调查范围：</w:t>
      </w:r>
      <w:r>
        <w:rPr>
          <w:rFonts w:hint="eastAsia"/>
          <w:color w:val="auto"/>
          <w:highlight w:val="none"/>
          <w:lang w:val="en-US" w:eastAsia="zh-CN"/>
        </w:rPr>
        <w:t>包括建设5栋住宅、1栋物业配套用房、2个变电所、2个门卫</w:t>
      </w:r>
      <w:r>
        <w:rPr>
          <w:rFonts w:hint="eastAsia"/>
          <w:color w:val="auto"/>
          <w:highlight w:val="none"/>
        </w:rPr>
        <w:t>，</w:t>
      </w:r>
      <w:r>
        <w:rPr>
          <w:rFonts w:hint="eastAsia"/>
          <w:color w:val="auto"/>
          <w:highlight w:val="none"/>
          <w:lang w:val="en-US" w:eastAsia="zh-CN"/>
        </w:rPr>
        <w:t>实测</w:t>
      </w:r>
      <w:r>
        <w:rPr>
          <w:rFonts w:hint="eastAsia"/>
          <w:color w:val="auto"/>
          <w:highlight w:val="none"/>
        </w:rPr>
        <w:t>总建筑面积为68567.89平方米。</w:t>
      </w:r>
    </w:p>
    <w:p>
      <w:pPr>
        <w:rPr>
          <w:rFonts w:hint="eastAsia"/>
          <w:color w:val="auto"/>
          <w:highlight w:val="none"/>
        </w:rPr>
      </w:pPr>
      <w:r>
        <w:rPr>
          <w:rFonts w:hint="eastAsia"/>
          <w:color w:val="auto"/>
          <w:highlight w:val="none"/>
        </w:rPr>
        <w:br w:type="page"/>
      </w:r>
    </w:p>
    <w:p>
      <w:pPr>
        <w:pStyle w:val="2"/>
        <w:rPr>
          <w:color w:val="auto"/>
          <w:highlight w:val="none"/>
        </w:rPr>
      </w:pPr>
      <w:bookmarkStart w:id="44" w:name="_Toc26713"/>
      <w:bookmarkStart w:id="45" w:name="_Toc29695"/>
      <w:bookmarkStart w:id="46" w:name="_Toc684"/>
      <w:r>
        <w:rPr>
          <w:rFonts w:hint="eastAsia"/>
          <w:color w:val="auto"/>
          <w:highlight w:val="none"/>
        </w:rPr>
        <w:t>4</w:t>
      </w:r>
      <w:r>
        <w:rPr>
          <w:rFonts w:hint="eastAsia"/>
          <w:color w:val="auto"/>
          <w:highlight w:val="none"/>
          <w:lang w:val="en-US" w:eastAsia="zh-CN"/>
        </w:rPr>
        <w:t>建设项目环境影响登记表</w:t>
      </w:r>
      <w:bookmarkEnd w:id="44"/>
      <w:bookmarkEnd w:id="45"/>
      <w:bookmarkEnd w:id="46"/>
    </w:p>
    <w:p>
      <w:pPr>
        <w:bidi w:val="0"/>
        <w:ind w:firstLine="560" w:firstLineChars="200"/>
        <w:rPr>
          <w:rFonts w:hint="eastAsia"/>
          <w:color w:val="auto"/>
          <w:highlight w:val="none"/>
          <w:lang w:val="en-US" w:eastAsia="zh-CN"/>
        </w:rPr>
      </w:pPr>
      <w:r>
        <w:rPr>
          <w:color w:val="auto"/>
          <w:highlight w:val="none"/>
        </w:rPr>
        <w:t>20</w:t>
      </w:r>
      <w:r>
        <w:rPr>
          <w:rFonts w:hint="eastAsia"/>
          <w:color w:val="auto"/>
          <w:highlight w:val="none"/>
          <w:lang w:val="en-US" w:eastAsia="zh-CN"/>
        </w:rPr>
        <w:t>18</w:t>
      </w:r>
      <w:r>
        <w:rPr>
          <w:color w:val="auto"/>
          <w:highlight w:val="none"/>
        </w:rPr>
        <w:t>年</w:t>
      </w:r>
      <w:r>
        <w:rPr>
          <w:rFonts w:hint="eastAsia"/>
          <w:color w:val="auto"/>
          <w:highlight w:val="none"/>
          <w:lang w:val="en-US" w:eastAsia="zh-CN"/>
        </w:rPr>
        <w:t>7</w:t>
      </w:r>
      <w:r>
        <w:rPr>
          <w:color w:val="auto"/>
          <w:highlight w:val="none"/>
        </w:rPr>
        <w:t>月建设单位</w:t>
      </w:r>
      <w:r>
        <w:rPr>
          <w:rFonts w:hint="eastAsia"/>
          <w:color w:val="auto"/>
          <w:highlight w:val="none"/>
          <w:lang w:val="en-US" w:eastAsia="zh-CN"/>
        </w:rPr>
        <w:t>自行取得</w:t>
      </w:r>
      <w:r>
        <w:rPr>
          <w:rFonts w:hint="eastAsia"/>
          <w:color w:val="auto"/>
          <w:highlight w:val="none"/>
        </w:rPr>
        <w:t>苏州市苏州茂龙地产发展有限公司苏地2017-WG-82号地块项目</w:t>
      </w:r>
      <w:r>
        <w:rPr>
          <w:rFonts w:hint="eastAsia"/>
          <w:color w:val="auto"/>
          <w:highlight w:val="none"/>
          <w:lang w:val="en-US" w:eastAsia="zh-CN"/>
        </w:rPr>
        <w:t>建设项目环境影响登记表</w:t>
      </w:r>
      <w:r>
        <w:rPr>
          <w:color w:val="auto"/>
          <w:highlight w:val="none"/>
        </w:rPr>
        <w:t>，</w:t>
      </w:r>
      <w:r>
        <w:rPr>
          <w:rFonts w:hint="eastAsia"/>
          <w:color w:val="auto"/>
          <w:highlight w:val="none"/>
          <w:lang w:val="en-US" w:eastAsia="zh-CN"/>
        </w:rPr>
        <w:t>备案号</w:t>
      </w:r>
      <w:r>
        <w:rPr>
          <w:color w:val="auto"/>
          <w:highlight w:val="none"/>
        </w:rPr>
        <w:t>：</w:t>
      </w:r>
      <w:r>
        <w:rPr>
          <w:rFonts w:hint="eastAsia"/>
          <w:color w:val="auto"/>
          <w:highlight w:val="none"/>
          <w:lang w:val="en-US" w:eastAsia="zh-CN"/>
        </w:rPr>
        <w:t>201832050500000393</w:t>
      </w:r>
      <w:r>
        <w:rPr>
          <w:color w:val="auto"/>
          <w:highlight w:val="none"/>
        </w:rPr>
        <w:t>。</w:t>
      </w:r>
    </w:p>
    <w:p>
      <w:pPr>
        <w:bidi w:val="0"/>
        <w:jc w:val="cente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59264" behindDoc="0" locked="0" layoutInCell="1" allowOverlap="1">
            <wp:simplePos x="0" y="0"/>
            <wp:positionH relativeFrom="column">
              <wp:posOffset>494030</wp:posOffset>
            </wp:positionH>
            <wp:positionV relativeFrom="paragraph">
              <wp:posOffset>6130290</wp:posOffset>
            </wp:positionV>
            <wp:extent cx="4195445" cy="1152525"/>
            <wp:effectExtent l="0" t="0" r="14605" b="9525"/>
            <wp:wrapNone/>
            <wp:docPr id="2" name="图片 2" descr="82项目环评登记表(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2项目环评登记表(1)_01"/>
                    <pic:cNvPicPr>
                      <a:picLocks noChangeAspect="1"/>
                    </pic:cNvPicPr>
                  </pic:nvPicPr>
                  <pic:blipFill>
                    <a:blip r:embed="rId5"/>
                    <a:srcRect l="7950" t="4212" r="7589" b="79397"/>
                    <a:stretch>
                      <a:fillRect/>
                    </a:stretch>
                  </pic:blipFill>
                  <pic:spPr>
                    <a:xfrm>
                      <a:off x="0" y="0"/>
                      <a:ext cx="4195445" cy="1152525"/>
                    </a:xfrm>
                    <a:prstGeom prst="rect">
                      <a:avLst/>
                    </a:prstGeom>
                  </pic:spPr>
                </pic:pic>
              </a:graphicData>
            </a:graphic>
          </wp:anchor>
        </w:drawing>
      </w:r>
      <w:r>
        <w:rPr>
          <w:rFonts w:hint="eastAsia"/>
          <w:color w:val="auto"/>
          <w:highlight w:val="none"/>
          <w:lang w:val="en-US" w:eastAsia="zh-CN"/>
        </w:rPr>
        <w:drawing>
          <wp:inline distT="0" distB="0" distL="114300" distR="114300">
            <wp:extent cx="4395470" cy="6409690"/>
            <wp:effectExtent l="0" t="0" r="5080" b="10160"/>
            <wp:docPr id="1" name="图片 1" descr="82项目环评登记表(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2项目环评登记表(1)_00"/>
                    <pic:cNvPicPr>
                      <a:picLocks noChangeAspect="1"/>
                    </pic:cNvPicPr>
                  </pic:nvPicPr>
                  <pic:blipFill>
                    <a:blip r:embed="rId6"/>
                    <a:srcRect l="8853" t="7787" r="5601" b="4085"/>
                    <a:stretch>
                      <a:fillRect/>
                    </a:stretch>
                  </pic:blipFill>
                  <pic:spPr>
                    <a:xfrm>
                      <a:off x="0" y="0"/>
                      <a:ext cx="4395470" cy="6409690"/>
                    </a:xfrm>
                    <a:prstGeom prst="rect">
                      <a:avLst/>
                    </a:prstGeom>
                  </pic:spPr>
                </pic:pic>
              </a:graphicData>
            </a:graphic>
          </wp:inline>
        </w:drawing>
      </w:r>
    </w:p>
    <w:p>
      <w:pPr>
        <w:rPr>
          <w:rFonts w:hint="eastAsia"/>
          <w:color w:val="auto"/>
          <w:highlight w:val="none"/>
          <w:lang w:val="en-US" w:eastAsia="zh-CN"/>
        </w:rPr>
      </w:pPr>
      <w:r>
        <w:rPr>
          <w:rFonts w:hint="eastAsia"/>
          <w:color w:val="auto"/>
          <w:highlight w:val="none"/>
          <w:lang w:val="en-US" w:eastAsia="zh-CN"/>
        </w:rPr>
        <w:br w:type="page"/>
      </w:r>
    </w:p>
    <w:p>
      <w:pPr>
        <w:bidi w:val="0"/>
        <w:rPr>
          <w:rFonts w:hint="eastAsia"/>
          <w:lang w:val="en-US" w:eastAsia="zh-CN"/>
        </w:rPr>
      </w:pPr>
    </w:p>
    <w:p>
      <w:pPr>
        <w:pStyle w:val="2"/>
        <w:rPr>
          <w:rFonts w:hint="eastAsia"/>
          <w:color w:val="auto"/>
          <w:highlight w:val="none"/>
        </w:rPr>
      </w:pPr>
      <w:bookmarkStart w:id="47" w:name="_Toc32676"/>
      <w:bookmarkStart w:id="48" w:name="_Toc20229"/>
      <w:bookmarkStart w:id="49" w:name="_Toc7473"/>
      <w:r>
        <w:rPr>
          <w:rFonts w:hint="eastAsia"/>
          <w:color w:val="auto"/>
          <w:highlight w:val="none"/>
          <w:lang w:val="en-US" w:eastAsia="zh-CN"/>
        </w:rPr>
        <w:t>5</w:t>
      </w:r>
      <w:r>
        <w:rPr>
          <w:rFonts w:hint="eastAsia"/>
          <w:color w:val="auto"/>
          <w:highlight w:val="none"/>
        </w:rPr>
        <w:t>环境保护设施调查</w:t>
      </w:r>
      <w:bookmarkEnd w:id="47"/>
      <w:bookmarkEnd w:id="48"/>
      <w:bookmarkEnd w:id="49"/>
    </w:p>
    <w:p>
      <w:pPr>
        <w:pStyle w:val="3"/>
        <w:rPr>
          <w:rFonts w:hint="eastAsia"/>
          <w:color w:val="auto"/>
          <w:highlight w:val="none"/>
        </w:rPr>
      </w:pPr>
      <w:bookmarkStart w:id="50" w:name="_Toc12626"/>
      <w:bookmarkStart w:id="51" w:name="_Toc17996"/>
      <w:bookmarkStart w:id="52" w:name="_Toc20052"/>
      <w:r>
        <w:rPr>
          <w:rFonts w:hint="eastAsia"/>
          <w:color w:val="auto"/>
          <w:highlight w:val="none"/>
          <w:lang w:val="en-US" w:eastAsia="zh-CN"/>
        </w:rPr>
        <w:t>5</w:t>
      </w:r>
      <w:r>
        <w:rPr>
          <w:rFonts w:hint="eastAsia"/>
          <w:color w:val="auto"/>
          <w:highlight w:val="none"/>
        </w:rPr>
        <w:t>.1生态保护工程和设施</w:t>
      </w:r>
      <w:bookmarkEnd w:id="50"/>
      <w:bookmarkEnd w:id="51"/>
      <w:bookmarkEnd w:id="52"/>
    </w:p>
    <w:p>
      <w:pPr>
        <w:rPr>
          <w:rFonts w:hint="eastAsia"/>
          <w:color w:val="auto"/>
          <w:highlight w:val="none"/>
        </w:rPr>
      </w:pPr>
      <w:r>
        <w:rPr>
          <w:rFonts w:hint="eastAsia"/>
          <w:color w:val="auto"/>
          <w:highlight w:val="none"/>
        </w:rPr>
        <w:t>1）项目工程完工后，在裸露地面做好了植被的恢复，减少水土流失。</w:t>
      </w:r>
    </w:p>
    <w:p>
      <w:pPr>
        <w:rPr>
          <w:rFonts w:hint="eastAsia"/>
          <w:color w:val="auto"/>
          <w:highlight w:val="none"/>
        </w:rPr>
      </w:pPr>
      <w:r>
        <w:rPr>
          <w:rFonts w:hint="eastAsia"/>
          <w:color w:val="auto"/>
          <w:highlight w:val="none"/>
        </w:rPr>
        <w:t>2）为了减少水土流失对周边环境的影响，在临时排水沟集水排出项目区前设置沉沙池，项目区内排水经沉沙达到标准后排入项目所设的排水系统中。</w:t>
      </w:r>
    </w:p>
    <w:p>
      <w:pPr>
        <w:rPr>
          <w:rFonts w:hint="eastAsia"/>
          <w:color w:val="auto"/>
          <w:highlight w:val="none"/>
        </w:rPr>
      </w:pPr>
      <w:r>
        <w:rPr>
          <w:rFonts w:hint="eastAsia"/>
          <w:color w:val="auto"/>
          <w:highlight w:val="none"/>
        </w:rPr>
        <w:t>3）土地整治工程：在项目基建施工中的弃土、弃石，首先应利用挖方作填方，在工程设计上“挖填平”，对建设施工过程中形成的坑凹地，利用废弃土石料回填整平，并在表层进行覆土，加以改造利用。</w:t>
      </w:r>
    </w:p>
    <w:p>
      <w:pPr>
        <w:pStyle w:val="3"/>
        <w:rPr>
          <w:rFonts w:hint="eastAsia" w:eastAsia="宋体"/>
          <w:lang w:eastAsia="zh-CN"/>
        </w:rPr>
      </w:pPr>
      <w:bookmarkStart w:id="53" w:name="_Toc29467"/>
      <w:bookmarkStart w:id="54" w:name="_Toc4007"/>
      <w:r>
        <w:rPr>
          <w:rFonts w:hint="eastAsia"/>
          <w:color w:val="auto"/>
          <w:highlight w:val="none"/>
          <w:lang w:val="en-US" w:eastAsia="zh-CN"/>
        </w:rPr>
        <w:t>5</w:t>
      </w:r>
      <w:r>
        <w:rPr>
          <w:rFonts w:hint="eastAsia"/>
          <w:color w:val="auto"/>
          <w:highlight w:val="none"/>
        </w:rPr>
        <w:t>.2污染防治设施和处置设施</w:t>
      </w:r>
      <w:bookmarkEnd w:id="53"/>
      <w:bookmarkEnd w:id="54"/>
    </w:p>
    <w:p>
      <w:pPr>
        <w:pStyle w:val="4"/>
        <w:rPr>
          <w:rFonts w:hint="eastAsia"/>
          <w:color w:val="auto"/>
          <w:highlight w:val="none"/>
        </w:rPr>
      </w:pPr>
      <w:bookmarkStart w:id="55" w:name="_Toc24881"/>
      <w:bookmarkStart w:id="56" w:name="_Toc4523"/>
      <w:bookmarkStart w:id="57" w:name="_Toc12953"/>
      <w:r>
        <w:rPr>
          <w:rFonts w:hint="eastAsia"/>
          <w:color w:val="auto"/>
          <w:highlight w:val="none"/>
          <w:lang w:val="en-US" w:eastAsia="zh-CN"/>
        </w:rPr>
        <w:t>5</w:t>
      </w:r>
      <w:r>
        <w:rPr>
          <w:rFonts w:hint="eastAsia"/>
          <w:color w:val="auto"/>
          <w:highlight w:val="none"/>
        </w:rPr>
        <w:t>.2.1大气污染防治措施</w:t>
      </w:r>
      <w:bookmarkEnd w:id="55"/>
      <w:bookmarkEnd w:id="56"/>
      <w:bookmarkEnd w:id="57"/>
    </w:p>
    <w:p>
      <w:pPr>
        <w:ind w:firstLine="560" w:firstLineChars="200"/>
        <w:rPr>
          <w:color w:val="auto"/>
          <w:highlight w:val="none"/>
        </w:rPr>
      </w:pPr>
      <w:r>
        <w:rPr>
          <w:rFonts w:hint="eastAsia"/>
          <w:color w:val="auto"/>
          <w:highlight w:val="none"/>
        </w:rPr>
        <w:t>本次</w:t>
      </w:r>
      <w:r>
        <w:rPr>
          <w:color w:val="auto"/>
          <w:highlight w:val="none"/>
        </w:rPr>
        <w:t>拟建项目营运期间所受到的大气污染主要来自项目机动车尾气排放影响。为营造项目区良好的办公环境，确保大气污染物的达标排放，建设单位将采取以下大气污染防治措施：</w:t>
      </w:r>
    </w:p>
    <w:p>
      <w:pPr>
        <w:rPr>
          <w:b/>
          <w:bCs/>
          <w:color w:val="auto"/>
          <w:highlight w:val="none"/>
        </w:rPr>
      </w:pPr>
      <w:r>
        <w:rPr>
          <w:rFonts w:hint="eastAsia"/>
          <w:b/>
          <w:bCs/>
          <w:color w:val="auto"/>
          <w:highlight w:val="none"/>
        </w:rPr>
        <w:t>1）</w:t>
      </w:r>
      <w:r>
        <w:rPr>
          <w:b/>
          <w:bCs/>
          <w:color w:val="auto"/>
          <w:highlight w:val="none"/>
        </w:rPr>
        <w:t>汽车尾气治理措施</w:t>
      </w:r>
    </w:p>
    <w:p>
      <w:pPr>
        <w:rPr>
          <w:color w:val="auto"/>
          <w:highlight w:val="none"/>
        </w:rPr>
      </w:pPr>
      <w:r>
        <w:rPr>
          <w:rFonts w:hint="eastAsia"/>
          <w:color w:val="auto"/>
          <w:highlight w:val="none"/>
        </w:rPr>
        <w:t>①</w:t>
      </w:r>
      <w:r>
        <w:rPr>
          <w:rFonts w:hint="eastAsia"/>
          <w:color w:val="auto"/>
          <w:highlight w:val="none"/>
          <w:lang w:val="en-US" w:eastAsia="zh-CN"/>
        </w:rPr>
        <w:t>地下车库</w:t>
      </w:r>
      <w:r>
        <w:rPr>
          <w:color w:val="auto"/>
          <w:highlight w:val="none"/>
        </w:rPr>
        <w:t>停车：属于无组织排放，由于进出汽车启动时间较短，废气扩散也较为容易，对周围环境影响较小；</w:t>
      </w:r>
    </w:p>
    <w:p>
      <w:pPr>
        <w:rPr>
          <w:color w:val="auto"/>
          <w:highlight w:val="none"/>
        </w:rPr>
      </w:pPr>
      <w:r>
        <w:rPr>
          <w:rFonts w:hint="eastAsia"/>
          <w:color w:val="auto"/>
          <w:highlight w:val="none"/>
        </w:rPr>
        <w:t>②</w:t>
      </w:r>
      <w:r>
        <w:rPr>
          <w:color w:val="auto"/>
          <w:highlight w:val="none"/>
        </w:rPr>
        <w:t>为减轻汽车尾气排放的影响，最有效的措施是加强项目周边的绿化建设，选择具有防尘功能的速生树种。经常清扫路面，保持道路的清洁，减少扬尘污染；</w:t>
      </w:r>
    </w:p>
    <w:p>
      <w:pPr>
        <w:rPr>
          <w:color w:val="auto"/>
          <w:highlight w:val="none"/>
        </w:rPr>
      </w:pPr>
      <w:r>
        <w:rPr>
          <w:rFonts w:hint="eastAsia"/>
          <w:color w:val="auto"/>
          <w:highlight w:val="none"/>
        </w:rPr>
        <w:t>③</w:t>
      </w:r>
      <w:r>
        <w:rPr>
          <w:color w:val="auto"/>
          <w:highlight w:val="none"/>
        </w:rPr>
        <w:t>设置引导外来车辆停放指示牌，减少怠速行驶。</w:t>
      </w:r>
    </w:p>
    <w:p>
      <w:pPr>
        <w:rPr>
          <w:rFonts w:hint="eastAsia"/>
          <w:b/>
          <w:bCs/>
          <w:color w:val="auto"/>
          <w:highlight w:val="none"/>
        </w:rPr>
      </w:pPr>
      <w:r>
        <w:rPr>
          <w:rFonts w:hint="eastAsia"/>
          <w:b/>
          <w:bCs/>
          <w:color w:val="auto"/>
          <w:highlight w:val="none"/>
        </w:rPr>
        <w:t>2）恶臭污染防治措施</w:t>
      </w:r>
    </w:p>
    <w:p>
      <w:pPr>
        <w:ind w:firstLine="560" w:firstLineChars="200"/>
        <w:rPr>
          <w:color w:val="auto"/>
          <w:highlight w:val="none"/>
        </w:rPr>
      </w:pPr>
      <w:r>
        <w:rPr>
          <w:color w:val="auto"/>
          <w:highlight w:val="none"/>
        </w:rPr>
        <w:t>本项目设1个垃圾</w:t>
      </w:r>
      <w:r>
        <w:rPr>
          <w:rFonts w:hint="eastAsia"/>
          <w:color w:val="auto"/>
          <w:highlight w:val="none"/>
          <w:lang w:val="en-US" w:eastAsia="zh-CN"/>
        </w:rPr>
        <w:t>房</w:t>
      </w:r>
      <w:r>
        <w:rPr>
          <w:color w:val="auto"/>
          <w:highlight w:val="none"/>
        </w:rPr>
        <w:t>，占地面积</w:t>
      </w:r>
      <w:r>
        <w:rPr>
          <w:rFonts w:hint="eastAsia"/>
          <w:color w:val="auto"/>
          <w:highlight w:val="none"/>
          <w:lang w:val="en-US" w:eastAsia="zh-CN"/>
        </w:rPr>
        <w:t>20.36</w:t>
      </w:r>
      <w:r>
        <w:rPr>
          <w:color w:val="auto"/>
          <w:highlight w:val="none"/>
        </w:rPr>
        <w:t>平方米，位于项目本项目内</w:t>
      </w:r>
      <w:r>
        <w:rPr>
          <w:rFonts w:hint="eastAsia"/>
          <w:color w:val="auto"/>
          <w:highlight w:val="none"/>
          <w:lang w:val="en-US" w:eastAsia="zh-CN"/>
        </w:rPr>
        <w:t>西</w:t>
      </w:r>
      <w:r>
        <w:rPr>
          <w:color w:val="auto"/>
          <w:highlight w:val="none"/>
        </w:rPr>
        <w:t>北</w:t>
      </w:r>
      <w:r>
        <w:rPr>
          <w:rFonts w:hint="eastAsia"/>
          <w:color w:val="auto"/>
          <w:highlight w:val="none"/>
          <w:lang w:val="en-US" w:eastAsia="zh-CN"/>
        </w:rPr>
        <w:t>侧</w:t>
      </w:r>
      <w:r>
        <w:rPr>
          <w:color w:val="auto"/>
          <w:highlight w:val="none"/>
        </w:rPr>
        <w:t>地面。为防止垃圾房产生恶臭对周边环境造成污染影响，要求</w:t>
      </w:r>
      <w:r>
        <w:rPr>
          <w:rFonts w:hint="eastAsia"/>
          <w:color w:val="auto"/>
          <w:highlight w:val="none"/>
          <w:lang w:val="en-US" w:eastAsia="zh-CN"/>
        </w:rPr>
        <w:t>物业</w:t>
      </w:r>
      <w:r>
        <w:rPr>
          <w:color w:val="auto"/>
          <w:highlight w:val="none"/>
        </w:rPr>
        <w:t>单位采取以下措施：</w:t>
      </w:r>
    </w:p>
    <w:p>
      <w:pPr>
        <w:rPr>
          <w:color w:val="auto"/>
          <w:highlight w:val="none"/>
        </w:rPr>
      </w:pPr>
      <w:r>
        <w:rPr>
          <w:rFonts w:hint="eastAsia"/>
          <w:color w:val="auto"/>
          <w:highlight w:val="none"/>
        </w:rPr>
        <w:t>①</w:t>
      </w:r>
      <w:r>
        <w:rPr>
          <w:color w:val="auto"/>
          <w:highlight w:val="none"/>
        </w:rPr>
        <w:t>项目内垃圾采用袋装化分类收集，并派专人采用手推车或电动车及时清运垃圾，保持垃圾收集点的良好卫生状况；当日收集的垃圾必须及时清运，禁止垃圾在垃圾收集点内存储过夜；在垃圾收集点设置安装防蝇、防鼠设施；垃圾装车完毕应立即清扫，保证垃圾收集点周边无垃圾；</w:t>
      </w:r>
    </w:p>
    <w:p>
      <w:pPr>
        <w:rPr>
          <w:color w:val="auto"/>
          <w:highlight w:val="none"/>
        </w:rPr>
      </w:pPr>
      <w:r>
        <w:rPr>
          <w:rFonts w:hint="eastAsia"/>
          <w:color w:val="auto"/>
          <w:highlight w:val="none"/>
        </w:rPr>
        <w:t>②</w:t>
      </w:r>
      <w:r>
        <w:rPr>
          <w:color w:val="auto"/>
          <w:highlight w:val="none"/>
        </w:rPr>
        <w:t>建议垃圾收集点配套除臭多功能异味净化装置，抑制臭味的产生，并保持良好 的通风换气；要求严格规范除臭系统使用管理制度，包括除臭剂选用、剂量以及除臭次数等应能满足除臭要求，确保除臭系统正常使用；</w:t>
      </w:r>
    </w:p>
    <w:p>
      <w:pPr>
        <w:rPr>
          <w:color w:val="auto"/>
          <w:highlight w:val="none"/>
        </w:rPr>
      </w:pPr>
      <w:r>
        <w:rPr>
          <w:rFonts w:hint="eastAsia"/>
          <w:color w:val="auto"/>
          <w:highlight w:val="none"/>
        </w:rPr>
        <w:t>③</w:t>
      </w:r>
      <w:r>
        <w:rPr>
          <w:color w:val="auto"/>
          <w:highlight w:val="none"/>
        </w:rPr>
        <w:t>垃圾收集点采用防淋、防渗地面；四周做排水沟，便于收集垃圾收集点地面冲 洗废水；</w:t>
      </w:r>
    </w:p>
    <w:p>
      <w:pPr>
        <w:rPr>
          <w:color w:val="auto"/>
          <w:highlight w:val="none"/>
        </w:rPr>
      </w:pPr>
      <w:r>
        <w:rPr>
          <w:rFonts w:hint="eastAsia"/>
          <w:color w:val="auto"/>
          <w:highlight w:val="none"/>
        </w:rPr>
        <w:t>④</w:t>
      </w:r>
      <w:r>
        <w:rPr>
          <w:color w:val="auto"/>
          <w:highlight w:val="none"/>
        </w:rPr>
        <w:t>保持垃圾收集点良好的通风换气，并于周围设置绿化隔离带，同时在营运过程 加强管理。</w:t>
      </w: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51020" cy="3263900"/>
            <wp:effectExtent l="0" t="0" r="11430" b="12700"/>
            <wp:docPr id="3" name="图片 3" descr="24af5442054789bc14f8cf2d1bba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af5442054789bc14f8cf2d1bba55c"/>
                    <pic:cNvPicPr>
                      <a:picLocks noChangeAspect="1"/>
                    </pic:cNvPicPr>
                  </pic:nvPicPr>
                  <pic:blipFill>
                    <a:blip r:embed="rId7"/>
                    <a:stretch>
                      <a:fillRect/>
                    </a:stretch>
                  </pic:blipFill>
                  <pic:spPr>
                    <a:xfrm>
                      <a:off x="0" y="0"/>
                      <a:ext cx="4351020" cy="3263900"/>
                    </a:xfrm>
                    <a:prstGeom prst="rect">
                      <a:avLst/>
                    </a:prstGeom>
                  </pic:spPr>
                </pic:pic>
              </a:graphicData>
            </a:graphic>
          </wp:inline>
        </w:drawing>
      </w:r>
    </w:p>
    <w:p>
      <w:pPr>
        <w:pStyle w:val="4"/>
        <w:rPr>
          <w:rFonts w:hint="eastAsia"/>
          <w:color w:val="auto"/>
          <w:highlight w:val="none"/>
        </w:rPr>
      </w:pPr>
      <w:bookmarkStart w:id="58" w:name="_Toc6271"/>
      <w:bookmarkStart w:id="59" w:name="_Toc11526"/>
      <w:bookmarkStart w:id="60" w:name="_Toc5343"/>
      <w:r>
        <w:rPr>
          <w:rFonts w:hint="eastAsia"/>
          <w:color w:val="auto"/>
          <w:highlight w:val="none"/>
          <w:lang w:val="en-US" w:eastAsia="zh-CN"/>
        </w:rPr>
        <w:t>5</w:t>
      </w:r>
      <w:r>
        <w:rPr>
          <w:rFonts w:hint="eastAsia"/>
          <w:color w:val="auto"/>
          <w:highlight w:val="none"/>
        </w:rPr>
        <w:t>.2.2水污染防治措施</w:t>
      </w:r>
      <w:bookmarkEnd w:id="58"/>
      <w:bookmarkEnd w:id="59"/>
      <w:bookmarkEnd w:id="60"/>
    </w:p>
    <w:p>
      <w:pPr>
        <w:ind w:firstLine="560" w:firstLineChars="200"/>
        <w:rPr>
          <w:color w:val="auto"/>
          <w:highlight w:val="none"/>
        </w:rPr>
      </w:pPr>
      <w:r>
        <w:rPr>
          <w:color w:val="auto"/>
          <w:highlight w:val="none"/>
        </w:rPr>
        <w:t>本项目营运期产生的废水主要是：</w:t>
      </w:r>
      <w:r>
        <w:rPr>
          <w:rFonts w:hint="eastAsia"/>
          <w:color w:val="auto"/>
          <w:highlight w:val="none"/>
          <w:lang w:val="en-US" w:eastAsia="zh-CN"/>
        </w:rPr>
        <w:t>居民</w:t>
      </w:r>
      <w:r>
        <w:rPr>
          <w:color w:val="auto"/>
          <w:highlight w:val="none"/>
        </w:rPr>
        <w:t>生活污</w:t>
      </w:r>
      <w:r>
        <w:rPr>
          <w:rFonts w:hint="eastAsia"/>
          <w:color w:val="auto"/>
          <w:highlight w:val="none"/>
          <w:lang w:val="en-US" w:eastAsia="zh-CN"/>
        </w:rPr>
        <w:t>水</w:t>
      </w:r>
      <w:r>
        <w:rPr>
          <w:color w:val="auto"/>
          <w:highlight w:val="none"/>
        </w:rPr>
        <w:t>。采取的水污染防治措施主要包括：</w:t>
      </w:r>
    </w:p>
    <w:p>
      <w:pPr>
        <w:bidi w:val="0"/>
        <w:ind w:firstLine="560" w:firstLineChars="200"/>
        <w:jc w:val="both"/>
        <w:rPr>
          <w:color w:val="auto"/>
          <w:highlight w:val="none"/>
        </w:rPr>
      </w:pPr>
      <w:r>
        <w:rPr>
          <w:color w:val="auto"/>
          <w:highlight w:val="none"/>
        </w:rPr>
        <w:t>排水系统采用雨污分流制，屋面雨水(不含地面雨水)经雨水斗、雨水收集管道及项目内室外排水设施等收集后就近排至项目雨水管网。禁止污水接入雨水管道，影响地表水体水质。另外，应提倡节约用水，减少废水排放量。</w:t>
      </w:r>
    </w:p>
    <w:p>
      <w:pPr>
        <w:bidi w:val="0"/>
        <w:jc w:val="center"/>
        <w:rPr>
          <w:rFonts w:hint="eastAsia"/>
          <w:lang w:val="en-US" w:eastAsia="zh-CN"/>
        </w:rPr>
      </w:pPr>
      <w:r>
        <w:rPr>
          <w:rFonts w:hint="eastAsia"/>
          <w:lang w:val="en-US" w:eastAsia="zh-CN"/>
        </w:rPr>
        <w:drawing>
          <wp:inline distT="0" distB="0" distL="114300" distR="114300">
            <wp:extent cx="1877695" cy="2505075"/>
            <wp:effectExtent l="0" t="0" r="8255" b="9525"/>
            <wp:docPr id="5" name="图片 5" descr="ffe710e98883227404b8e3acec03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fe710e98883227404b8e3acec031e4"/>
                    <pic:cNvPicPr>
                      <a:picLocks noChangeAspect="1"/>
                    </pic:cNvPicPr>
                  </pic:nvPicPr>
                  <pic:blipFill>
                    <a:blip r:embed="rId8"/>
                    <a:stretch>
                      <a:fillRect/>
                    </a:stretch>
                  </pic:blipFill>
                  <pic:spPr>
                    <a:xfrm flipH="1">
                      <a:off x="0" y="0"/>
                      <a:ext cx="1877695" cy="250507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78330" cy="2506345"/>
            <wp:effectExtent l="0" t="0" r="7620" b="8255"/>
            <wp:docPr id="6" name="图片 6" descr="66c29efe87107d6a8aa180f99ba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c29efe87107d6a8aa180f99ba8660"/>
                    <pic:cNvPicPr>
                      <a:picLocks noChangeAspect="1"/>
                    </pic:cNvPicPr>
                  </pic:nvPicPr>
                  <pic:blipFill>
                    <a:blip r:embed="rId9"/>
                    <a:stretch>
                      <a:fillRect/>
                    </a:stretch>
                  </pic:blipFill>
                  <pic:spPr>
                    <a:xfrm>
                      <a:off x="0" y="0"/>
                      <a:ext cx="1878330" cy="2506345"/>
                    </a:xfrm>
                    <a:prstGeom prst="rect">
                      <a:avLst/>
                    </a:prstGeom>
                  </pic:spPr>
                </pic:pic>
              </a:graphicData>
            </a:graphic>
          </wp:inline>
        </w:drawing>
      </w:r>
    </w:p>
    <w:p>
      <w:pPr>
        <w:pStyle w:val="3"/>
        <w:rPr>
          <w:rFonts w:hint="eastAsia"/>
          <w:color w:val="auto"/>
          <w:highlight w:val="none"/>
        </w:rPr>
      </w:pPr>
      <w:bookmarkStart w:id="61" w:name="_Toc19825"/>
      <w:bookmarkStart w:id="62" w:name="_Toc1656"/>
      <w:r>
        <w:rPr>
          <w:rFonts w:hint="eastAsia"/>
          <w:color w:val="auto"/>
          <w:highlight w:val="none"/>
          <w:lang w:val="en-US" w:eastAsia="zh-CN"/>
        </w:rPr>
        <w:t>5</w:t>
      </w:r>
      <w:r>
        <w:rPr>
          <w:rFonts w:hint="eastAsia"/>
          <w:color w:val="auto"/>
          <w:highlight w:val="none"/>
        </w:rPr>
        <w:t>.3施工期环境保护措施</w:t>
      </w:r>
      <w:bookmarkEnd w:id="61"/>
      <w:bookmarkEnd w:id="62"/>
    </w:p>
    <w:p>
      <w:pPr>
        <w:suppressAutoHyphens/>
        <w:jc w:val="center"/>
        <w:rPr>
          <w:b/>
          <w:bCs/>
          <w:color w:val="auto"/>
          <w:sz w:val="24"/>
          <w:highlight w:val="none"/>
        </w:rPr>
      </w:pPr>
      <w:r>
        <w:rPr>
          <w:b/>
          <w:bCs/>
          <w:color w:val="auto"/>
          <w:sz w:val="24"/>
          <w:highlight w:val="none"/>
        </w:rPr>
        <w:t>表</w:t>
      </w:r>
      <w:r>
        <w:rPr>
          <w:rFonts w:hint="eastAsia"/>
          <w:b/>
          <w:bCs/>
          <w:color w:val="auto"/>
          <w:sz w:val="24"/>
          <w:highlight w:val="none"/>
        </w:rPr>
        <w:t>7.3-1</w:t>
      </w:r>
      <w:r>
        <w:rPr>
          <w:b/>
          <w:bCs/>
          <w:color w:val="auto"/>
          <w:sz w:val="24"/>
          <w:highlight w:val="none"/>
        </w:rPr>
        <w:t>施工阶段环境保护措施落实情况</w:t>
      </w:r>
    </w:p>
    <w:tbl>
      <w:tblPr>
        <w:tblStyle w:val="1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21"/>
        <w:gridCol w:w="3736"/>
        <w:gridCol w:w="3465"/>
        <w:gridCol w:w="6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序号</w:t>
            </w:r>
          </w:p>
        </w:tc>
        <w:tc>
          <w:tcPr>
            <w:tcW w:w="2191"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主要环保措施</w:t>
            </w:r>
          </w:p>
        </w:tc>
        <w:tc>
          <w:tcPr>
            <w:tcW w:w="2032"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落实情况</w:t>
            </w:r>
          </w:p>
        </w:tc>
        <w:tc>
          <w:tcPr>
            <w:tcW w:w="352"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w:t>
            </w:r>
          </w:p>
        </w:tc>
        <w:tc>
          <w:tcPr>
            <w:tcW w:w="2191"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施工基地周围设一定高度的围屏；加强施工区的规划管理，防止建材在装卸、堆放、拌和过程中的粉尘外逸，并采取防尘、抑尘措施；散装水泥下部出口设置防尘袋；运输车主要进出的主干道定期洒水清扫；加强对机械、车辆的维修保养，减少污染物的排放；加强对施工人员的环保教育，坚持文明施工、科学施工。</w:t>
            </w:r>
          </w:p>
        </w:tc>
        <w:tc>
          <w:tcPr>
            <w:tcW w:w="2032"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color w:val="auto"/>
                <w:highlight w:val="none"/>
              </w:rPr>
              <w:drawing>
                <wp:anchor distT="0" distB="0" distL="114300" distR="114300" simplePos="0" relativeHeight="251661312" behindDoc="0" locked="0" layoutInCell="1" allowOverlap="1">
                  <wp:simplePos x="0" y="0"/>
                  <wp:positionH relativeFrom="column">
                    <wp:posOffset>45720</wp:posOffset>
                  </wp:positionH>
                  <wp:positionV relativeFrom="paragraph">
                    <wp:posOffset>2033270</wp:posOffset>
                  </wp:positionV>
                  <wp:extent cx="1920240" cy="1234440"/>
                  <wp:effectExtent l="0" t="0" r="3810" b="381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1920240" cy="1234440"/>
                          </a:xfrm>
                          <a:prstGeom prst="rect">
                            <a:avLst/>
                          </a:prstGeom>
                          <a:noFill/>
                          <a:ln>
                            <a:noFill/>
                          </a:ln>
                        </pic:spPr>
                      </pic:pic>
                    </a:graphicData>
                  </a:graphic>
                </wp:anchor>
              </w:drawing>
            </w:r>
            <w:r>
              <w:rPr>
                <w:rFonts w:ascii="Times New Roman" w:hAnsi="Times New Roman" w:cs="Times New Roman"/>
                <w:color w:val="auto"/>
                <w:kern w:val="2"/>
                <w:sz w:val="21"/>
                <w:szCs w:val="21"/>
                <w:highlight w:val="none"/>
              </w:rPr>
              <w:t>施工基地周围设3米高度的围屏。严格控制施工期物料装卸、运输、堆放、拌和等过程中的扬尘和废气污染，施工期采取有效措施。散装水泥下部出口设置防尘袋，每天对主干道进行洒水清扫。加强建筑施工期建筑垃圾和生活垃圾的收集和处理处置，没有发生二次污染。施工现场采取设立防尘网，粉状材料覆盖毡布，运输车辆防散漏等措施。</w:t>
            </w:r>
          </w:p>
        </w:tc>
        <w:tc>
          <w:tcPr>
            <w:tcW w:w="352"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已落实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2</w:t>
            </w:r>
          </w:p>
        </w:tc>
        <w:tc>
          <w:tcPr>
            <w:tcW w:w="2191"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对于施工人员的吃住等生活地点应统一安排。禁止向项目区域外倾倒--切</w:t>
            </w:r>
          </w:p>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废弃物，包括施工和生活废水、建筑和生活垃圾等</w:t>
            </w:r>
            <w:r>
              <w:rPr>
                <w:rFonts w:hint="eastAsia" w:ascii="Times New Roman" w:hAnsi="Times New Roman" w:cs="Times New Roman"/>
                <w:color w:val="auto"/>
                <w:kern w:val="2"/>
                <w:sz w:val="21"/>
                <w:szCs w:val="21"/>
                <w:highlight w:val="none"/>
              </w:rPr>
              <w:t>；在施工现场建造沉淀池、隔油池等污水临时处理设施，对含砂、含油量高的施工废水经沉砂、隔油处理后回用于道路酒水和车辆清洗，沉淀物干燥后与固体废物一起处置；水泥、黄沙、石灰类的建筑材料集中堆放，并采取一定的防雨措施，及时清扫施工运输过程中抛酒的上述建筑材料，以免这些物质随雨水冲刷污染附近的水体和下水道，堵塞排水系统，污染水环境和影响周围居民出行和生活；施工人员生活污水经化粪池处理后，排入市政污水管网，经污水处理厂处理达标后排入京杭运河。</w:t>
            </w:r>
          </w:p>
        </w:tc>
        <w:tc>
          <w:tcPr>
            <w:tcW w:w="2032" w:type="pct"/>
            <w:noWrap w:val="0"/>
            <w:vAlign w:val="center"/>
          </w:tcPr>
          <w:p>
            <w:pPr>
              <w:pStyle w:val="16"/>
              <w:spacing w:line="320" w:lineRule="exact"/>
              <w:jc w:val="center"/>
              <w:rPr>
                <w:rFonts w:hint="eastAsia"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drawing>
                <wp:anchor distT="0" distB="0" distL="114300" distR="114300" simplePos="0" relativeHeight="251664384" behindDoc="0" locked="0" layoutInCell="1" allowOverlap="1">
                  <wp:simplePos x="0" y="0"/>
                  <wp:positionH relativeFrom="column">
                    <wp:posOffset>2540</wp:posOffset>
                  </wp:positionH>
                  <wp:positionV relativeFrom="paragraph">
                    <wp:posOffset>1657985</wp:posOffset>
                  </wp:positionV>
                  <wp:extent cx="2057400" cy="1543050"/>
                  <wp:effectExtent l="0" t="0" r="0" b="0"/>
                  <wp:wrapSquare wrapText="bothSides"/>
                  <wp:docPr id="13" name="图片 13" descr="71714eb5591ca2ba0de7db98de47f5a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1714eb5591ca2ba0de7db98de47f5a6_"/>
                          <pic:cNvPicPr>
                            <a:picLocks noChangeAspect="1"/>
                          </pic:cNvPicPr>
                        </pic:nvPicPr>
                        <pic:blipFill>
                          <a:blip r:embed="rId11"/>
                          <a:stretch>
                            <a:fillRect/>
                          </a:stretch>
                        </pic:blipFill>
                        <pic:spPr>
                          <a:xfrm>
                            <a:off x="0" y="0"/>
                            <a:ext cx="2057400" cy="1543050"/>
                          </a:xfrm>
                          <a:prstGeom prst="rect">
                            <a:avLst/>
                          </a:prstGeom>
                        </pic:spPr>
                      </pic:pic>
                    </a:graphicData>
                  </a:graphic>
                </wp:anchor>
              </w:drawing>
            </w:r>
            <w:r>
              <w:rPr>
                <w:rFonts w:hint="eastAsia" w:ascii="Times New Roman" w:hAnsi="Times New Roman" w:cs="Times New Roman"/>
                <w:color w:val="auto"/>
                <w:kern w:val="2"/>
                <w:sz w:val="21"/>
                <w:szCs w:val="21"/>
                <w:highlight w:val="none"/>
              </w:rPr>
              <w:t>设有专门的施工人员生活地点，并集中管理；</w:t>
            </w:r>
            <w:r>
              <w:rPr>
                <w:rFonts w:ascii="Times New Roman" w:hAnsi="Times New Roman" w:cs="Times New Roman"/>
                <w:color w:val="auto"/>
                <w:kern w:val="2"/>
                <w:sz w:val="21"/>
                <w:szCs w:val="21"/>
                <w:highlight w:val="none"/>
              </w:rPr>
              <w:t>施工区建有</w:t>
            </w:r>
            <w:r>
              <w:rPr>
                <w:rFonts w:hint="eastAsia" w:ascii="Times New Roman" w:hAnsi="Times New Roman" w:cs="Times New Roman"/>
                <w:color w:val="auto"/>
                <w:kern w:val="2"/>
                <w:sz w:val="21"/>
                <w:szCs w:val="21"/>
                <w:highlight w:val="none"/>
              </w:rPr>
              <w:t>临时排水系统和污水临时处理设施</w:t>
            </w:r>
            <w:r>
              <w:rPr>
                <w:rFonts w:ascii="Times New Roman" w:hAnsi="Times New Roman" w:cs="Times New Roman"/>
                <w:color w:val="auto"/>
                <w:kern w:val="2"/>
                <w:sz w:val="21"/>
                <w:szCs w:val="21"/>
                <w:highlight w:val="none"/>
              </w:rPr>
              <w:t>，散料堆场四周用石块或水泥砌放冲墙，防止散料被雨水冲刷流失。施工期产生的喷淋渗出水、清洗水和生活污水接入市政污水管网，进</w:t>
            </w:r>
            <w:r>
              <w:rPr>
                <w:rFonts w:hint="eastAsia" w:ascii="Times New Roman" w:hAnsi="Times New Roman" w:cs="Times New Roman"/>
                <w:color w:val="auto"/>
                <w:kern w:val="2"/>
                <w:sz w:val="21"/>
                <w:szCs w:val="21"/>
                <w:highlight w:val="none"/>
                <w:lang w:eastAsia="zh-CN"/>
              </w:rPr>
              <w:t>狮山水质净化厂</w:t>
            </w:r>
            <w:r>
              <w:rPr>
                <w:rFonts w:ascii="Times New Roman" w:hAnsi="Times New Roman" w:cs="Times New Roman"/>
                <w:color w:val="auto"/>
                <w:kern w:val="2"/>
                <w:sz w:val="21"/>
                <w:szCs w:val="21"/>
                <w:highlight w:val="none"/>
              </w:rPr>
              <w:t>集中处理</w:t>
            </w:r>
            <w:r>
              <w:rPr>
                <w:rFonts w:hint="eastAsia" w:ascii="Times New Roman" w:hAnsi="Times New Roman" w:cs="Times New Roman"/>
                <w:color w:val="auto"/>
                <w:kern w:val="2"/>
                <w:sz w:val="21"/>
                <w:szCs w:val="21"/>
                <w:highlight w:val="none"/>
              </w:rPr>
              <w:t>。</w:t>
            </w:r>
          </w:p>
          <w:p>
            <w:pPr>
              <w:pStyle w:val="16"/>
              <w:spacing w:line="320" w:lineRule="exact"/>
              <w:jc w:val="center"/>
              <w:rPr>
                <w:rFonts w:hint="eastAsia"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drawing>
                <wp:anchor distT="0" distB="0" distL="114300" distR="114300" simplePos="0" relativeHeight="251660288" behindDoc="0" locked="0" layoutInCell="1" allowOverlap="1">
                  <wp:simplePos x="0" y="0"/>
                  <wp:positionH relativeFrom="column">
                    <wp:posOffset>0</wp:posOffset>
                  </wp:positionH>
                  <wp:positionV relativeFrom="paragraph">
                    <wp:posOffset>123190</wp:posOffset>
                  </wp:positionV>
                  <wp:extent cx="2061210" cy="1154430"/>
                  <wp:effectExtent l="0" t="0" r="15240" b="7620"/>
                  <wp:wrapTopAndBottom/>
                  <wp:docPr id="9" name="图片 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timg"/>
                          <pic:cNvPicPr>
                            <a:picLocks noChangeAspect="1"/>
                          </pic:cNvPicPr>
                        </pic:nvPicPr>
                        <pic:blipFill>
                          <a:blip r:embed="rId12"/>
                          <a:stretch>
                            <a:fillRect/>
                          </a:stretch>
                        </pic:blipFill>
                        <pic:spPr>
                          <a:xfrm>
                            <a:off x="0" y="0"/>
                            <a:ext cx="2061210" cy="1154430"/>
                          </a:xfrm>
                          <a:prstGeom prst="rect">
                            <a:avLst/>
                          </a:prstGeom>
                          <a:noFill/>
                          <a:ln>
                            <a:noFill/>
                          </a:ln>
                        </pic:spPr>
                      </pic:pic>
                    </a:graphicData>
                  </a:graphic>
                </wp:anchor>
              </w:drawing>
            </w:r>
          </w:p>
        </w:tc>
        <w:tc>
          <w:tcPr>
            <w:tcW w:w="352"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已落实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97" w:hRule="atLeast"/>
        </w:trPr>
        <w:tc>
          <w:tcPr>
            <w:tcW w:w="423"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3</w:t>
            </w:r>
          </w:p>
        </w:tc>
        <w:tc>
          <w:tcPr>
            <w:tcW w:w="2191"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执行《建筑施工场界环境噪声排放限值》（GB12523-2011）对施工阶段的噪声要求。工地周围设立维护屏障，同时在高噪声设备附近加设可移动的建议隔声屏。将搅拌机等高噪声设备安置在离</w:t>
            </w:r>
            <w:r>
              <w:rPr>
                <w:rFonts w:hint="eastAsia" w:ascii="Times New Roman" w:hAnsi="Times New Roman" w:cs="Times New Roman"/>
                <w:color w:val="auto"/>
                <w:kern w:val="2"/>
                <w:sz w:val="21"/>
                <w:szCs w:val="21"/>
                <w:highlight w:val="none"/>
              </w:rPr>
              <w:t>敏感点</w:t>
            </w:r>
            <w:r>
              <w:rPr>
                <w:rFonts w:ascii="Times New Roman" w:hAnsi="Times New Roman" w:cs="Times New Roman"/>
                <w:color w:val="auto"/>
                <w:kern w:val="2"/>
                <w:sz w:val="21"/>
                <w:szCs w:val="21"/>
                <w:highlight w:val="none"/>
              </w:rPr>
              <w:t>较远处，运输车辆的进出口也要设置采较远离</w:t>
            </w:r>
            <w:r>
              <w:rPr>
                <w:rFonts w:hint="eastAsia" w:ascii="Times New Roman" w:hAnsi="Times New Roman" w:cs="Times New Roman"/>
                <w:color w:val="auto"/>
                <w:kern w:val="2"/>
                <w:sz w:val="21"/>
                <w:szCs w:val="21"/>
                <w:highlight w:val="none"/>
              </w:rPr>
              <w:t>敏感点</w:t>
            </w:r>
            <w:r>
              <w:rPr>
                <w:rFonts w:ascii="Times New Roman" w:hAnsi="Times New Roman" w:cs="Times New Roman"/>
                <w:color w:val="auto"/>
                <w:kern w:val="2"/>
                <w:sz w:val="21"/>
                <w:szCs w:val="21"/>
                <w:highlight w:val="none"/>
              </w:rPr>
              <w:t>，并规定进出路线且保持道路平坦，减少车辆颠簸噪声和产生的振动。加强施工区附近交通管理，避免交通堵塞二引起的车辆鸣号。</w:t>
            </w:r>
          </w:p>
        </w:tc>
        <w:tc>
          <w:tcPr>
            <w:tcW w:w="2032" w:type="pct"/>
            <w:noWrap w:val="0"/>
            <w:vAlign w:val="center"/>
          </w:tcPr>
          <w:p>
            <w:pPr>
              <w:pStyle w:val="16"/>
              <w:spacing w:line="320" w:lineRule="exact"/>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drawing>
                <wp:anchor distT="0" distB="0" distL="114300" distR="114300" simplePos="0" relativeHeight="251663360" behindDoc="0" locked="0" layoutInCell="1" allowOverlap="1">
                  <wp:simplePos x="0" y="0"/>
                  <wp:positionH relativeFrom="column">
                    <wp:posOffset>-16510</wp:posOffset>
                  </wp:positionH>
                  <wp:positionV relativeFrom="paragraph">
                    <wp:posOffset>2265045</wp:posOffset>
                  </wp:positionV>
                  <wp:extent cx="2057400" cy="1543050"/>
                  <wp:effectExtent l="0" t="0" r="0" b="0"/>
                  <wp:wrapSquare wrapText="bothSides"/>
                  <wp:docPr id="12" name="图片 12" descr="b318c08b744872e60e249cb0fbcbe58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318c08b744872e60e249cb0fbcbe58e_"/>
                          <pic:cNvPicPr>
                            <a:picLocks noChangeAspect="1"/>
                          </pic:cNvPicPr>
                        </pic:nvPicPr>
                        <pic:blipFill>
                          <a:blip r:embed="rId13"/>
                          <a:stretch>
                            <a:fillRect/>
                          </a:stretch>
                        </pic:blipFill>
                        <pic:spPr>
                          <a:xfrm>
                            <a:off x="0" y="0"/>
                            <a:ext cx="2057400" cy="1543050"/>
                          </a:xfrm>
                          <a:prstGeom prst="rect">
                            <a:avLst/>
                          </a:prstGeom>
                        </pic:spPr>
                      </pic:pic>
                    </a:graphicData>
                  </a:graphic>
                </wp:anchor>
              </w:drawing>
            </w:r>
            <w:r>
              <w:rPr>
                <w:rFonts w:ascii="Times New Roman" w:hAnsi="Times New Roman" w:cs="Times New Roman"/>
                <w:color w:val="auto"/>
                <w:kern w:val="2"/>
                <w:sz w:val="21"/>
                <w:szCs w:val="21"/>
                <w:highlight w:val="none"/>
              </w:rPr>
              <w:t>项目合理安排了施工时间：均在昼间完成施工，避免了在中午（12:00～14:00）和夜间（22:00～7:00）施工。对施工机械设备的布置进行了合理规划，施工单位在制定施工计划时，尽可能地避免了大量高噪声设备同时施工或集中于同一块区域施工。选用了噪声相对较小的车型，对运输车辆进行了定期的维修和养护，减少了因机械故障而额外产生的噪声。</w:t>
            </w:r>
          </w:p>
        </w:tc>
        <w:tc>
          <w:tcPr>
            <w:tcW w:w="352"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已落实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4</w:t>
            </w:r>
          </w:p>
        </w:tc>
        <w:tc>
          <w:tcPr>
            <w:tcW w:w="2191"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施工人员生活垃圾及时收集到指定的垃圾桶内，由当地环卫部门统一清运处理；渣土及建筑垃圾在指定地点堆放，并及时送垃圾填埋场处理。</w:t>
            </w:r>
          </w:p>
        </w:tc>
        <w:tc>
          <w:tcPr>
            <w:tcW w:w="2032"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现场挖出的土方由卡车及时外运。部分建筑废料交由物资公司回收再利用，其余无法回收部分则清运至区域内其他土建施工场地，无法平衡的送至填埋场作为覆盖土方材料。落实了生态修复措施。生活垃圾收集到指定的垃圾桶内，由环卫部门统一清运处理。</w:t>
            </w:r>
          </w:p>
        </w:tc>
        <w:tc>
          <w:tcPr>
            <w:tcW w:w="352" w:type="pct"/>
            <w:noWrap w:val="0"/>
            <w:vAlign w:val="center"/>
          </w:tcPr>
          <w:p>
            <w:pPr>
              <w:pStyle w:val="16"/>
              <w:spacing w:line="320" w:lineRule="exact"/>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已落实</w:t>
            </w:r>
          </w:p>
        </w:tc>
      </w:tr>
    </w:tbl>
    <w:p>
      <w:pPr>
        <w:rPr>
          <w:rFonts w:hint="eastAsia"/>
          <w:lang w:val="en-US" w:eastAsia="zh-CN"/>
        </w:rPr>
      </w:pPr>
      <w:r>
        <w:rPr>
          <w:rFonts w:hint="eastAsia"/>
          <w:lang w:val="en-US" w:eastAsia="zh-CN"/>
        </w:rPr>
        <w:br w:type="page"/>
      </w:r>
    </w:p>
    <w:p>
      <w:pPr>
        <w:pStyle w:val="2"/>
        <w:rPr>
          <w:rFonts w:hint="eastAsia"/>
          <w:color w:val="auto"/>
          <w:highlight w:val="none"/>
        </w:rPr>
      </w:pPr>
      <w:bookmarkStart w:id="63" w:name="_Toc14450"/>
      <w:bookmarkStart w:id="64" w:name="_Toc20645"/>
      <w:r>
        <w:rPr>
          <w:rFonts w:hint="eastAsia"/>
          <w:color w:val="auto"/>
          <w:highlight w:val="none"/>
          <w:lang w:val="en-US" w:eastAsia="zh-CN"/>
        </w:rPr>
        <w:t>6</w:t>
      </w:r>
      <w:r>
        <w:rPr>
          <w:rFonts w:hint="eastAsia"/>
          <w:color w:val="auto"/>
          <w:highlight w:val="none"/>
        </w:rPr>
        <w:t>环境影响调查</w:t>
      </w:r>
      <w:bookmarkEnd w:id="63"/>
      <w:bookmarkEnd w:id="64"/>
    </w:p>
    <w:p>
      <w:pPr>
        <w:pStyle w:val="3"/>
        <w:rPr>
          <w:rFonts w:hint="eastAsia"/>
          <w:color w:val="auto"/>
          <w:highlight w:val="none"/>
        </w:rPr>
      </w:pPr>
      <w:bookmarkStart w:id="65" w:name="_Toc18466"/>
      <w:bookmarkStart w:id="66" w:name="_Toc9690"/>
      <w:r>
        <w:rPr>
          <w:rFonts w:hint="eastAsia"/>
          <w:color w:val="auto"/>
          <w:highlight w:val="none"/>
          <w:lang w:val="en-US" w:eastAsia="zh-CN"/>
        </w:rPr>
        <w:t>6</w:t>
      </w:r>
      <w:r>
        <w:rPr>
          <w:rFonts w:hint="eastAsia"/>
          <w:color w:val="auto"/>
          <w:highlight w:val="none"/>
        </w:rPr>
        <w:t>.1生态环境影响调查</w:t>
      </w:r>
      <w:bookmarkEnd w:id="65"/>
      <w:bookmarkEnd w:id="66"/>
    </w:p>
    <w:p>
      <w:pPr>
        <w:ind w:firstLine="560" w:firstLineChars="200"/>
        <w:rPr>
          <w:rFonts w:hint="eastAsia"/>
          <w:color w:val="auto"/>
          <w:highlight w:val="none"/>
        </w:rPr>
      </w:pPr>
      <w:r>
        <w:rPr>
          <w:rFonts w:hint="eastAsia"/>
          <w:color w:val="auto"/>
          <w:highlight w:val="none"/>
        </w:rPr>
        <w:t>项目用地为</w:t>
      </w:r>
      <w:r>
        <w:rPr>
          <w:rFonts w:hint="eastAsia"/>
          <w:color w:val="auto"/>
          <w:highlight w:val="none"/>
          <w:lang w:val="en-US" w:eastAsia="zh-CN"/>
        </w:rPr>
        <w:t>住宅</w:t>
      </w:r>
      <w:r>
        <w:rPr>
          <w:rFonts w:hint="eastAsia"/>
          <w:color w:val="auto"/>
          <w:highlight w:val="none"/>
        </w:rPr>
        <w:t>用地，区内无天然植被，无国家或省属珍惜濒危物种分布。现有植被主要为草地，杂草。项目区地块内地势平坦，该建设项目区域内无国家和省级的文物古迹保护对象。</w:t>
      </w:r>
    </w:p>
    <w:p>
      <w:pPr>
        <w:ind w:firstLine="560" w:firstLineChars="200"/>
        <w:rPr>
          <w:rFonts w:hint="eastAsia"/>
          <w:color w:val="auto"/>
          <w:highlight w:val="none"/>
        </w:rPr>
      </w:pPr>
      <w:r>
        <w:rPr>
          <w:rFonts w:hint="eastAsia"/>
          <w:color w:val="auto"/>
          <w:highlight w:val="none"/>
        </w:rPr>
        <w:t>评价区内的植被较单一，主要为草地，有少量树木。评价区属于北亚热带海洋性气候，四季分明，但由于受人类活动影响，周围生态系统内动物资源较为贫乏，项目所在地已无大型野生动物存在，尚存的野生动物仅为鸟类、鼠类、蛙类和蛇类等，无珍稀保护动物。</w:t>
      </w:r>
    </w:p>
    <w:p>
      <w:pPr>
        <w:ind w:firstLine="560" w:firstLineChars="200"/>
        <w:rPr>
          <w:rFonts w:hint="eastAsia"/>
          <w:color w:val="auto"/>
          <w:highlight w:val="none"/>
        </w:rPr>
      </w:pPr>
      <w:r>
        <w:rPr>
          <w:rFonts w:hint="eastAsia"/>
          <w:color w:val="auto"/>
          <w:highlight w:val="none"/>
        </w:rPr>
        <w:t>综合现场调查，评价区内主要生态系统已基本被破坏，植被主要为一些绿化灌木、草木和自然生长的杂草，生态系统较为简单，功能较差。</w:t>
      </w:r>
    </w:p>
    <w:p>
      <w:pPr>
        <w:pStyle w:val="3"/>
        <w:rPr>
          <w:rFonts w:hint="eastAsia"/>
          <w:color w:val="auto"/>
          <w:highlight w:val="none"/>
        </w:rPr>
      </w:pPr>
      <w:bookmarkStart w:id="67" w:name="_Toc14951"/>
      <w:bookmarkStart w:id="68" w:name="_Toc9532"/>
      <w:r>
        <w:rPr>
          <w:rFonts w:hint="eastAsia"/>
          <w:color w:val="auto"/>
          <w:highlight w:val="none"/>
          <w:lang w:val="en-US" w:eastAsia="zh-CN"/>
        </w:rPr>
        <w:t>6</w:t>
      </w:r>
      <w:r>
        <w:rPr>
          <w:rFonts w:hint="eastAsia"/>
          <w:color w:val="auto"/>
          <w:highlight w:val="none"/>
        </w:rPr>
        <w:t>.2环境影响监测</w:t>
      </w:r>
      <w:bookmarkEnd w:id="67"/>
      <w:bookmarkEnd w:id="68"/>
    </w:p>
    <w:p>
      <w:pPr>
        <w:ind w:firstLine="560" w:firstLineChars="200"/>
        <w:rPr>
          <w:color w:val="auto"/>
          <w:highlight w:val="none"/>
        </w:rPr>
      </w:pPr>
      <w:r>
        <w:rPr>
          <w:color w:val="auto"/>
          <w:highlight w:val="none"/>
        </w:rPr>
        <w:t>本次调查主要从水环境、大气环境和声环境的污染影响调查反映项目的环保措施效果。</w:t>
      </w:r>
    </w:p>
    <w:p>
      <w:pPr>
        <w:pStyle w:val="4"/>
        <w:spacing w:before="120" w:after="120" w:line="500" w:lineRule="exact"/>
        <w:rPr>
          <w:color w:val="auto"/>
          <w:sz w:val="28"/>
          <w:szCs w:val="28"/>
          <w:highlight w:val="none"/>
        </w:rPr>
      </w:pPr>
      <w:bookmarkStart w:id="69" w:name="_Toc6087"/>
      <w:bookmarkStart w:id="70" w:name="_Toc511143557"/>
      <w:bookmarkStart w:id="71" w:name="_Toc31668"/>
      <w:bookmarkStart w:id="72" w:name="_Toc2318"/>
      <w:r>
        <w:rPr>
          <w:rFonts w:hint="eastAsia"/>
          <w:color w:val="auto"/>
          <w:sz w:val="28"/>
          <w:szCs w:val="28"/>
          <w:highlight w:val="none"/>
          <w:lang w:val="en-US" w:eastAsia="zh-CN"/>
        </w:rPr>
        <w:t>6</w:t>
      </w:r>
      <w:r>
        <w:rPr>
          <w:color w:val="auto"/>
          <w:sz w:val="28"/>
          <w:szCs w:val="28"/>
          <w:highlight w:val="none"/>
        </w:rPr>
        <w:t>.2.1水环境影响调查与分析</w:t>
      </w:r>
      <w:bookmarkEnd w:id="69"/>
      <w:bookmarkEnd w:id="70"/>
      <w:bookmarkEnd w:id="71"/>
      <w:bookmarkEnd w:id="72"/>
    </w:p>
    <w:p>
      <w:pPr>
        <w:ind w:firstLine="560" w:firstLineChars="200"/>
        <w:rPr>
          <w:color w:val="auto"/>
          <w:highlight w:val="none"/>
        </w:rPr>
      </w:pPr>
      <w:r>
        <w:rPr>
          <w:color w:val="auto"/>
          <w:highlight w:val="none"/>
        </w:rPr>
        <w:t>经调查，</w:t>
      </w:r>
      <w:r>
        <w:rPr>
          <w:rFonts w:hint="eastAsia"/>
          <w:color w:val="auto"/>
          <w:highlight w:val="none"/>
        </w:rPr>
        <w:t>苏州市苏州茂龙地产发展有限公司苏地2017-WG-82号地块项目</w:t>
      </w:r>
      <w:r>
        <w:rPr>
          <w:rFonts w:hint="eastAsia"/>
          <w:color w:val="auto"/>
          <w:highlight w:val="none"/>
          <w:lang w:eastAsia="zh-CN"/>
        </w:rPr>
        <w:t>（</w:t>
      </w:r>
      <w:r>
        <w:rPr>
          <w:rFonts w:hint="eastAsia"/>
          <w:color w:val="auto"/>
          <w:highlight w:val="none"/>
          <w:lang w:val="en-US" w:eastAsia="zh-CN"/>
        </w:rPr>
        <w:t>地块一</w:t>
      </w:r>
      <w:r>
        <w:rPr>
          <w:rFonts w:hint="eastAsia"/>
          <w:color w:val="auto"/>
          <w:highlight w:val="none"/>
          <w:lang w:eastAsia="zh-CN"/>
        </w:rPr>
        <w:t>）</w:t>
      </w:r>
      <w:r>
        <w:rPr>
          <w:color w:val="auto"/>
          <w:highlight w:val="none"/>
        </w:rPr>
        <w:t>施工期</w:t>
      </w:r>
      <w:r>
        <w:rPr>
          <w:rFonts w:hint="eastAsia"/>
          <w:color w:val="auto"/>
          <w:highlight w:val="none"/>
        </w:rPr>
        <w:t>产生的废水通过雨水管网直接</w:t>
      </w:r>
      <w:r>
        <w:rPr>
          <w:color w:val="auto"/>
          <w:highlight w:val="none"/>
        </w:rPr>
        <w:t>外排；施工期生活污水排入</w:t>
      </w:r>
      <w:r>
        <w:rPr>
          <w:rFonts w:hint="eastAsia"/>
          <w:color w:val="auto"/>
          <w:highlight w:val="none"/>
          <w:lang w:eastAsia="zh-CN"/>
        </w:rPr>
        <w:t>狮山水质净化厂</w:t>
      </w:r>
      <w:r>
        <w:rPr>
          <w:color w:val="auto"/>
          <w:highlight w:val="none"/>
        </w:rPr>
        <w:t>达标排放。</w:t>
      </w:r>
    </w:p>
    <w:p>
      <w:pPr>
        <w:ind w:firstLine="560" w:firstLineChars="200"/>
        <w:rPr>
          <w:color w:val="auto"/>
          <w:highlight w:val="none"/>
        </w:rPr>
      </w:pPr>
      <w:r>
        <w:rPr>
          <w:color w:val="auto"/>
          <w:highlight w:val="none"/>
        </w:rPr>
        <w:t>施工工程中无任何废水排入附近水体。本项目施工期生产废水和生活污水均不会对附近水体水质造成影响。</w:t>
      </w:r>
    </w:p>
    <w:p>
      <w:pPr>
        <w:ind w:firstLine="560" w:firstLineChars="200"/>
        <w:rPr>
          <w:color w:val="auto"/>
          <w:highlight w:val="none"/>
        </w:rPr>
      </w:pPr>
      <w:r>
        <w:rPr>
          <w:color w:val="auto"/>
          <w:highlight w:val="none"/>
        </w:rPr>
        <w:t>项目污水管网已接通，，运营期排放的废水主要为生活污水。项目生活污水通过市政污水管网进入</w:t>
      </w:r>
      <w:r>
        <w:rPr>
          <w:rFonts w:hint="eastAsia"/>
          <w:color w:val="auto"/>
          <w:highlight w:val="none"/>
          <w:lang w:eastAsia="zh-CN"/>
        </w:rPr>
        <w:t>狮山水质净化厂</w:t>
      </w:r>
      <w:r>
        <w:rPr>
          <w:color w:val="auto"/>
          <w:highlight w:val="none"/>
        </w:rPr>
        <w:t>，处理达标后排入</w:t>
      </w:r>
      <w:r>
        <w:rPr>
          <w:rFonts w:hint="eastAsia"/>
          <w:color w:val="auto"/>
          <w:highlight w:val="none"/>
        </w:rPr>
        <w:t>京杭</w:t>
      </w:r>
      <w:r>
        <w:rPr>
          <w:color w:val="auto"/>
          <w:highlight w:val="none"/>
        </w:rPr>
        <w:t>运河，对周边地表水无直接影响。</w:t>
      </w:r>
    </w:p>
    <w:p>
      <w:pPr>
        <w:pStyle w:val="4"/>
        <w:spacing w:before="120" w:after="120" w:line="500" w:lineRule="exact"/>
        <w:rPr>
          <w:color w:val="auto"/>
          <w:sz w:val="28"/>
          <w:szCs w:val="28"/>
          <w:highlight w:val="none"/>
        </w:rPr>
      </w:pPr>
      <w:bookmarkStart w:id="73" w:name="_Toc15237"/>
      <w:bookmarkStart w:id="74" w:name="_Toc25860"/>
      <w:bookmarkStart w:id="75" w:name="_Toc511143558"/>
      <w:bookmarkStart w:id="76" w:name="_Toc20585"/>
      <w:r>
        <w:rPr>
          <w:rFonts w:hint="eastAsia"/>
          <w:color w:val="auto"/>
          <w:sz w:val="28"/>
          <w:szCs w:val="28"/>
          <w:highlight w:val="none"/>
          <w:lang w:val="en-US" w:eastAsia="zh-CN"/>
        </w:rPr>
        <w:t>6</w:t>
      </w:r>
      <w:r>
        <w:rPr>
          <w:color w:val="auto"/>
          <w:sz w:val="28"/>
          <w:szCs w:val="28"/>
          <w:highlight w:val="none"/>
        </w:rPr>
        <w:t>.2.2大气环境影响调查与分析</w:t>
      </w:r>
      <w:bookmarkEnd w:id="73"/>
      <w:bookmarkEnd w:id="74"/>
      <w:bookmarkEnd w:id="75"/>
      <w:bookmarkEnd w:id="76"/>
    </w:p>
    <w:p>
      <w:pPr>
        <w:ind w:firstLine="560" w:firstLineChars="200"/>
        <w:rPr>
          <w:color w:val="auto"/>
          <w:highlight w:val="none"/>
        </w:rPr>
      </w:pPr>
      <w:r>
        <w:rPr>
          <w:color w:val="auto"/>
          <w:highlight w:val="none"/>
        </w:rPr>
        <w:t>经调查，施工期废气主要为施工机械及运输车辆排放的废气及施工过程中产生的粉尘和扬尘。由于施工现场大型机械较为分散，而且按照施工工序，各项机械设备并不是同时作业，因此机械废气通过自然风的扩散、稀释之后对周围大气的影响不明显；施工期间的扬尘主要来源于土石方、建筑材料的装卸以及运输过程扰动路面尘埃等。施工现场应采取设立防尘网，采取洒水降尘措施，粉状材料需覆盖毡布，运输车辆防散漏等措施减少粉尘对周围环境产生的影响。</w:t>
      </w:r>
    </w:p>
    <w:p>
      <w:pPr>
        <w:ind w:firstLine="560" w:firstLineChars="200"/>
        <w:rPr>
          <w:rFonts w:hint="eastAsia"/>
          <w:color w:val="auto"/>
          <w:highlight w:val="none"/>
        </w:rPr>
      </w:pPr>
      <w:r>
        <w:rPr>
          <w:color w:val="auto"/>
          <w:highlight w:val="none"/>
        </w:rPr>
        <w:t>运营期停车主要采取地</w:t>
      </w:r>
      <w:r>
        <w:rPr>
          <w:rFonts w:hint="eastAsia"/>
          <w:color w:val="auto"/>
          <w:highlight w:val="none"/>
        </w:rPr>
        <w:t>上</w:t>
      </w:r>
      <w:r>
        <w:rPr>
          <w:color w:val="auto"/>
          <w:highlight w:val="none"/>
        </w:rPr>
        <w:t>停车的方式，汽车尾气对周围环境空气的影响很小。对于垃圾腐烂发臭，通过设置各种防治恶臭设施，及时清运垃圾、清理垃圾收集点等方式，降低垃圾腐烂发臭对区内产生影响。</w:t>
      </w:r>
      <w:r>
        <w:rPr>
          <w:rFonts w:hint="eastAsia"/>
          <w:color w:val="auto"/>
          <w:highlight w:val="none"/>
        </w:rPr>
        <w:t>运营期生产单独验收。</w:t>
      </w:r>
    </w:p>
    <w:p>
      <w:pPr>
        <w:pStyle w:val="4"/>
        <w:spacing w:before="120" w:after="120" w:line="500" w:lineRule="exact"/>
        <w:rPr>
          <w:color w:val="auto"/>
          <w:sz w:val="28"/>
          <w:szCs w:val="28"/>
          <w:highlight w:val="none"/>
        </w:rPr>
      </w:pPr>
      <w:bookmarkStart w:id="77" w:name="_Toc13655"/>
      <w:bookmarkStart w:id="78" w:name="_Toc27109"/>
      <w:bookmarkStart w:id="79" w:name="_Toc11284"/>
      <w:bookmarkStart w:id="80" w:name="_Toc511143559"/>
      <w:r>
        <w:rPr>
          <w:rFonts w:hint="eastAsia"/>
          <w:color w:val="auto"/>
          <w:sz w:val="28"/>
          <w:szCs w:val="28"/>
          <w:highlight w:val="none"/>
          <w:lang w:val="en-US" w:eastAsia="zh-CN"/>
        </w:rPr>
        <w:t>6</w:t>
      </w:r>
      <w:r>
        <w:rPr>
          <w:color w:val="auto"/>
          <w:sz w:val="28"/>
          <w:szCs w:val="28"/>
          <w:highlight w:val="none"/>
        </w:rPr>
        <w:t>.2.3声环境影响调查与分析</w:t>
      </w:r>
      <w:bookmarkEnd w:id="77"/>
      <w:bookmarkEnd w:id="78"/>
      <w:bookmarkEnd w:id="79"/>
      <w:bookmarkEnd w:id="80"/>
    </w:p>
    <w:p>
      <w:pPr>
        <w:bidi w:val="0"/>
        <w:ind w:firstLine="560" w:firstLineChars="200"/>
        <w:rPr>
          <w:rFonts w:hint="eastAsia"/>
        </w:rPr>
      </w:pPr>
      <w:r>
        <w:rPr>
          <w:color w:val="auto"/>
          <w:highlight w:val="none"/>
        </w:rPr>
        <w:t>为了解项目建设后周围声环境质量状况，本公司于202</w:t>
      </w:r>
      <w:r>
        <w:rPr>
          <w:rFonts w:hint="eastAsia"/>
          <w:color w:val="auto"/>
          <w:highlight w:val="none"/>
          <w:lang w:val="en-US" w:eastAsia="zh-CN"/>
        </w:rPr>
        <w:t>1</w:t>
      </w:r>
      <w:r>
        <w:rPr>
          <w:color w:val="auto"/>
          <w:highlight w:val="none"/>
        </w:rPr>
        <w:t>年</w:t>
      </w:r>
      <w:r>
        <w:rPr>
          <w:rFonts w:hint="eastAsia"/>
          <w:color w:val="auto"/>
          <w:highlight w:val="none"/>
          <w:lang w:val="en-US" w:eastAsia="zh-CN"/>
        </w:rPr>
        <w:t>10</w:t>
      </w:r>
      <w:r>
        <w:rPr>
          <w:color w:val="auto"/>
          <w:highlight w:val="none"/>
        </w:rPr>
        <w:t>月</w:t>
      </w:r>
      <w:r>
        <w:rPr>
          <w:rFonts w:hint="eastAsia"/>
          <w:color w:val="auto"/>
          <w:highlight w:val="none"/>
          <w:lang w:val="en-US" w:eastAsia="zh-CN"/>
        </w:rPr>
        <w:t>15</w:t>
      </w:r>
      <w:r>
        <w:rPr>
          <w:color w:val="auto"/>
          <w:highlight w:val="none"/>
        </w:rPr>
        <w:t>日至</w:t>
      </w:r>
      <w:r>
        <w:rPr>
          <w:rFonts w:hint="eastAsia"/>
          <w:color w:val="auto"/>
          <w:highlight w:val="none"/>
          <w:lang w:val="en-US" w:eastAsia="zh-CN"/>
        </w:rPr>
        <w:t>16</w:t>
      </w:r>
      <w:r>
        <w:rPr>
          <w:color w:val="auto"/>
          <w:highlight w:val="none"/>
        </w:rPr>
        <w:t>日对项目边界噪声进行监测。噪声监测结果见表</w:t>
      </w:r>
      <w:r>
        <w:rPr>
          <w:rFonts w:hint="eastAsia"/>
          <w:color w:val="auto"/>
          <w:highlight w:val="none"/>
          <w:lang w:val="en-US" w:eastAsia="zh-CN"/>
        </w:rPr>
        <w:t>6</w:t>
      </w:r>
      <w:r>
        <w:rPr>
          <w:color w:val="auto"/>
          <w:highlight w:val="none"/>
        </w:rPr>
        <w:t>.2-</w:t>
      </w:r>
      <w:r>
        <w:rPr>
          <w:rFonts w:hint="eastAsia"/>
          <w:color w:val="auto"/>
          <w:highlight w:val="none"/>
        </w:rPr>
        <w:t>1</w:t>
      </w:r>
      <w:r>
        <w:rPr>
          <w:color w:val="auto"/>
          <w:highlight w:val="none"/>
        </w:rPr>
        <w:t>。</w:t>
      </w:r>
    </w:p>
    <w:p>
      <w:pPr>
        <w:suppressAutoHyphens/>
        <w:jc w:val="center"/>
        <w:rPr>
          <w:b/>
          <w:bCs/>
          <w:color w:val="auto"/>
          <w:highlight w:val="none"/>
        </w:rPr>
      </w:pPr>
      <w:r>
        <w:rPr>
          <w:b/>
          <w:bCs/>
          <w:color w:val="auto"/>
          <w:sz w:val="24"/>
          <w:highlight w:val="none"/>
        </w:rPr>
        <w:t>表</w:t>
      </w:r>
      <w:r>
        <w:rPr>
          <w:rFonts w:hint="eastAsia"/>
          <w:b/>
          <w:bCs/>
          <w:color w:val="auto"/>
          <w:sz w:val="24"/>
          <w:highlight w:val="none"/>
          <w:lang w:val="en-US" w:eastAsia="zh-CN"/>
        </w:rPr>
        <w:t>6</w:t>
      </w:r>
      <w:r>
        <w:rPr>
          <w:b/>
          <w:bCs/>
          <w:color w:val="auto"/>
          <w:sz w:val="24"/>
          <w:highlight w:val="none"/>
        </w:rPr>
        <w:t>.2-</w:t>
      </w:r>
      <w:r>
        <w:rPr>
          <w:rFonts w:hint="eastAsia"/>
          <w:b/>
          <w:bCs/>
          <w:color w:val="auto"/>
          <w:sz w:val="24"/>
          <w:highlight w:val="none"/>
        </w:rPr>
        <w:t>1</w:t>
      </w:r>
      <w:r>
        <w:rPr>
          <w:rFonts w:hint="eastAsia"/>
          <w:b/>
          <w:bCs/>
          <w:color w:val="auto"/>
          <w:sz w:val="24"/>
          <w:highlight w:val="none"/>
          <w:lang w:val="en-US" w:eastAsia="zh-CN"/>
        </w:rPr>
        <w:t>厂界</w:t>
      </w:r>
      <w:r>
        <w:rPr>
          <w:b/>
          <w:bCs/>
          <w:color w:val="auto"/>
          <w:sz w:val="24"/>
          <w:highlight w:val="none"/>
        </w:rPr>
        <w:t>噪声监测结果  单位：Leq，dB(A)</w:t>
      </w:r>
    </w:p>
    <w:tbl>
      <w:tblPr>
        <w:tblStyle w:val="12"/>
        <w:tblW w:w="50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933"/>
        <w:gridCol w:w="1522"/>
        <w:gridCol w:w="849"/>
        <w:gridCol w:w="892"/>
        <w:gridCol w:w="782"/>
        <w:gridCol w:w="871"/>
        <w:gridCol w:w="778"/>
        <w:gridCol w:w="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restart"/>
            <w:noWrap w:val="0"/>
            <w:vAlign w:val="center"/>
          </w:tcPr>
          <w:p>
            <w:pPr>
              <w:spacing w:line="320" w:lineRule="exact"/>
              <w:jc w:val="center"/>
              <w:rPr>
                <w:b/>
                <w:bCs/>
                <w:color w:val="auto"/>
                <w:sz w:val="21"/>
                <w:szCs w:val="21"/>
                <w:highlight w:val="none"/>
              </w:rPr>
            </w:pPr>
            <w:r>
              <w:rPr>
                <w:b/>
                <w:bCs/>
                <w:color w:val="auto"/>
                <w:sz w:val="21"/>
                <w:szCs w:val="21"/>
                <w:highlight w:val="none"/>
              </w:rPr>
              <w:t>日期</w:t>
            </w:r>
          </w:p>
        </w:tc>
        <w:tc>
          <w:tcPr>
            <w:tcW w:w="542" w:type="pct"/>
            <w:vMerge w:val="restart"/>
            <w:noWrap w:val="0"/>
            <w:vAlign w:val="center"/>
          </w:tcPr>
          <w:p>
            <w:pPr>
              <w:spacing w:line="320" w:lineRule="exact"/>
              <w:jc w:val="center"/>
              <w:rPr>
                <w:b/>
                <w:bCs/>
                <w:color w:val="auto"/>
                <w:sz w:val="21"/>
                <w:szCs w:val="21"/>
                <w:highlight w:val="none"/>
              </w:rPr>
            </w:pPr>
            <w:r>
              <w:rPr>
                <w:b/>
                <w:bCs/>
                <w:color w:val="auto"/>
                <w:sz w:val="21"/>
                <w:szCs w:val="21"/>
                <w:highlight w:val="none"/>
              </w:rPr>
              <w:t>测点</w:t>
            </w:r>
          </w:p>
          <w:p>
            <w:pPr>
              <w:spacing w:line="320" w:lineRule="exact"/>
              <w:jc w:val="center"/>
              <w:rPr>
                <w:b/>
                <w:bCs/>
                <w:color w:val="auto"/>
                <w:sz w:val="21"/>
                <w:szCs w:val="21"/>
                <w:highlight w:val="none"/>
              </w:rPr>
            </w:pPr>
            <w:r>
              <w:rPr>
                <w:b/>
                <w:bCs/>
                <w:color w:val="auto"/>
                <w:sz w:val="21"/>
                <w:szCs w:val="21"/>
                <w:highlight w:val="none"/>
              </w:rPr>
              <w:t>编号</w:t>
            </w:r>
          </w:p>
        </w:tc>
        <w:tc>
          <w:tcPr>
            <w:tcW w:w="884" w:type="pct"/>
            <w:vMerge w:val="restart"/>
            <w:noWrap w:val="0"/>
            <w:vAlign w:val="center"/>
          </w:tcPr>
          <w:p>
            <w:pPr>
              <w:spacing w:line="320" w:lineRule="exact"/>
              <w:jc w:val="center"/>
              <w:rPr>
                <w:b/>
                <w:bCs/>
                <w:color w:val="auto"/>
                <w:sz w:val="21"/>
                <w:szCs w:val="21"/>
                <w:highlight w:val="none"/>
              </w:rPr>
            </w:pPr>
            <w:r>
              <w:rPr>
                <w:b/>
                <w:bCs/>
                <w:color w:val="auto"/>
                <w:sz w:val="21"/>
                <w:szCs w:val="21"/>
                <w:highlight w:val="none"/>
              </w:rPr>
              <w:t>测点位置</w:t>
            </w:r>
          </w:p>
        </w:tc>
        <w:tc>
          <w:tcPr>
            <w:tcW w:w="1465" w:type="pct"/>
            <w:gridSpan w:val="3"/>
            <w:noWrap w:val="0"/>
            <w:vAlign w:val="center"/>
          </w:tcPr>
          <w:p>
            <w:pPr>
              <w:spacing w:line="320" w:lineRule="exact"/>
              <w:jc w:val="center"/>
              <w:rPr>
                <w:b/>
                <w:bCs/>
                <w:color w:val="auto"/>
                <w:sz w:val="21"/>
                <w:szCs w:val="21"/>
                <w:highlight w:val="none"/>
              </w:rPr>
            </w:pPr>
            <w:r>
              <w:rPr>
                <w:b/>
                <w:bCs/>
                <w:color w:val="auto"/>
                <w:sz w:val="21"/>
                <w:szCs w:val="21"/>
                <w:highlight w:val="none"/>
              </w:rPr>
              <w:t>昼间厂界噪声dB（A）</w:t>
            </w:r>
          </w:p>
        </w:tc>
        <w:tc>
          <w:tcPr>
            <w:tcW w:w="1324" w:type="pct"/>
            <w:gridSpan w:val="3"/>
            <w:noWrap w:val="0"/>
            <w:vAlign w:val="center"/>
          </w:tcPr>
          <w:p>
            <w:pPr>
              <w:spacing w:line="320" w:lineRule="exact"/>
              <w:jc w:val="center"/>
              <w:rPr>
                <w:b/>
                <w:bCs/>
                <w:color w:val="auto"/>
                <w:sz w:val="21"/>
                <w:szCs w:val="21"/>
                <w:highlight w:val="none"/>
              </w:rPr>
            </w:pPr>
            <w:r>
              <w:rPr>
                <w:b/>
                <w:bCs/>
                <w:color w:val="auto"/>
                <w:sz w:val="21"/>
                <w:szCs w:val="21"/>
                <w:highlight w:val="none"/>
              </w:rPr>
              <w:t>夜间厂界噪声dB（A）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continue"/>
            <w:noWrap w:val="0"/>
            <w:vAlign w:val="center"/>
          </w:tcPr>
          <w:p>
            <w:pPr>
              <w:spacing w:line="320" w:lineRule="exact"/>
              <w:jc w:val="center"/>
              <w:rPr>
                <w:b/>
                <w:bCs/>
                <w:color w:val="auto"/>
                <w:sz w:val="21"/>
                <w:szCs w:val="21"/>
                <w:highlight w:val="none"/>
              </w:rPr>
            </w:pPr>
          </w:p>
        </w:tc>
        <w:tc>
          <w:tcPr>
            <w:tcW w:w="542" w:type="pct"/>
            <w:vMerge w:val="continue"/>
            <w:noWrap w:val="0"/>
            <w:vAlign w:val="center"/>
          </w:tcPr>
          <w:p>
            <w:pPr>
              <w:spacing w:line="320" w:lineRule="exact"/>
              <w:jc w:val="center"/>
              <w:rPr>
                <w:b/>
                <w:bCs/>
                <w:color w:val="auto"/>
                <w:sz w:val="21"/>
                <w:szCs w:val="21"/>
                <w:highlight w:val="none"/>
              </w:rPr>
            </w:pPr>
          </w:p>
        </w:tc>
        <w:tc>
          <w:tcPr>
            <w:tcW w:w="884" w:type="pct"/>
            <w:vMerge w:val="continue"/>
            <w:noWrap w:val="0"/>
            <w:vAlign w:val="center"/>
          </w:tcPr>
          <w:p>
            <w:pPr>
              <w:spacing w:line="320" w:lineRule="exact"/>
              <w:jc w:val="center"/>
              <w:rPr>
                <w:b/>
                <w:bCs/>
                <w:color w:val="auto"/>
                <w:sz w:val="21"/>
                <w:szCs w:val="21"/>
                <w:highlight w:val="none"/>
              </w:rPr>
            </w:pPr>
          </w:p>
        </w:tc>
        <w:tc>
          <w:tcPr>
            <w:tcW w:w="493" w:type="pct"/>
            <w:noWrap w:val="0"/>
            <w:vAlign w:val="center"/>
          </w:tcPr>
          <w:p>
            <w:pPr>
              <w:spacing w:line="320" w:lineRule="exact"/>
              <w:jc w:val="center"/>
              <w:rPr>
                <w:b/>
                <w:bCs/>
                <w:color w:val="auto"/>
                <w:sz w:val="21"/>
                <w:szCs w:val="21"/>
                <w:highlight w:val="none"/>
              </w:rPr>
            </w:pPr>
            <w:r>
              <w:rPr>
                <w:b/>
                <w:bCs/>
                <w:color w:val="auto"/>
                <w:sz w:val="21"/>
                <w:szCs w:val="21"/>
                <w:highlight w:val="none"/>
              </w:rPr>
              <w:t>监测值</w:t>
            </w:r>
          </w:p>
        </w:tc>
        <w:tc>
          <w:tcPr>
            <w:tcW w:w="518" w:type="pct"/>
            <w:noWrap w:val="0"/>
            <w:vAlign w:val="center"/>
          </w:tcPr>
          <w:p>
            <w:pPr>
              <w:spacing w:line="320" w:lineRule="exact"/>
              <w:jc w:val="center"/>
              <w:rPr>
                <w:b/>
                <w:bCs/>
                <w:color w:val="auto"/>
                <w:sz w:val="21"/>
                <w:szCs w:val="21"/>
                <w:highlight w:val="none"/>
              </w:rPr>
            </w:pPr>
            <w:r>
              <w:rPr>
                <w:b/>
                <w:bCs/>
                <w:color w:val="auto"/>
                <w:sz w:val="21"/>
                <w:szCs w:val="21"/>
                <w:highlight w:val="none"/>
              </w:rPr>
              <w:t>标准值</w:t>
            </w:r>
          </w:p>
        </w:tc>
        <w:tc>
          <w:tcPr>
            <w:tcW w:w="454" w:type="pct"/>
            <w:noWrap w:val="0"/>
            <w:vAlign w:val="center"/>
          </w:tcPr>
          <w:p>
            <w:pPr>
              <w:spacing w:line="320" w:lineRule="exact"/>
              <w:jc w:val="center"/>
              <w:rPr>
                <w:b/>
                <w:bCs/>
                <w:color w:val="auto"/>
                <w:sz w:val="21"/>
                <w:szCs w:val="21"/>
                <w:highlight w:val="none"/>
              </w:rPr>
            </w:pPr>
            <w:r>
              <w:rPr>
                <w:b/>
                <w:bCs/>
                <w:color w:val="auto"/>
                <w:sz w:val="21"/>
                <w:szCs w:val="21"/>
                <w:highlight w:val="none"/>
              </w:rPr>
              <w:t>判定</w:t>
            </w:r>
          </w:p>
        </w:tc>
        <w:tc>
          <w:tcPr>
            <w:tcW w:w="506" w:type="pct"/>
            <w:noWrap w:val="0"/>
            <w:vAlign w:val="center"/>
          </w:tcPr>
          <w:p>
            <w:pPr>
              <w:spacing w:line="320" w:lineRule="exact"/>
              <w:jc w:val="center"/>
              <w:rPr>
                <w:b/>
                <w:bCs/>
                <w:color w:val="auto"/>
                <w:sz w:val="21"/>
                <w:szCs w:val="21"/>
                <w:highlight w:val="none"/>
              </w:rPr>
            </w:pPr>
            <w:r>
              <w:rPr>
                <w:b/>
                <w:bCs/>
                <w:color w:val="auto"/>
                <w:sz w:val="21"/>
                <w:szCs w:val="21"/>
                <w:highlight w:val="none"/>
              </w:rPr>
              <w:t>监测值</w:t>
            </w:r>
          </w:p>
        </w:tc>
        <w:tc>
          <w:tcPr>
            <w:tcW w:w="452" w:type="pct"/>
            <w:noWrap w:val="0"/>
            <w:vAlign w:val="center"/>
          </w:tcPr>
          <w:p>
            <w:pPr>
              <w:spacing w:line="320" w:lineRule="exact"/>
              <w:jc w:val="center"/>
              <w:rPr>
                <w:b/>
                <w:bCs/>
                <w:color w:val="auto"/>
                <w:sz w:val="21"/>
                <w:szCs w:val="21"/>
                <w:highlight w:val="none"/>
              </w:rPr>
            </w:pPr>
            <w:r>
              <w:rPr>
                <w:b/>
                <w:bCs/>
                <w:color w:val="auto"/>
                <w:sz w:val="21"/>
                <w:szCs w:val="21"/>
                <w:highlight w:val="none"/>
              </w:rPr>
              <w:t>标准值</w:t>
            </w:r>
          </w:p>
        </w:tc>
        <w:tc>
          <w:tcPr>
            <w:tcW w:w="366" w:type="pct"/>
            <w:noWrap w:val="0"/>
            <w:vAlign w:val="center"/>
          </w:tcPr>
          <w:p>
            <w:pPr>
              <w:spacing w:line="320" w:lineRule="exact"/>
              <w:jc w:val="center"/>
              <w:rPr>
                <w:b/>
                <w:bCs/>
                <w:color w:val="auto"/>
                <w:sz w:val="21"/>
                <w:szCs w:val="21"/>
                <w:highlight w:val="none"/>
              </w:rPr>
            </w:pPr>
            <w:r>
              <w:rPr>
                <w:b/>
                <w:bCs/>
                <w:color w:val="auto"/>
                <w:sz w:val="21"/>
                <w:szCs w:val="21"/>
                <w:highlight w:val="none"/>
              </w:rPr>
              <w:t>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restar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2021.10.15</w:t>
            </w:r>
          </w:p>
        </w:tc>
        <w:tc>
          <w:tcPr>
            <w:tcW w:w="542" w:type="pct"/>
            <w:noWrap w:val="0"/>
            <w:vAlign w:val="center"/>
          </w:tcPr>
          <w:p>
            <w:pPr>
              <w:spacing w:line="320" w:lineRule="exact"/>
              <w:jc w:val="center"/>
              <w:rPr>
                <w:color w:val="auto"/>
                <w:sz w:val="21"/>
                <w:szCs w:val="21"/>
                <w:highlight w:val="none"/>
              </w:rPr>
            </w:pPr>
            <w:r>
              <w:rPr>
                <w:rFonts w:hint="eastAsia"/>
                <w:color w:val="auto"/>
                <w:sz w:val="21"/>
                <w:szCs w:val="21"/>
                <w:highlight w:val="none"/>
              </w:rPr>
              <w:t>Z</w:t>
            </w:r>
            <w:r>
              <w:rPr>
                <w:color w:val="auto"/>
                <w:sz w:val="21"/>
                <w:szCs w:val="21"/>
                <w:highlight w:val="none"/>
              </w:rPr>
              <w:t>1</w:t>
            </w:r>
          </w:p>
        </w:tc>
        <w:tc>
          <w:tcPr>
            <w:tcW w:w="884" w:type="pct"/>
            <w:noWrap w:val="0"/>
            <w:vAlign w:val="center"/>
          </w:tcPr>
          <w:p>
            <w:pPr>
              <w:spacing w:line="320" w:lineRule="exact"/>
              <w:jc w:val="center"/>
              <w:rPr>
                <w:color w:val="auto"/>
                <w:sz w:val="21"/>
                <w:szCs w:val="21"/>
                <w:highlight w:val="none"/>
              </w:rPr>
            </w:pPr>
            <w:r>
              <w:rPr>
                <w:color w:val="auto"/>
                <w:sz w:val="21"/>
                <w:szCs w:val="21"/>
                <w:highlight w:val="none"/>
              </w:rPr>
              <w:t>厂界东外1m</w:t>
            </w:r>
          </w:p>
        </w:tc>
        <w:tc>
          <w:tcPr>
            <w:tcW w:w="493"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56.2</w:t>
            </w:r>
          </w:p>
        </w:tc>
        <w:tc>
          <w:tcPr>
            <w:tcW w:w="518" w:type="pct"/>
            <w:vMerge w:val="restar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454" w:type="pct"/>
            <w:vMerge w:val="restart"/>
            <w:noWrap w:val="0"/>
            <w:vAlign w:val="center"/>
          </w:tcPr>
          <w:p>
            <w:pPr>
              <w:spacing w:line="320" w:lineRule="exact"/>
              <w:jc w:val="center"/>
              <w:rPr>
                <w:color w:val="auto"/>
                <w:sz w:val="21"/>
                <w:szCs w:val="21"/>
                <w:highlight w:val="none"/>
              </w:rPr>
            </w:pPr>
            <w:r>
              <w:rPr>
                <w:color w:val="auto"/>
                <w:sz w:val="21"/>
                <w:szCs w:val="21"/>
                <w:highlight w:val="none"/>
              </w:rPr>
              <w:t>达标</w:t>
            </w:r>
          </w:p>
        </w:tc>
        <w:tc>
          <w:tcPr>
            <w:tcW w:w="506"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46.5</w:t>
            </w:r>
          </w:p>
        </w:tc>
        <w:tc>
          <w:tcPr>
            <w:tcW w:w="452" w:type="pct"/>
            <w:vMerge w:val="restar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366" w:type="pct"/>
            <w:vMerge w:val="restart"/>
            <w:noWrap w:val="0"/>
            <w:vAlign w:val="center"/>
          </w:tcPr>
          <w:p>
            <w:pPr>
              <w:spacing w:line="320" w:lineRule="exact"/>
              <w:jc w:val="center"/>
              <w:rPr>
                <w:color w:val="auto"/>
                <w:sz w:val="21"/>
                <w:szCs w:val="21"/>
                <w:highlight w:val="none"/>
              </w:rPr>
            </w:pPr>
            <w:r>
              <w:rPr>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continue"/>
            <w:noWrap w:val="0"/>
            <w:vAlign w:val="center"/>
          </w:tcPr>
          <w:p>
            <w:pPr>
              <w:spacing w:line="320" w:lineRule="exact"/>
              <w:jc w:val="center"/>
              <w:rPr>
                <w:color w:val="auto"/>
                <w:sz w:val="21"/>
                <w:szCs w:val="21"/>
                <w:highlight w:val="none"/>
              </w:rPr>
            </w:pPr>
          </w:p>
        </w:tc>
        <w:tc>
          <w:tcPr>
            <w:tcW w:w="542" w:type="pct"/>
            <w:noWrap w:val="0"/>
            <w:vAlign w:val="center"/>
          </w:tcPr>
          <w:p>
            <w:pPr>
              <w:spacing w:line="320" w:lineRule="exact"/>
              <w:jc w:val="center"/>
              <w:rPr>
                <w:color w:val="auto"/>
                <w:sz w:val="21"/>
                <w:szCs w:val="21"/>
                <w:highlight w:val="none"/>
              </w:rPr>
            </w:pPr>
            <w:r>
              <w:rPr>
                <w:rFonts w:hint="eastAsia"/>
                <w:color w:val="auto"/>
                <w:sz w:val="21"/>
                <w:szCs w:val="21"/>
                <w:highlight w:val="none"/>
              </w:rPr>
              <w:t>Z</w:t>
            </w:r>
            <w:r>
              <w:rPr>
                <w:color w:val="auto"/>
                <w:sz w:val="21"/>
                <w:szCs w:val="21"/>
                <w:highlight w:val="none"/>
              </w:rPr>
              <w:t>2</w:t>
            </w:r>
          </w:p>
        </w:tc>
        <w:tc>
          <w:tcPr>
            <w:tcW w:w="884" w:type="pct"/>
            <w:noWrap w:val="0"/>
            <w:vAlign w:val="center"/>
          </w:tcPr>
          <w:p>
            <w:pPr>
              <w:spacing w:line="320" w:lineRule="exact"/>
              <w:jc w:val="center"/>
              <w:rPr>
                <w:color w:val="auto"/>
                <w:sz w:val="21"/>
                <w:szCs w:val="21"/>
                <w:highlight w:val="none"/>
              </w:rPr>
            </w:pPr>
            <w:r>
              <w:rPr>
                <w:color w:val="auto"/>
                <w:sz w:val="21"/>
                <w:szCs w:val="21"/>
                <w:highlight w:val="none"/>
              </w:rPr>
              <w:t>厂界南外1m</w:t>
            </w:r>
          </w:p>
        </w:tc>
        <w:tc>
          <w:tcPr>
            <w:tcW w:w="493"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54.5</w:t>
            </w:r>
          </w:p>
        </w:tc>
        <w:tc>
          <w:tcPr>
            <w:tcW w:w="518" w:type="pct"/>
            <w:vMerge w:val="continue"/>
            <w:noWrap w:val="0"/>
            <w:vAlign w:val="center"/>
          </w:tcPr>
          <w:p>
            <w:pPr>
              <w:spacing w:line="320" w:lineRule="exact"/>
              <w:jc w:val="center"/>
              <w:rPr>
                <w:color w:val="auto"/>
                <w:sz w:val="21"/>
                <w:szCs w:val="21"/>
                <w:highlight w:val="none"/>
              </w:rPr>
            </w:pPr>
          </w:p>
        </w:tc>
        <w:tc>
          <w:tcPr>
            <w:tcW w:w="454" w:type="pct"/>
            <w:vMerge w:val="continue"/>
            <w:noWrap w:val="0"/>
            <w:vAlign w:val="center"/>
          </w:tcPr>
          <w:p>
            <w:pPr>
              <w:spacing w:line="320" w:lineRule="exact"/>
              <w:jc w:val="center"/>
              <w:rPr>
                <w:color w:val="auto"/>
                <w:sz w:val="21"/>
                <w:szCs w:val="21"/>
                <w:highlight w:val="none"/>
              </w:rPr>
            </w:pPr>
          </w:p>
        </w:tc>
        <w:tc>
          <w:tcPr>
            <w:tcW w:w="506"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44.9</w:t>
            </w:r>
          </w:p>
        </w:tc>
        <w:tc>
          <w:tcPr>
            <w:tcW w:w="452" w:type="pct"/>
            <w:vMerge w:val="continue"/>
            <w:noWrap w:val="0"/>
            <w:vAlign w:val="center"/>
          </w:tcPr>
          <w:p>
            <w:pPr>
              <w:spacing w:line="320" w:lineRule="exact"/>
              <w:jc w:val="center"/>
              <w:rPr>
                <w:color w:val="auto"/>
                <w:sz w:val="21"/>
                <w:szCs w:val="21"/>
                <w:highlight w:val="none"/>
              </w:rPr>
            </w:pPr>
          </w:p>
        </w:tc>
        <w:tc>
          <w:tcPr>
            <w:tcW w:w="366" w:type="pct"/>
            <w:vMerge w:val="continue"/>
            <w:noWrap w:val="0"/>
            <w:vAlign w:val="center"/>
          </w:tcPr>
          <w:p>
            <w:pPr>
              <w:spacing w:line="320" w:lineRule="exact"/>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continue"/>
            <w:noWrap w:val="0"/>
            <w:vAlign w:val="center"/>
          </w:tcPr>
          <w:p>
            <w:pPr>
              <w:spacing w:line="320" w:lineRule="exact"/>
              <w:jc w:val="center"/>
              <w:rPr>
                <w:color w:val="auto"/>
                <w:sz w:val="21"/>
                <w:szCs w:val="21"/>
                <w:highlight w:val="none"/>
              </w:rPr>
            </w:pPr>
          </w:p>
        </w:tc>
        <w:tc>
          <w:tcPr>
            <w:tcW w:w="542" w:type="pct"/>
            <w:noWrap w:val="0"/>
            <w:vAlign w:val="center"/>
          </w:tcPr>
          <w:p>
            <w:pPr>
              <w:spacing w:line="320" w:lineRule="exact"/>
              <w:jc w:val="center"/>
              <w:rPr>
                <w:color w:val="auto"/>
                <w:sz w:val="21"/>
                <w:szCs w:val="21"/>
                <w:highlight w:val="none"/>
              </w:rPr>
            </w:pPr>
            <w:r>
              <w:rPr>
                <w:rFonts w:hint="eastAsia"/>
                <w:color w:val="auto"/>
                <w:sz w:val="21"/>
                <w:szCs w:val="21"/>
                <w:highlight w:val="none"/>
              </w:rPr>
              <w:t>Z</w:t>
            </w:r>
            <w:r>
              <w:rPr>
                <w:color w:val="auto"/>
                <w:sz w:val="21"/>
                <w:szCs w:val="21"/>
                <w:highlight w:val="none"/>
              </w:rPr>
              <w:t>3</w:t>
            </w:r>
          </w:p>
        </w:tc>
        <w:tc>
          <w:tcPr>
            <w:tcW w:w="884" w:type="pct"/>
            <w:noWrap w:val="0"/>
            <w:vAlign w:val="center"/>
          </w:tcPr>
          <w:p>
            <w:pPr>
              <w:spacing w:line="320" w:lineRule="exact"/>
              <w:jc w:val="center"/>
              <w:rPr>
                <w:color w:val="auto"/>
                <w:sz w:val="21"/>
                <w:szCs w:val="21"/>
                <w:highlight w:val="none"/>
              </w:rPr>
            </w:pPr>
            <w:r>
              <w:rPr>
                <w:color w:val="auto"/>
                <w:sz w:val="21"/>
                <w:szCs w:val="21"/>
                <w:highlight w:val="none"/>
              </w:rPr>
              <w:t>厂界西外1m</w:t>
            </w:r>
          </w:p>
        </w:tc>
        <w:tc>
          <w:tcPr>
            <w:tcW w:w="493"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53.6</w:t>
            </w:r>
          </w:p>
        </w:tc>
        <w:tc>
          <w:tcPr>
            <w:tcW w:w="518" w:type="pct"/>
            <w:vMerge w:val="continue"/>
            <w:noWrap w:val="0"/>
            <w:vAlign w:val="center"/>
          </w:tcPr>
          <w:p>
            <w:pPr>
              <w:spacing w:line="320" w:lineRule="exact"/>
              <w:jc w:val="center"/>
              <w:rPr>
                <w:color w:val="auto"/>
                <w:sz w:val="21"/>
                <w:szCs w:val="21"/>
                <w:highlight w:val="none"/>
              </w:rPr>
            </w:pPr>
          </w:p>
        </w:tc>
        <w:tc>
          <w:tcPr>
            <w:tcW w:w="454" w:type="pct"/>
            <w:vMerge w:val="continue"/>
            <w:noWrap w:val="0"/>
            <w:vAlign w:val="center"/>
          </w:tcPr>
          <w:p>
            <w:pPr>
              <w:spacing w:line="320" w:lineRule="exact"/>
              <w:jc w:val="center"/>
              <w:rPr>
                <w:color w:val="auto"/>
                <w:sz w:val="21"/>
                <w:szCs w:val="21"/>
                <w:highlight w:val="none"/>
              </w:rPr>
            </w:pPr>
          </w:p>
        </w:tc>
        <w:tc>
          <w:tcPr>
            <w:tcW w:w="506"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43.7</w:t>
            </w:r>
          </w:p>
        </w:tc>
        <w:tc>
          <w:tcPr>
            <w:tcW w:w="452" w:type="pct"/>
            <w:vMerge w:val="continue"/>
            <w:noWrap w:val="0"/>
            <w:vAlign w:val="center"/>
          </w:tcPr>
          <w:p>
            <w:pPr>
              <w:spacing w:line="320" w:lineRule="exact"/>
              <w:jc w:val="center"/>
              <w:rPr>
                <w:color w:val="auto"/>
                <w:sz w:val="21"/>
                <w:szCs w:val="21"/>
                <w:highlight w:val="none"/>
              </w:rPr>
            </w:pPr>
          </w:p>
        </w:tc>
        <w:tc>
          <w:tcPr>
            <w:tcW w:w="366" w:type="pct"/>
            <w:vMerge w:val="continue"/>
            <w:noWrap w:val="0"/>
            <w:vAlign w:val="center"/>
          </w:tcPr>
          <w:p>
            <w:pPr>
              <w:spacing w:line="320" w:lineRule="exact"/>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continue"/>
            <w:noWrap w:val="0"/>
            <w:vAlign w:val="center"/>
          </w:tcPr>
          <w:p>
            <w:pPr>
              <w:spacing w:line="320" w:lineRule="exact"/>
              <w:jc w:val="center"/>
              <w:rPr>
                <w:color w:val="auto"/>
                <w:sz w:val="21"/>
                <w:szCs w:val="21"/>
                <w:highlight w:val="none"/>
              </w:rPr>
            </w:pPr>
          </w:p>
        </w:tc>
        <w:tc>
          <w:tcPr>
            <w:tcW w:w="542" w:type="pct"/>
            <w:noWrap w:val="0"/>
            <w:vAlign w:val="center"/>
          </w:tcPr>
          <w:p>
            <w:pPr>
              <w:spacing w:line="320" w:lineRule="exact"/>
              <w:jc w:val="center"/>
              <w:rPr>
                <w:color w:val="auto"/>
                <w:sz w:val="21"/>
                <w:szCs w:val="21"/>
                <w:highlight w:val="none"/>
              </w:rPr>
            </w:pPr>
            <w:r>
              <w:rPr>
                <w:rFonts w:hint="eastAsia"/>
                <w:color w:val="auto"/>
                <w:sz w:val="21"/>
                <w:szCs w:val="21"/>
                <w:highlight w:val="none"/>
              </w:rPr>
              <w:t>Z</w:t>
            </w:r>
            <w:r>
              <w:rPr>
                <w:color w:val="auto"/>
                <w:sz w:val="21"/>
                <w:szCs w:val="21"/>
                <w:highlight w:val="none"/>
              </w:rPr>
              <w:t>4</w:t>
            </w:r>
          </w:p>
        </w:tc>
        <w:tc>
          <w:tcPr>
            <w:tcW w:w="884" w:type="pct"/>
            <w:noWrap w:val="0"/>
            <w:vAlign w:val="center"/>
          </w:tcPr>
          <w:p>
            <w:pPr>
              <w:spacing w:line="320" w:lineRule="exact"/>
              <w:jc w:val="center"/>
              <w:rPr>
                <w:color w:val="auto"/>
                <w:sz w:val="21"/>
                <w:szCs w:val="21"/>
                <w:highlight w:val="none"/>
              </w:rPr>
            </w:pPr>
            <w:r>
              <w:rPr>
                <w:color w:val="auto"/>
                <w:sz w:val="21"/>
                <w:szCs w:val="21"/>
                <w:highlight w:val="none"/>
              </w:rPr>
              <w:t>厂界北外1m</w:t>
            </w:r>
          </w:p>
        </w:tc>
        <w:tc>
          <w:tcPr>
            <w:tcW w:w="493"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55.1</w:t>
            </w:r>
          </w:p>
        </w:tc>
        <w:tc>
          <w:tcPr>
            <w:tcW w:w="518" w:type="pct"/>
            <w:vMerge w:val="continue"/>
            <w:noWrap w:val="0"/>
            <w:vAlign w:val="center"/>
          </w:tcPr>
          <w:p>
            <w:pPr>
              <w:spacing w:line="320" w:lineRule="exact"/>
              <w:jc w:val="center"/>
              <w:rPr>
                <w:color w:val="auto"/>
                <w:sz w:val="21"/>
                <w:szCs w:val="21"/>
                <w:highlight w:val="none"/>
              </w:rPr>
            </w:pPr>
          </w:p>
        </w:tc>
        <w:tc>
          <w:tcPr>
            <w:tcW w:w="454" w:type="pct"/>
            <w:vMerge w:val="continue"/>
            <w:noWrap w:val="0"/>
            <w:vAlign w:val="center"/>
          </w:tcPr>
          <w:p>
            <w:pPr>
              <w:spacing w:line="320" w:lineRule="exact"/>
              <w:jc w:val="center"/>
              <w:rPr>
                <w:color w:val="auto"/>
                <w:sz w:val="21"/>
                <w:szCs w:val="21"/>
                <w:highlight w:val="none"/>
              </w:rPr>
            </w:pPr>
          </w:p>
        </w:tc>
        <w:tc>
          <w:tcPr>
            <w:tcW w:w="506"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45.4</w:t>
            </w:r>
          </w:p>
        </w:tc>
        <w:tc>
          <w:tcPr>
            <w:tcW w:w="452" w:type="pct"/>
            <w:vMerge w:val="continue"/>
            <w:noWrap w:val="0"/>
            <w:vAlign w:val="center"/>
          </w:tcPr>
          <w:p>
            <w:pPr>
              <w:spacing w:line="320" w:lineRule="exact"/>
              <w:jc w:val="center"/>
              <w:rPr>
                <w:color w:val="auto"/>
                <w:sz w:val="21"/>
                <w:szCs w:val="21"/>
                <w:highlight w:val="none"/>
              </w:rPr>
            </w:pPr>
          </w:p>
        </w:tc>
        <w:tc>
          <w:tcPr>
            <w:tcW w:w="366" w:type="pct"/>
            <w:vMerge w:val="continue"/>
            <w:noWrap w:val="0"/>
            <w:vAlign w:val="center"/>
          </w:tcPr>
          <w:p>
            <w:pPr>
              <w:spacing w:line="320" w:lineRule="exact"/>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restar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2021.10.16</w:t>
            </w:r>
          </w:p>
        </w:tc>
        <w:tc>
          <w:tcPr>
            <w:tcW w:w="542" w:type="pct"/>
            <w:noWrap w:val="0"/>
            <w:vAlign w:val="center"/>
          </w:tcPr>
          <w:p>
            <w:pPr>
              <w:spacing w:line="320" w:lineRule="exact"/>
              <w:jc w:val="center"/>
              <w:rPr>
                <w:color w:val="auto"/>
                <w:sz w:val="21"/>
                <w:szCs w:val="21"/>
                <w:highlight w:val="none"/>
              </w:rPr>
            </w:pPr>
            <w:r>
              <w:rPr>
                <w:rFonts w:hint="eastAsia"/>
                <w:color w:val="auto"/>
                <w:sz w:val="21"/>
                <w:szCs w:val="21"/>
                <w:highlight w:val="none"/>
              </w:rPr>
              <w:t>Z</w:t>
            </w:r>
            <w:r>
              <w:rPr>
                <w:color w:val="auto"/>
                <w:sz w:val="21"/>
                <w:szCs w:val="21"/>
                <w:highlight w:val="none"/>
              </w:rPr>
              <w:t>1</w:t>
            </w:r>
          </w:p>
        </w:tc>
        <w:tc>
          <w:tcPr>
            <w:tcW w:w="884" w:type="pct"/>
            <w:noWrap w:val="0"/>
            <w:vAlign w:val="center"/>
          </w:tcPr>
          <w:p>
            <w:pPr>
              <w:spacing w:line="320" w:lineRule="exact"/>
              <w:jc w:val="center"/>
              <w:rPr>
                <w:color w:val="auto"/>
                <w:sz w:val="21"/>
                <w:szCs w:val="21"/>
                <w:highlight w:val="none"/>
              </w:rPr>
            </w:pPr>
            <w:r>
              <w:rPr>
                <w:color w:val="auto"/>
                <w:sz w:val="21"/>
                <w:szCs w:val="21"/>
                <w:highlight w:val="none"/>
              </w:rPr>
              <w:t>厂界东外1m</w:t>
            </w:r>
          </w:p>
        </w:tc>
        <w:tc>
          <w:tcPr>
            <w:tcW w:w="493"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56.7</w:t>
            </w:r>
          </w:p>
        </w:tc>
        <w:tc>
          <w:tcPr>
            <w:tcW w:w="518" w:type="pct"/>
            <w:vMerge w:val="restar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454" w:type="pct"/>
            <w:vMerge w:val="restart"/>
            <w:noWrap w:val="0"/>
            <w:vAlign w:val="center"/>
          </w:tcPr>
          <w:p>
            <w:pPr>
              <w:spacing w:line="320" w:lineRule="exact"/>
              <w:jc w:val="center"/>
              <w:rPr>
                <w:color w:val="auto"/>
                <w:sz w:val="21"/>
                <w:szCs w:val="21"/>
                <w:highlight w:val="none"/>
              </w:rPr>
            </w:pPr>
            <w:r>
              <w:rPr>
                <w:color w:val="auto"/>
                <w:sz w:val="21"/>
                <w:szCs w:val="21"/>
                <w:highlight w:val="none"/>
              </w:rPr>
              <w:t>达标</w:t>
            </w:r>
          </w:p>
        </w:tc>
        <w:tc>
          <w:tcPr>
            <w:tcW w:w="506"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46.8</w:t>
            </w:r>
          </w:p>
        </w:tc>
        <w:tc>
          <w:tcPr>
            <w:tcW w:w="452" w:type="pct"/>
            <w:vMerge w:val="restart"/>
            <w:noWrap w:val="0"/>
            <w:vAlign w:val="center"/>
          </w:tcPr>
          <w:p>
            <w:pPr>
              <w:spacing w:line="320" w:lineRule="exact"/>
              <w:jc w:val="center"/>
              <w:rPr>
                <w:rFonts w:hint="eastAsia" w:eastAsia="宋体"/>
                <w:color w:val="auto"/>
                <w:sz w:val="21"/>
                <w:szCs w:val="21"/>
                <w:highlight w:val="none"/>
                <w:lang w:eastAsia="zh-CN"/>
              </w:rPr>
            </w:pPr>
            <w:r>
              <w:rPr>
                <w:color w:val="auto"/>
                <w:sz w:val="21"/>
                <w:szCs w:val="21"/>
                <w:highlight w:val="none"/>
              </w:rPr>
              <w:t>5</w:t>
            </w:r>
            <w:r>
              <w:rPr>
                <w:rFonts w:hint="eastAsia"/>
                <w:color w:val="auto"/>
                <w:sz w:val="21"/>
                <w:szCs w:val="21"/>
                <w:highlight w:val="none"/>
                <w:lang w:val="en-US" w:eastAsia="zh-CN"/>
              </w:rPr>
              <w:t>0</w:t>
            </w:r>
          </w:p>
        </w:tc>
        <w:tc>
          <w:tcPr>
            <w:tcW w:w="366" w:type="pct"/>
            <w:vMerge w:val="restart"/>
            <w:noWrap w:val="0"/>
            <w:vAlign w:val="center"/>
          </w:tcPr>
          <w:p>
            <w:pPr>
              <w:spacing w:line="320" w:lineRule="exact"/>
              <w:jc w:val="center"/>
              <w:rPr>
                <w:color w:val="auto"/>
                <w:sz w:val="21"/>
                <w:szCs w:val="21"/>
                <w:highlight w:val="none"/>
              </w:rPr>
            </w:pPr>
            <w:r>
              <w:rPr>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continue"/>
            <w:noWrap w:val="0"/>
            <w:vAlign w:val="center"/>
          </w:tcPr>
          <w:p>
            <w:pPr>
              <w:spacing w:line="320" w:lineRule="exact"/>
              <w:jc w:val="center"/>
              <w:rPr>
                <w:color w:val="auto"/>
                <w:sz w:val="21"/>
                <w:szCs w:val="21"/>
                <w:highlight w:val="none"/>
              </w:rPr>
            </w:pPr>
          </w:p>
        </w:tc>
        <w:tc>
          <w:tcPr>
            <w:tcW w:w="542" w:type="pct"/>
            <w:noWrap w:val="0"/>
            <w:vAlign w:val="center"/>
          </w:tcPr>
          <w:p>
            <w:pPr>
              <w:spacing w:line="320" w:lineRule="exact"/>
              <w:jc w:val="center"/>
              <w:rPr>
                <w:color w:val="auto"/>
                <w:sz w:val="21"/>
                <w:szCs w:val="21"/>
                <w:highlight w:val="none"/>
              </w:rPr>
            </w:pPr>
            <w:r>
              <w:rPr>
                <w:rFonts w:hint="eastAsia"/>
                <w:color w:val="auto"/>
                <w:sz w:val="21"/>
                <w:szCs w:val="21"/>
                <w:highlight w:val="none"/>
              </w:rPr>
              <w:t>Z</w:t>
            </w:r>
            <w:r>
              <w:rPr>
                <w:color w:val="auto"/>
                <w:sz w:val="21"/>
                <w:szCs w:val="21"/>
                <w:highlight w:val="none"/>
              </w:rPr>
              <w:t>2</w:t>
            </w:r>
          </w:p>
        </w:tc>
        <w:tc>
          <w:tcPr>
            <w:tcW w:w="884" w:type="pct"/>
            <w:noWrap w:val="0"/>
            <w:vAlign w:val="center"/>
          </w:tcPr>
          <w:p>
            <w:pPr>
              <w:spacing w:line="320" w:lineRule="exact"/>
              <w:jc w:val="center"/>
              <w:rPr>
                <w:color w:val="auto"/>
                <w:sz w:val="21"/>
                <w:szCs w:val="21"/>
                <w:highlight w:val="none"/>
              </w:rPr>
            </w:pPr>
            <w:r>
              <w:rPr>
                <w:color w:val="auto"/>
                <w:sz w:val="21"/>
                <w:szCs w:val="21"/>
                <w:highlight w:val="none"/>
              </w:rPr>
              <w:t>厂界南外1m</w:t>
            </w:r>
          </w:p>
        </w:tc>
        <w:tc>
          <w:tcPr>
            <w:tcW w:w="493"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54.2</w:t>
            </w:r>
          </w:p>
        </w:tc>
        <w:tc>
          <w:tcPr>
            <w:tcW w:w="518" w:type="pct"/>
            <w:vMerge w:val="continue"/>
            <w:noWrap w:val="0"/>
            <w:vAlign w:val="center"/>
          </w:tcPr>
          <w:p>
            <w:pPr>
              <w:spacing w:line="320" w:lineRule="exact"/>
              <w:jc w:val="center"/>
              <w:rPr>
                <w:color w:val="auto"/>
                <w:sz w:val="21"/>
                <w:szCs w:val="21"/>
                <w:highlight w:val="none"/>
              </w:rPr>
            </w:pPr>
          </w:p>
        </w:tc>
        <w:tc>
          <w:tcPr>
            <w:tcW w:w="454" w:type="pct"/>
            <w:vMerge w:val="continue"/>
            <w:noWrap w:val="0"/>
            <w:vAlign w:val="center"/>
          </w:tcPr>
          <w:p>
            <w:pPr>
              <w:spacing w:line="320" w:lineRule="exact"/>
              <w:jc w:val="center"/>
              <w:rPr>
                <w:color w:val="auto"/>
                <w:sz w:val="21"/>
                <w:szCs w:val="21"/>
                <w:highlight w:val="none"/>
              </w:rPr>
            </w:pPr>
          </w:p>
        </w:tc>
        <w:tc>
          <w:tcPr>
            <w:tcW w:w="506"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44.4</w:t>
            </w:r>
          </w:p>
        </w:tc>
        <w:tc>
          <w:tcPr>
            <w:tcW w:w="452" w:type="pct"/>
            <w:vMerge w:val="continue"/>
            <w:noWrap w:val="0"/>
            <w:vAlign w:val="center"/>
          </w:tcPr>
          <w:p>
            <w:pPr>
              <w:pStyle w:val="15"/>
              <w:rPr>
                <w:rFonts w:ascii="Times New Roman" w:hAnsi="Times New Roman"/>
                <w:color w:val="auto"/>
                <w:sz w:val="21"/>
                <w:szCs w:val="21"/>
                <w:highlight w:val="none"/>
              </w:rPr>
            </w:pPr>
          </w:p>
        </w:tc>
        <w:tc>
          <w:tcPr>
            <w:tcW w:w="366" w:type="pct"/>
            <w:vMerge w:val="continue"/>
            <w:noWrap w:val="0"/>
            <w:vAlign w:val="center"/>
          </w:tcPr>
          <w:p>
            <w:pPr>
              <w:pStyle w:val="15"/>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continue"/>
            <w:noWrap w:val="0"/>
            <w:vAlign w:val="center"/>
          </w:tcPr>
          <w:p>
            <w:pPr>
              <w:spacing w:line="320" w:lineRule="exact"/>
              <w:jc w:val="center"/>
              <w:rPr>
                <w:color w:val="auto"/>
                <w:sz w:val="21"/>
                <w:szCs w:val="21"/>
                <w:highlight w:val="none"/>
              </w:rPr>
            </w:pPr>
          </w:p>
        </w:tc>
        <w:tc>
          <w:tcPr>
            <w:tcW w:w="542" w:type="pct"/>
            <w:noWrap w:val="0"/>
            <w:vAlign w:val="center"/>
          </w:tcPr>
          <w:p>
            <w:pPr>
              <w:spacing w:line="320" w:lineRule="exact"/>
              <w:jc w:val="center"/>
              <w:rPr>
                <w:color w:val="auto"/>
                <w:sz w:val="21"/>
                <w:szCs w:val="21"/>
                <w:highlight w:val="none"/>
              </w:rPr>
            </w:pPr>
            <w:r>
              <w:rPr>
                <w:rFonts w:hint="eastAsia"/>
                <w:color w:val="auto"/>
                <w:sz w:val="21"/>
                <w:szCs w:val="21"/>
                <w:highlight w:val="none"/>
              </w:rPr>
              <w:t>Z</w:t>
            </w:r>
            <w:r>
              <w:rPr>
                <w:color w:val="auto"/>
                <w:sz w:val="21"/>
                <w:szCs w:val="21"/>
                <w:highlight w:val="none"/>
              </w:rPr>
              <w:t>3</w:t>
            </w:r>
          </w:p>
        </w:tc>
        <w:tc>
          <w:tcPr>
            <w:tcW w:w="884" w:type="pct"/>
            <w:noWrap w:val="0"/>
            <w:vAlign w:val="center"/>
          </w:tcPr>
          <w:p>
            <w:pPr>
              <w:spacing w:line="320" w:lineRule="exact"/>
              <w:jc w:val="center"/>
              <w:rPr>
                <w:color w:val="auto"/>
                <w:sz w:val="21"/>
                <w:szCs w:val="21"/>
                <w:highlight w:val="none"/>
              </w:rPr>
            </w:pPr>
            <w:r>
              <w:rPr>
                <w:color w:val="auto"/>
                <w:sz w:val="21"/>
                <w:szCs w:val="21"/>
                <w:highlight w:val="none"/>
              </w:rPr>
              <w:t>厂界西外1m</w:t>
            </w:r>
          </w:p>
        </w:tc>
        <w:tc>
          <w:tcPr>
            <w:tcW w:w="493"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53.9</w:t>
            </w:r>
          </w:p>
        </w:tc>
        <w:tc>
          <w:tcPr>
            <w:tcW w:w="518" w:type="pct"/>
            <w:vMerge w:val="continue"/>
            <w:noWrap w:val="0"/>
            <w:vAlign w:val="center"/>
          </w:tcPr>
          <w:p>
            <w:pPr>
              <w:spacing w:line="320" w:lineRule="exact"/>
              <w:jc w:val="center"/>
              <w:rPr>
                <w:color w:val="auto"/>
                <w:sz w:val="21"/>
                <w:szCs w:val="21"/>
                <w:highlight w:val="none"/>
              </w:rPr>
            </w:pPr>
          </w:p>
        </w:tc>
        <w:tc>
          <w:tcPr>
            <w:tcW w:w="454" w:type="pct"/>
            <w:vMerge w:val="continue"/>
            <w:noWrap w:val="0"/>
            <w:vAlign w:val="center"/>
          </w:tcPr>
          <w:p>
            <w:pPr>
              <w:spacing w:line="320" w:lineRule="exact"/>
              <w:jc w:val="center"/>
              <w:rPr>
                <w:color w:val="auto"/>
                <w:sz w:val="21"/>
                <w:szCs w:val="21"/>
                <w:highlight w:val="none"/>
              </w:rPr>
            </w:pPr>
          </w:p>
        </w:tc>
        <w:tc>
          <w:tcPr>
            <w:tcW w:w="506"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44.2</w:t>
            </w:r>
          </w:p>
        </w:tc>
        <w:tc>
          <w:tcPr>
            <w:tcW w:w="452" w:type="pct"/>
            <w:vMerge w:val="continue"/>
            <w:noWrap w:val="0"/>
            <w:vAlign w:val="center"/>
          </w:tcPr>
          <w:p>
            <w:pPr>
              <w:pStyle w:val="15"/>
              <w:rPr>
                <w:rFonts w:ascii="Times New Roman" w:hAnsi="Times New Roman"/>
                <w:color w:val="auto"/>
                <w:sz w:val="21"/>
                <w:szCs w:val="21"/>
                <w:highlight w:val="none"/>
              </w:rPr>
            </w:pPr>
          </w:p>
        </w:tc>
        <w:tc>
          <w:tcPr>
            <w:tcW w:w="366" w:type="pct"/>
            <w:vMerge w:val="continue"/>
            <w:noWrap w:val="0"/>
            <w:vAlign w:val="center"/>
          </w:tcPr>
          <w:p>
            <w:pPr>
              <w:pStyle w:val="15"/>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Merge w:val="continue"/>
            <w:noWrap w:val="0"/>
            <w:vAlign w:val="center"/>
          </w:tcPr>
          <w:p>
            <w:pPr>
              <w:spacing w:line="320" w:lineRule="exact"/>
              <w:jc w:val="center"/>
              <w:rPr>
                <w:color w:val="auto"/>
                <w:sz w:val="21"/>
                <w:szCs w:val="21"/>
                <w:highlight w:val="none"/>
              </w:rPr>
            </w:pPr>
          </w:p>
        </w:tc>
        <w:tc>
          <w:tcPr>
            <w:tcW w:w="542" w:type="pct"/>
            <w:noWrap w:val="0"/>
            <w:vAlign w:val="center"/>
          </w:tcPr>
          <w:p>
            <w:pPr>
              <w:spacing w:line="320" w:lineRule="exact"/>
              <w:jc w:val="center"/>
              <w:rPr>
                <w:color w:val="auto"/>
                <w:sz w:val="21"/>
                <w:szCs w:val="21"/>
                <w:highlight w:val="none"/>
              </w:rPr>
            </w:pPr>
            <w:r>
              <w:rPr>
                <w:rFonts w:hint="eastAsia"/>
                <w:color w:val="auto"/>
                <w:sz w:val="21"/>
                <w:szCs w:val="21"/>
                <w:highlight w:val="none"/>
              </w:rPr>
              <w:t>Z</w:t>
            </w:r>
            <w:r>
              <w:rPr>
                <w:color w:val="auto"/>
                <w:sz w:val="21"/>
                <w:szCs w:val="21"/>
                <w:highlight w:val="none"/>
              </w:rPr>
              <w:t>4</w:t>
            </w:r>
          </w:p>
        </w:tc>
        <w:tc>
          <w:tcPr>
            <w:tcW w:w="884" w:type="pct"/>
            <w:noWrap w:val="0"/>
            <w:vAlign w:val="center"/>
          </w:tcPr>
          <w:p>
            <w:pPr>
              <w:spacing w:line="320" w:lineRule="exact"/>
              <w:jc w:val="center"/>
              <w:rPr>
                <w:color w:val="auto"/>
                <w:sz w:val="21"/>
                <w:szCs w:val="21"/>
                <w:highlight w:val="none"/>
              </w:rPr>
            </w:pPr>
            <w:r>
              <w:rPr>
                <w:color w:val="auto"/>
                <w:sz w:val="21"/>
                <w:szCs w:val="21"/>
                <w:highlight w:val="none"/>
              </w:rPr>
              <w:t>厂界北外1m</w:t>
            </w:r>
          </w:p>
        </w:tc>
        <w:tc>
          <w:tcPr>
            <w:tcW w:w="493"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55.4</w:t>
            </w:r>
          </w:p>
        </w:tc>
        <w:tc>
          <w:tcPr>
            <w:tcW w:w="518" w:type="pct"/>
            <w:vMerge w:val="continue"/>
            <w:noWrap w:val="0"/>
            <w:vAlign w:val="center"/>
          </w:tcPr>
          <w:p>
            <w:pPr>
              <w:spacing w:line="320" w:lineRule="exact"/>
              <w:jc w:val="center"/>
              <w:rPr>
                <w:color w:val="auto"/>
                <w:sz w:val="21"/>
                <w:szCs w:val="21"/>
                <w:highlight w:val="none"/>
              </w:rPr>
            </w:pPr>
          </w:p>
        </w:tc>
        <w:tc>
          <w:tcPr>
            <w:tcW w:w="454" w:type="pct"/>
            <w:vMerge w:val="continue"/>
            <w:noWrap w:val="0"/>
            <w:vAlign w:val="center"/>
          </w:tcPr>
          <w:p>
            <w:pPr>
              <w:spacing w:line="320" w:lineRule="exact"/>
              <w:jc w:val="center"/>
              <w:rPr>
                <w:color w:val="auto"/>
                <w:sz w:val="21"/>
                <w:szCs w:val="21"/>
                <w:highlight w:val="none"/>
              </w:rPr>
            </w:pPr>
          </w:p>
        </w:tc>
        <w:tc>
          <w:tcPr>
            <w:tcW w:w="506" w:type="pct"/>
            <w:noWrap w:val="0"/>
            <w:vAlign w:val="center"/>
          </w:tcPr>
          <w:p>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45.7</w:t>
            </w:r>
          </w:p>
        </w:tc>
        <w:tc>
          <w:tcPr>
            <w:tcW w:w="452" w:type="pct"/>
            <w:vMerge w:val="continue"/>
            <w:noWrap w:val="0"/>
            <w:vAlign w:val="center"/>
          </w:tcPr>
          <w:p>
            <w:pPr>
              <w:pStyle w:val="15"/>
              <w:rPr>
                <w:rFonts w:ascii="Times New Roman" w:hAnsi="Times New Roman"/>
                <w:color w:val="auto"/>
                <w:sz w:val="21"/>
                <w:szCs w:val="21"/>
                <w:highlight w:val="none"/>
              </w:rPr>
            </w:pPr>
          </w:p>
        </w:tc>
        <w:tc>
          <w:tcPr>
            <w:tcW w:w="366" w:type="pct"/>
            <w:vMerge w:val="continue"/>
            <w:noWrap w:val="0"/>
            <w:vAlign w:val="center"/>
          </w:tcPr>
          <w:p>
            <w:pPr>
              <w:pStyle w:val="15"/>
              <w:rPr>
                <w:rFonts w:ascii="Times New Roman" w:hAnsi="Times New Roman"/>
                <w:color w:val="auto"/>
                <w:sz w:val="21"/>
                <w:szCs w:val="21"/>
                <w:highlight w:val="none"/>
              </w:rPr>
            </w:pPr>
          </w:p>
        </w:tc>
      </w:tr>
    </w:tbl>
    <w:p>
      <w:pPr>
        <w:bidi w:val="0"/>
        <w:ind w:firstLine="560" w:firstLineChars="200"/>
        <w:rPr>
          <w:color w:val="auto"/>
          <w:highlight w:val="none"/>
        </w:rPr>
      </w:pPr>
      <w:r>
        <w:rPr>
          <w:color w:val="auto"/>
          <w:highlight w:val="none"/>
        </w:rPr>
        <w:t>由</w:t>
      </w:r>
      <w:r>
        <w:rPr>
          <w:rFonts w:hint="eastAsia"/>
          <w:color w:val="auto"/>
          <w:highlight w:val="none"/>
        </w:rPr>
        <w:t>江苏锦城检测科技</w:t>
      </w:r>
      <w:r>
        <w:rPr>
          <w:color w:val="auto"/>
          <w:highlight w:val="none"/>
        </w:rPr>
        <w:t>有限公司于项目地边界外1m进行监测，监测时长符合相关监测技术规范，根据现场监测结果，项目所在</w:t>
      </w:r>
      <w:r>
        <w:rPr>
          <w:rFonts w:hint="eastAsia"/>
          <w:color w:val="auto"/>
          <w:highlight w:val="none"/>
        </w:rPr>
        <w:t>厂界</w:t>
      </w:r>
      <w:r>
        <w:rPr>
          <w:color w:val="auto"/>
          <w:highlight w:val="none"/>
        </w:rPr>
        <w:t>噪声均能满足《</w:t>
      </w:r>
      <w:r>
        <w:rPr>
          <w:rFonts w:hint="eastAsia"/>
          <w:color w:val="auto"/>
          <w:highlight w:val="none"/>
          <w:lang w:val="en-US" w:eastAsia="zh-CN"/>
        </w:rPr>
        <w:t>社会噪声排放标准</w:t>
      </w:r>
      <w:r>
        <w:rPr>
          <w:color w:val="auto"/>
          <w:highlight w:val="none"/>
        </w:rPr>
        <w:t>》(GB</w:t>
      </w:r>
      <w:r>
        <w:rPr>
          <w:rFonts w:hint="eastAsia"/>
          <w:color w:val="auto"/>
          <w:highlight w:val="none"/>
          <w:lang w:val="en-US" w:eastAsia="zh-CN"/>
        </w:rPr>
        <w:t>22337-2008</w:t>
      </w:r>
      <w:r>
        <w:rPr>
          <w:color w:val="auto"/>
          <w:highlight w:val="none"/>
        </w:rPr>
        <w:t>)</w:t>
      </w:r>
      <w:r>
        <w:rPr>
          <w:rFonts w:hint="eastAsia"/>
          <w:color w:val="auto"/>
          <w:highlight w:val="none"/>
          <w:lang w:val="en-US" w:eastAsia="zh-CN"/>
        </w:rPr>
        <w:t>2</w:t>
      </w:r>
      <w:r>
        <w:rPr>
          <w:color w:val="auto"/>
          <w:highlight w:val="none"/>
        </w:rPr>
        <w:t>类标准。</w:t>
      </w:r>
    </w:p>
    <w:p>
      <w:pPr>
        <w:rPr>
          <w:color w:val="auto"/>
          <w:highlight w:val="none"/>
        </w:rPr>
      </w:pPr>
      <w:r>
        <w:rPr>
          <w:color w:val="auto"/>
          <w:highlight w:val="none"/>
        </w:rPr>
        <w:br w:type="page"/>
      </w:r>
    </w:p>
    <w:p>
      <w:pPr>
        <w:pStyle w:val="2"/>
        <w:rPr>
          <w:rStyle w:val="17"/>
          <w:rFonts w:hint="eastAsia"/>
          <w:b/>
          <w:color w:val="auto"/>
          <w:highlight w:val="none"/>
        </w:rPr>
      </w:pPr>
      <w:bookmarkStart w:id="81" w:name="_Toc5824"/>
      <w:bookmarkStart w:id="82" w:name="_Toc17383"/>
      <w:r>
        <w:rPr>
          <w:rStyle w:val="17"/>
          <w:rFonts w:hint="eastAsia"/>
          <w:b/>
          <w:color w:val="auto"/>
          <w:highlight w:val="none"/>
          <w:lang w:val="en-US" w:eastAsia="zh-CN"/>
        </w:rPr>
        <w:t>7</w:t>
      </w:r>
      <w:r>
        <w:rPr>
          <w:rStyle w:val="17"/>
          <w:rFonts w:hint="eastAsia"/>
          <w:b/>
          <w:color w:val="auto"/>
          <w:highlight w:val="none"/>
        </w:rPr>
        <w:t>验收调查结论</w:t>
      </w:r>
      <w:bookmarkEnd w:id="81"/>
      <w:bookmarkEnd w:id="82"/>
    </w:p>
    <w:p>
      <w:pPr>
        <w:pStyle w:val="3"/>
        <w:spacing w:before="120" w:after="120"/>
        <w:rPr>
          <w:color w:val="auto"/>
          <w:highlight w:val="none"/>
        </w:rPr>
      </w:pPr>
      <w:bookmarkStart w:id="83" w:name="_Toc511144047"/>
      <w:bookmarkStart w:id="84" w:name="_Toc511143577"/>
      <w:bookmarkStart w:id="85" w:name="_Toc12449"/>
      <w:bookmarkStart w:id="86" w:name="_Toc15960"/>
      <w:bookmarkStart w:id="87" w:name="_Toc18951"/>
      <w:bookmarkStart w:id="88" w:name="_Toc31276"/>
      <w:bookmarkStart w:id="89" w:name="_Toc511143509"/>
      <w:bookmarkStart w:id="90" w:name="_Toc511143621"/>
      <w:bookmarkStart w:id="91" w:name="_Toc32261"/>
      <w:r>
        <w:rPr>
          <w:rFonts w:hint="eastAsia"/>
          <w:color w:val="auto"/>
          <w:highlight w:val="none"/>
          <w:lang w:val="en-US" w:eastAsia="zh-CN"/>
        </w:rPr>
        <w:t>7</w:t>
      </w:r>
      <w:r>
        <w:rPr>
          <w:color w:val="auto"/>
          <w:highlight w:val="none"/>
        </w:rPr>
        <w:t>.1工程实况</w:t>
      </w:r>
      <w:bookmarkEnd w:id="83"/>
      <w:bookmarkEnd w:id="84"/>
      <w:bookmarkEnd w:id="85"/>
      <w:bookmarkEnd w:id="86"/>
      <w:bookmarkEnd w:id="87"/>
      <w:bookmarkEnd w:id="88"/>
      <w:bookmarkEnd w:id="89"/>
      <w:bookmarkEnd w:id="90"/>
      <w:bookmarkEnd w:id="91"/>
    </w:p>
    <w:p>
      <w:pPr>
        <w:ind w:firstLine="560" w:firstLineChars="200"/>
        <w:rPr>
          <w:color w:val="auto"/>
          <w:highlight w:val="none"/>
        </w:rPr>
      </w:pPr>
      <w:r>
        <w:rPr>
          <w:color w:val="auto"/>
          <w:highlight w:val="none"/>
        </w:rPr>
        <w:t>20</w:t>
      </w:r>
      <w:r>
        <w:rPr>
          <w:rFonts w:hint="eastAsia"/>
          <w:color w:val="auto"/>
          <w:highlight w:val="none"/>
        </w:rPr>
        <w:t>21</w:t>
      </w:r>
      <w:r>
        <w:rPr>
          <w:color w:val="auto"/>
          <w:highlight w:val="none"/>
        </w:rPr>
        <w:t>年</w:t>
      </w:r>
      <w:r>
        <w:rPr>
          <w:rFonts w:hint="eastAsia"/>
          <w:color w:val="auto"/>
          <w:highlight w:val="none"/>
          <w:lang w:val="en-US" w:eastAsia="zh-CN"/>
        </w:rPr>
        <w:t>11</w:t>
      </w:r>
      <w:r>
        <w:rPr>
          <w:color w:val="auto"/>
          <w:highlight w:val="none"/>
        </w:rPr>
        <w:t>月，苏</w:t>
      </w:r>
      <w:r>
        <w:rPr>
          <w:rFonts w:hint="eastAsia"/>
          <w:color w:val="auto"/>
          <w:highlight w:val="none"/>
        </w:rPr>
        <w:t>州市苏州茂龙地产发展有限公司苏地2017-WG-82号地块项目</w:t>
      </w:r>
      <w:r>
        <w:rPr>
          <w:rFonts w:hint="eastAsia"/>
          <w:color w:val="auto"/>
          <w:highlight w:val="none"/>
          <w:lang w:eastAsia="zh-CN"/>
        </w:rPr>
        <w:t>（</w:t>
      </w:r>
      <w:r>
        <w:rPr>
          <w:rFonts w:hint="eastAsia"/>
          <w:color w:val="auto"/>
          <w:highlight w:val="none"/>
          <w:lang w:val="en-US" w:eastAsia="zh-CN"/>
        </w:rPr>
        <w:t>地块一</w:t>
      </w:r>
      <w:r>
        <w:rPr>
          <w:rFonts w:hint="eastAsia"/>
          <w:color w:val="auto"/>
          <w:highlight w:val="none"/>
          <w:lang w:eastAsia="zh-CN"/>
        </w:rPr>
        <w:t>）</w:t>
      </w:r>
      <w:r>
        <w:rPr>
          <w:color w:val="auto"/>
          <w:highlight w:val="none"/>
        </w:rPr>
        <w:t>，</w:t>
      </w:r>
      <w:r>
        <w:rPr>
          <w:rFonts w:hint="eastAsia"/>
          <w:color w:val="auto"/>
          <w:highlight w:val="none"/>
          <w:lang w:val="en-US" w:eastAsia="zh-CN"/>
        </w:rPr>
        <w:t>房地产项目</w:t>
      </w:r>
      <w:r>
        <w:rPr>
          <w:rFonts w:hint="eastAsia"/>
          <w:color w:val="auto"/>
          <w:highlight w:val="none"/>
        </w:rPr>
        <w:t>已建设完毕，</w:t>
      </w:r>
      <w:r>
        <w:rPr>
          <w:color w:val="auto"/>
          <w:highlight w:val="none"/>
        </w:rPr>
        <w:t>因此，</w:t>
      </w:r>
      <w:r>
        <w:rPr>
          <w:rFonts w:hint="eastAsia"/>
          <w:color w:val="auto"/>
          <w:highlight w:val="none"/>
        </w:rPr>
        <w:t>苏州茂龙地产发展有限公司</w:t>
      </w:r>
      <w:r>
        <w:rPr>
          <w:color w:val="auto"/>
          <w:highlight w:val="none"/>
        </w:rPr>
        <w:t>自行组织对项目</w:t>
      </w:r>
      <w:r>
        <w:rPr>
          <w:rFonts w:hint="eastAsia"/>
          <w:color w:val="auto"/>
          <w:highlight w:val="none"/>
        </w:rPr>
        <w:t>厂房</w:t>
      </w:r>
      <w:r>
        <w:rPr>
          <w:color w:val="auto"/>
          <w:highlight w:val="none"/>
        </w:rPr>
        <w:t>进行</w:t>
      </w:r>
      <w:r>
        <w:rPr>
          <w:rFonts w:hint="eastAsia"/>
          <w:color w:val="auto"/>
          <w:highlight w:val="none"/>
        </w:rPr>
        <w:t>阶段性</w:t>
      </w:r>
      <w:r>
        <w:rPr>
          <w:color w:val="auto"/>
          <w:highlight w:val="none"/>
        </w:rPr>
        <w:t>竣工环境保护验收。</w:t>
      </w:r>
    </w:p>
    <w:p>
      <w:pPr>
        <w:bidi w:val="0"/>
        <w:ind w:firstLine="560" w:firstLineChars="200"/>
        <w:rPr>
          <w:rFonts w:hint="eastAsia"/>
          <w:color w:val="auto"/>
          <w:highlight w:val="none"/>
          <w:lang w:val="en-US" w:eastAsia="zh-CN"/>
        </w:rPr>
      </w:pPr>
      <w:r>
        <w:rPr>
          <w:color w:val="auto"/>
          <w:highlight w:val="none"/>
        </w:rPr>
        <w:t>本次验收调查范围：总建筑面积</w:t>
      </w:r>
      <w:r>
        <w:rPr>
          <w:rFonts w:hint="eastAsia"/>
          <w:color w:val="auto"/>
          <w:highlight w:val="none"/>
          <w:lang w:val="en-US" w:eastAsia="zh-CN"/>
        </w:rPr>
        <w:t>69583.92</w:t>
      </w:r>
      <w:r>
        <w:rPr>
          <w:color w:val="auto"/>
          <w:highlight w:val="none"/>
        </w:rPr>
        <w:t>平方米；</w:t>
      </w:r>
      <w:r>
        <w:rPr>
          <w:rFonts w:hint="eastAsia"/>
          <w:color w:val="auto"/>
          <w:highlight w:val="none"/>
          <w:lang w:val="en-US" w:eastAsia="zh-CN"/>
        </w:rPr>
        <w:t>包括建设5栋住宅、1栋物业配套用房、2个变电所、2个门卫</w:t>
      </w:r>
      <w:r>
        <w:rPr>
          <w:color w:val="auto"/>
          <w:highlight w:val="none"/>
        </w:rPr>
        <w:t>。</w:t>
      </w:r>
      <w:r>
        <w:rPr>
          <w:rFonts w:hint="eastAsia"/>
          <w:color w:val="auto"/>
          <w:highlight w:val="none"/>
          <w:lang w:val="en-US" w:eastAsia="zh-CN"/>
        </w:rPr>
        <w:t>实测面积</w:t>
      </w:r>
      <w:r>
        <w:rPr>
          <w:rFonts w:hint="eastAsia"/>
          <w:color w:val="auto"/>
          <w:highlight w:val="none"/>
        </w:rPr>
        <w:t>68567.89平方米。</w:t>
      </w:r>
      <w:r>
        <w:rPr>
          <w:rFonts w:hint="eastAsia"/>
          <w:color w:val="auto"/>
          <w:highlight w:val="none"/>
          <w:lang w:val="en-US" w:eastAsia="zh-CN"/>
        </w:rPr>
        <w:t>不涉及重大变更。</w:t>
      </w:r>
    </w:p>
    <w:p>
      <w:pPr>
        <w:pStyle w:val="3"/>
        <w:rPr>
          <w:color w:val="auto"/>
          <w:highlight w:val="none"/>
        </w:rPr>
      </w:pPr>
      <w:bookmarkStart w:id="92" w:name="_Toc511144048"/>
      <w:bookmarkStart w:id="93" w:name="_Toc11976"/>
      <w:bookmarkStart w:id="94" w:name="_Toc7203"/>
      <w:bookmarkStart w:id="95" w:name="_Toc8345"/>
      <w:bookmarkStart w:id="96" w:name="_Toc4200"/>
      <w:bookmarkStart w:id="97" w:name="_Toc511143510"/>
      <w:bookmarkStart w:id="98" w:name="_Toc23063"/>
      <w:bookmarkStart w:id="99" w:name="_Toc511143578"/>
      <w:bookmarkStart w:id="100" w:name="_Toc511143622"/>
      <w:r>
        <w:rPr>
          <w:rFonts w:hint="eastAsia"/>
          <w:color w:val="auto"/>
          <w:highlight w:val="none"/>
          <w:lang w:val="en-US" w:eastAsia="zh-CN"/>
        </w:rPr>
        <w:t>7</w:t>
      </w:r>
      <w:r>
        <w:rPr>
          <w:color w:val="auto"/>
          <w:highlight w:val="none"/>
        </w:rPr>
        <w:t>.2生态环境影响调查结论</w:t>
      </w:r>
      <w:bookmarkEnd w:id="92"/>
      <w:bookmarkEnd w:id="93"/>
      <w:bookmarkEnd w:id="94"/>
      <w:bookmarkEnd w:id="95"/>
      <w:bookmarkEnd w:id="96"/>
      <w:bookmarkEnd w:id="97"/>
      <w:bookmarkEnd w:id="98"/>
      <w:bookmarkEnd w:id="99"/>
      <w:bookmarkEnd w:id="100"/>
    </w:p>
    <w:p>
      <w:pPr>
        <w:ind w:firstLine="560" w:firstLineChars="200"/>
        <w:rPr>
          <w:color w:val="auto"/>
          <w:highlight w:val="none"/>
        </w:rPr>
      </w:pPr>
      <w:r>
        <w:rPr>
          <w:color w:val="auto"/>
          <w:highlight w:val="none"/>
        </w:rPr>
        <w:t>项目在建设过程中采取了有效的生态保护及恢复措施，项目的建设没有对周围动植物产生明显影响，没有造成明显的水土流失，没有对自然生态环境产生明显的不利影响。</w:t>
      </w:r>
    </w:p>
    <w:p>
      <w:pPr>
        <w:pStyle w:val="3"/>
        <w:rPr>
          <w:color w:val="auto"/>
          <w:highlight w:val="none"/>
        </w:rPr>
      </w:pPr>
      <w:bookmarkStart w:id="101" w:name="_Toc3932"/>
      <w:bookmarkStart w:id="102" w:name="_Toc1286"/>
      <w:bookmarkStart w:id="103" w:name="_Toc7867"/>
      <w:bookmarkStart w:id="104" w:name="_Toc1985"/>
      <w:bookmarkStart w:id="105" w:name="_Toc511143623"/>
      <w:bookmarkStart w:id="106" w:name="_Toc10514"/>
      <w:bookmarkStart w:id="107" w:name="_Toc511144049"/>
      <w:bookmarkStart w:id="108" w:name="_Toc511143511"/>
      <w:bookmarkStart w:id="109" w:name="_Toc511143579"/>
      <w:r>
        <w:rPr>
          <w:rFonts w:hint="eastAsia"/>
          <w:color w:val="auto"/>
          <w:highlight w:val="none"/>
          <w:lang w:val="en-US" w:eastAsia="zh-CN"/>
        </w:rPr>
        <w:t>7</w:t>
      </w:r>
      <w:r>
        <w:rPr>
          <w:color w:val="auto"/>
          <w:highlight w:val="none"/>
        </w:rPr>
        <w:t>.3环境影响调查结论</w:t>
      </w:r>
      <w:bookmarkEnd w:id="101"/>
      <w:bookmarkEnd w:id="102"/>
      <w:bookmarkEnd w:id="103"/>
      <w:bookmarkEnd w:id="104"/>
      <w:bookmarkEnd w:id="105"/>
      <w:bookmarkEnd w:id="106"/>
      <w:bookmarkEnd w:id="107"/>
      <w:bookmarkEnd w:id="108"/>
      <w:bookmarkEnd w:id="109"/>
    </w:p>
    <w:p>
      <w:pPr>
        <w:rPr>
          <w:color w:val="auto"/>
          <w:highlight w:val="none"/>
        </w:rPr>
      </w:pPr>
      <w:r>
        <w:rPr>
          <w:rFonts w:hint="eastAsia"/>
          <w:color w:val="auto"/>
          <w:highlight w:val="none"/>
        </w:rPr>
        <w:t>1）</w:t>
      </w:r>
      <w:r>
        <w:rPr>
          <w:color w:val="auto"/>
          <w:highlight w:val="none"/>
        </w:rPr>
        <w:t>水环境影响调查结论</w:t>
      </w:r>
    </w:p>
    <w:p>
      <w:pPr>
        <w:ind w:firstLine="560" w:firstLineChars="200"/>
        <w:rPr>
          <w:color w:val="auto"/>
          <w:highlight w:val="none"/>
        </w:rPr>
      </w:pPr>
      <w:r>
        <w:rPr>
          <w:color w:val="auto"/>
          <w:highlight w:val="none"/>
        </w:rPr>
        <w:t>本</w:t>
      </w:r>
      <w:r>
        <w:rPr>
          <w:rFonts w:hint="eastAsia"/>
          <w:color w:val="auto"/>
          <w:highlight w:val="none"/>
        </w:rPr>
        <w:t>次</w:t>
      </w:r>
      <w:r>
        <w:rPr>
          <w:color w:val="auto"/>
          <w:highlight w:val="none"/>
        </w:rPr>
        <w:t>项目施工期</w:t>
      </w:r>
      <w:r>
        <w:rPr>
          <w:rFonts w:hint="eastAsia"/>
          <w:color w:val="auto"/>
          <w:highlight w:val="none"/>
        </w:rPr>
        <w:t>过程中产生的废水直接排入雨水管网</w:t>
      </w:r>
      <w:r>
        <w:rPr>
          <w:color w:val="auto"/>
          <w:highlight w:val="none"/>
        </w:rPr>
        <w:t>；施工期生活污水就近排入污水管网接入</w:t>
      </w:r>
      <w:r>
        <w:rPr>
          <w:rFonts w:hint="eastAsia"/>
          <w:color w:val="auto"/>
          <w:highlight w:val="none"/>
          <w:lang w:eastAsia="zh-CN"/>
        </w:rPr>
        <w:t>狮山水质净化厂</w:t>
      </w:r>
      <w:r>
        <w:rPr>
          <w:color w:val="auto"/>
          <w:highlight w:val="none"/>
        </w:rPr>
        <w:t>处理。施工期生产废水和生活污水均不会对附近水体水质造成影响，施工期采取的废水污染防治措施可行有效，项目施工期未对附近地表水环境造成影响。</w:t>
      </w:r>
    </w:p>
    <w:p>
      <w:pPr>
        <w:ind w:firstLine="560" w:firstLineChars="200"/>
        <w:rPr>
          <w:color w:val="auto"/>
          <w:highlight w:val="none"/>
        </w:rPr>
      </w:pPr>
      <w:r>
        <w:rPr>
          <w:color w:val="auto"/>
          <w:highlight w:val="none"/>
        </w:rPr>
        <w:t>本</w:t>
      </w:r>
      <w:r>
        <w:rPr>
          <w:rFonts w:hint="eastAsia"/>
          <w:color w:val="auto"/>
          <w:highlight w:val="none"/>
        </w:rPr>
        <w:t>次</w:t>
      </w:r>
      <w:r>
        <w:rPr>
          <w:color w:val="auto"/>
          <w:highlight w:val="none"/>
        </w:rPr>
        <w:t>项目生活污水通过污水收集系统排入市政污水管网，做好防渗的前提下，通过地面防渗措施和土壤过滤截留，渗漏至地下水的污染物极少，且本地区地下水水量较丰富，对地下水水质变化影响极小，故对地下水环境影响极小。</w:t>
      </w:r>
    </w:p>
    <w:p>
      <w:pPr>
        <w:rPr>
          <w:color w:val="auto"/>
          <w:highlight w:val="none"/>
        </w:rPr>
      </w:pPr>
      <w:r>
        <w:rPr>
          <w:rFonts w:hint="eastAsia"/>
          <w:color w:val="auto"/>
          <w:highlight w:val="none"/>
        </w:rPr>
        <w:t>2）</w:t>
      </w:r>
      <w:r>
        <w:rPr>
          <w:color w:val="auto"/>
          <w:highlight w:val="none"/>
        </w:rPr>
        <w:t>大气环境影响调查结论</w:t>
      </w:r>
    </w:p>
    <w:p>
      <w:pPr>
        <w:ind w:firstLine="560" w:firstLineChars="200"/>
        <w:rPr>
          <w:color w:val="auto"/>
          <w:highlight w:val="none"/>
        </w:rPr>
      </w:pPr>
      <w:r>
        <w:rPr>
          <w:color w:val="auto"/>
          <w:highlight w:val="none"/>
        </w:rPr>
        <w:t>项目施工期在施工现场设置了围墙，封闭施工；及时清扫施工现场，砂石堆、施工道路及时洒水抑尘；清洗车辆，限制施工运输车辆车速；避免大风天气作业；开挖后及时回填、夯实；及时清扫道路；设置专人管理各类建筑材料和建筑垃圾，临时堆放场所采取围挡、遮盖等方式防尘。本项目施工期采取的大气污染防治措施可行有效，项目施工期未对周围环境空气造成明显污染。</w:t>
      </w:r>
    </w:p>
    <w:p>
      <w:pPr>
        <w:ind w:firstLine="560" w:firstLineChars="200"/>
        <w:rPr>
          <w:color w:val="auto"/>
          <w:highlight w:val="none"/>
        </w:rPr>
      </w:pPr>
      <w:r>
        <w:rPr>
          <w:color w:val="auto"/>
          <w:highlight w:val="none"/>
        </w:rPr>
        <w:t>根据原环评监测数据分析项目正式运营后区域大气环境质量较好，达《环境空气质量标准》（GB3095-2012）二级标准</w:t>
      </w:r>
    </w:p>
    <w:p>
      <w:pPr>
        <w:rPr>
          <w:color w:val="auto"/>
          <w:highlight w:val="none"/>
        </w:rPr>
      </w:pPr>
      <w:r>
        <w:rPr>
          <w:rFonts w:hint="eastAsia"/>
          <w:color w:val="auto"/>
          <w:highlight w:val="none"/>
        </w:rPr>
        <w:t>3）</w:t>
      </w:r>
      <w:r>
        <w:rPr>
          <w:color w:val="auto"/>
          <w:highlight w:val="none"/>
        </w:rPr>
        <w:t>声环境影响调查结论</w:t>
      </w:r>
    </w:p>
    <w:p>
      <w:pPr>
        <w:ind w:firstLine="560" w:firstLineChars="200"/>
        <w:rPr>
          <w:color w:val="auto"/>
          <w:highlight w:val="none"/>
        </w:rPr>
      </w:pPr>
      <w:r>
        <w:rPr>
          <w:color w:val="auto"/>
          <w:highlight w:val="none"/>
        </w:rPr>
        <w:t>本项目选用低噪声的施工设备；将高声功率设备的运作时间错开，避免同时操作；合理安排各类施工机械的工作时间，尤其是夜间严禁打桩机等强噪声机械进行施工；对不同施工阶段，严格按《建筑施工场界环境噪声排放标准》(GB12523-2011)对施工场界进行噪声控制。</w:t>
      </w:r>
    </w:p>
    <w:p>
      <w:pPr>
        <w:rPr>
          <w:color w:val="auto"/>
          <w:highlight w:val="none"/>
        </w:rPr>
      </w:pPr>
      <w:r>
        <w:rPr>
          <w:rFonts w:hint="eastAsia"/>
          <w:color w:val="auto"/>
          <w:highlight w:val="none"/>
        </w:rPr>
        <w:t>4）</w:t>
      </w:r>
      <w:r>
        <w:rPr>
          <w:color w:val="auto"/>
          <w:highlight w:val="none"/>
        </w:rPr>
        <w:t>固废环境影响调查结论</w:t>
      </w:r>
    </w:p>
    <w:p>
      <w:pPr>
        <w:ind w:firstLine="560" w:firstLineChars="200"/>
        <w:rPr>
          <w:color w:val="auto"/>
          <w:highlight w:val="none"/>
        </w:rPr>
      </w:pPr>
      <w:r>
        <w:rPr>
          <w:color w:val="auto"/>
          <w:highlight w:val="none"/>
        </w:rPr>
        <w:t>施工期间产生的固体废弃物主要为废弃的碎砖、石、冲洗残渣、弃土、各类建材的包装箱、袋和生活垃圾等，以及施工场地拆迁和装修产生的建筑垃圾。施工期间对废弃的碎砖石、残渣、弃土等基本就地处置，作填筑地基用；包装物也基本上回收利用或销售给废品收购站，建筑垃圾和施工人员生活垃圾将由环卫部门统一拉走处理。因此，上述废弃物不会对周围环境产生较大影响。</w:t>
      </w:r>
    </w:p>
    <w:p>
      <w:pPr>
        <w:ind w:firstLine="560" w:firstLineChars="200"/>
        <w:rPr>
          <w:color w:val="auto"/>
          <w:highlight w:val="none"/>
        </w:rPr>
      </w:pPr>
      <w:r>
        <w:rPr>
          <w:color w:val="auto"/>
          <w:highlight w:val="none"/>
        </w:rPr>
        <w:t>本项目固体废物主要为生活垃圾，生活垃圾实行袋装化分类收集，由环卫部门定时清理，日产日清。固体废物可做到零排放，不会产生二次污染。</w:t>
      </w:r>
    </w:p>
    <w:p>
      <w:pPr>
        <w:pStyle w:val="3"/>
        <w:rPr>
          <w:color w:val="auto"/>
          <w:highlight w:val="none"/>
        </w:rPr>
      </w:pPr>
      <w:bookmarkStart w:id="110" w:name="_Toc511144050"/>
      <w:bookmarkStart w:id="111" w:name="_Toc511143512"/>
      <w:bookmarkStart w:id="112" w:name="_Toc7720"/>
      <w:bookmarkStart w:id="113" w:name="_Toc21096"/>
      <w:bookmarkStart w:id="114" w:name="_Toc4508"/>
      <w:bookmarkStart w:id="115" w:name="_Toc32372"/>
      <w:bookmarkStart w:id="116" w:name="_Toc511143624"/>
      <w:bookmarkStart w:id="117" w:name="_Toc511143580"/>
      <w:bookmarkStart w:id="118" w:name="_Toc30988"/>
      <w:r>
        <w:rPr>
          <w:rFonts w:hint="eastAsia"/>
          <w:color w:val="auto"/>
          <w:highlight w:val="none"/>
          <w:lang w:val="en-US" w:eastAsia="zh-CN"/>
        </w:rPr>
        <w:t>7</w:t>
      </w:r>
      <w:r>
        <w:rPr>
          <w:color w:val="auto"/>
          <w:highlight w:val="none"/>
        </w:rPr>
        <w:t>.4环境管理状况调查结论</w:t>
      </w:r>
      <w:bookmarkEnd w:id="110"/>
      <w:bookmarkEnd w:id="111"/>
      <w:bookmarkEnd w:id="112"/>
      <w:bookmarkEnd w:id="113"/>
      <w:bookmarkEnd w:id="114"/>
      <w:bookmarkEnd w:id="115"/>
      <w:bookmarkEnd w:id="116"/>
      <w:bookmarkEnd w:id="117"/>
      <w:bookmarkEnd w:id="118"/>
    </w:p>
    <w:p>
      <w:pPr>
        <w:ind w:firstLine="560" w:firstLineChars="200"/>
        <w:rPr>
          <w:color w:val="auto"/>
          <w:highlight w:val="none"/>
        </w:rPr>
      </w:pPr>
      <w:r>
        <w:rPr>
          <w:color w:val="auto"/>
          <w:highlight w:val="none"/>
        </w:rPr>
        <w:t>项目从立项、环境影响评价、环境影响评价审批、工程设计、施工和试生产期间各项环保审批手续及有关档案资料齐全，环评及初步设计中要求建设的环保设施和运行情况以及要求采取的环保措施基本落实到位，施工期间未发生环境污染事件。建设单位已将环保工作纳入厂区管理全面工作中，定期检查环保工作，接受环保部门的监督指导。</w:t>
      </w:r>
    </w:p>
    <w:p>
      <w:pPr>
        <w:pStyle w:val="3"/>
        <w:rPr>
          <w:color w:val="auto"/>
          <w:highlight w:val="none"/>
        </w:rPr>
      </w:pPr>
      <w:bookmarkStart w:id="119" w:name="_Toc15484"/>
      <w:bookmarkStart w:id="120" w:name="_Toc511143625"/>
      <w:bookmarkStart w:id="121" w:name="_Toc12928"/>
      <w:bookmarkStart w:id="122" w:name="_Toc511143513"/>
      <w:bookmarkStart w:id="123" w:name="_Toc28547"/>
      <w:bookmarkStart w:id="124" w:name="_Toc511144051"/>
      <w:bookmarkStart w:id="125" w:name="_Toc22126"/>
      <w:bookmarkStart w:id="126" w:name="_Toc511143581"/>
      <w:bookmarkStart w:id="127" w:name="_Toc26363"/>
      <w:r>
        <w:rPr>
          <w:rFonts w:hint="eastAsia"/>
          <w:color w:val="auto"/>
          <w:highlight w:val="none"/>
          <w:lang w:val="en-US" w:eastAsia="zh-CN"/>
        </w:rPr>
        <w:t>7</w:t>
      </w:r>
      <w:r>
        <w:rPr>
          <w:color w:val="auto"/>
          <w:highlight w:val="none"/>
        </w:rPr>
        <w:t>.5验收调查总结论</w:t>
      </w:r>
      <w:bookmarkEnd w:id="119"/>
      <w:bookmarkEnd w:id="120"/>
      <w:bookmarkEnd w:id="121"/>
      <w:bookmarkEnd w:id="122"/>
      <w:bookmarkEnd w:id="123"/>
      <w:bookmarkEnd w:id="124"/>
      <w:bookmarkEnd w:id="125"/>
      <w:bookmarkEnd w:id="126"/>
      <w:bookmarkEnd w:id="127"/>
    </w:p>
    <w:p>
      <w:pPr>
        <w:bidi w:val="0"/>
        <w:ind w:firstLine="560" w:firstLineChars="200"/>
        <w:rPr>
          <w:rFonts w:hint="default"/>
          <w:lang w:val="en-US" w:eastAsia="zh-CN"/>
        </w:rPr>
      </w:pPr>
      <w:r>
        <w:rPr>
          <w:color w:val="auto"/>
          <w:highlight w:val="none"/>
        </w:rPr>
        <w:t>苏</w:t>
      </w:r>
      <w:r>
        <w:rPr>
          <w:rFonts w:hint="eastAsia"/>
          <w:color w:val="auto"/>
          <w:highlight w:val="none"/>
        </w:rPr>
        <w:t>州市苏州茂龙地产发展有限公司苏地2017-WG-82号地块项目</w:t>
      </w:r>
      <w:r>
        <w:rPr>
          <w:rFonts w:hint="eastAsia"/>
          <w:color w:val="auto"/>
          <w:highlight w:val="none"/>
          <w:lang w:eastAsia="zh-CN"/>
        </w:rPr>
        <w:t>（</w:t>
      </w:r>
      <w:r>
        <w:rPr>
          <w:rFonts w:hint="eastAsia"/>
          <w:color w:val="auto"/>
          <w:highlight w:val="none"/>
          <w:lang w:val="en-US" w:eastAsia="zh-CN"/>
        </w:rPr>
        <w:t>地块一</w:t>
      </w:r>
      <w:r>
        <w:rPr>
          <w:rFonts w:hint="eastAsia"/>
          <w:color w:val="auto"/>
          <w:highlight w:val="none"/>
          <w:lang w:eastAsia="zh-CN"/>
        </w:rPr>
        <w:t>）</w:t>
      </w:r>
      <w:r>
        <w:rPr>
          <w:color w:val="auto"/>
          <w:highlight w:val="none"/>
        </w:rPr>
        <w:t>在设计和施工期采取的污染防治措施有效且基本可行。通过对建设情况调查，从环保角度看，较好地落实了环境影响报告</w:t>
      </w:r>
      <w:r>
        <w:rPr>
          <w:rFonts w:hint="eastAsia"/>
          <w:color w:val="auto"/>
          <w:highlight w:val="none"/>
        </w:rPr>
        <w:t>表</w:t>
      </w:r>
      <w:r>
        <w:rPr>
          <w:color w:val="auto"/>
          <w:highlight w:val="none"/>
        </w:rPr>
        <w:t>及其审批意见提出的各项环保措施，基本具备建设项目竣工环境保护验收条件。</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C1792"/>
    <w:rsid w:val="00882D5B"/>
    <w:rsid w:val="00D42994"/>
    <w:rsid w:val="02DF5F87"/>
    <w:rsid w:val="042A64AC"/>
    <w:rsid w:val="04D56ED8"/>
    <w:rsid w:val="076C5F22"/>
    <w:rsid w:val="078737BD"/>
    <w:rsid w:val="081B58AF"/>
    <w:rsid w:val="085A2C42"/>
    <w:rsid w:val="0A0C1030"/>
    <w:rsid w:val="0BDA1C36"/>
    <w:rsid w:val="0C262FC5"/>
    <w:rsid w:val="0DC66907"/>
    <w:rsid w:val="0EDF34C5"/>
    <w:rsid w:val="0EED0058"/>
    <w:rsid w:val="0FED554E"/>
    <w:rsid w:val="104657E0"/>
    <w:rsid w:val="11417908"/>
    <w:rsid w:val="11EA4705"/>
    <w:rsid w:val="14054F4B"/>
    <w:rsid w:val="15C234CE"/>
    <w:rsid w:val="15EA060B"/>
    <w:rsid w:val="166513F5"/>
    <w:rsid w:val="16B474BD"/>
    <w:rsid w:val="17665493"/>
    <w:rsid w:val="19985D5F"/>
    <w:rsid w:val="1AE75B16"/>
    <w:rsid w:val="1C073143"/>
    <w:rsid w:val="1C8F795A"/>
    <w:rsid w:val="1CA04DED"/>
    <w:rsid w:val="1CB92FFF"/>
    <w:rsid w:val="1D8336EC"/>
    <w:rsid w:val="1F1D1A6B"/>
    <w:rsid w:val="1F5E1631"/>
    <w:rsid w:val="200743CE"/>
    <w:rsid w:val="20981F98"/>
    <w:rsid w:val="20F85EDC"/>
    <w:rsid w:val="2111748F"/>
    <w:rsid w:val="21325A46"/>
    <w:rsid w:val="21C86DAC"/>
    <w:rsid w:val="22781DAD"/>
    <w:rsid w:val="22B47466"/>
    <w:rsid w:val="230D120D"/>
    <w:rsid w:val="23445C41"/>
    <w:rsid w:val="25722302"/>
    <w:rsid w:val="258F4FDB"/>
    <w:rsid w:val="267E3180"/>
    <w:rsid w:val="268A07BF"/>
    <w:rsid w:val="27F56232"/>
    <w:rsid w:val="28094FE4"/>
    <w:rsid w:val="29594DE3"/>
    <w:rsid w:val="296C1C8A"/>
    <w:rsid w:val="29737D66"/>
    <w:rsid w:val="298F02B1"/>
    <w:rsid w:val="29F70884"/>
    <w:rsid w:val="2A841414"/>
    <w:rsid w:val="2B3111E0"/>
    <w:rsid w:val="2B54198B"/>
    <w:rsid w:val="2C082D41"/>
    <w:rsid w:val="2CAD0D69"/>
    <w:rsid w:val="2EC73C26"/>
    <w:rsid w:val="2F702147"/>
    <w:rsid w:val="2FE074BC"/>
    <w:rsid w:val="30922A2F"/>
    <w:rsid w:val="317D1989"/>
    <w:rsid w:val="331E2580"/>
    <w:rsid w:val="33491DA7"/>
    <w:rsid w:val="343F40EC"/>
    <w:rsid w:val="34953522"/>
    <w:rsid w:val="35E4616A"/>
    <w:rsid w:val="368D2D8E"/>
    <w:rsid w:val="377A4467"/>
    <w:rsid w:val="385C7D25"/>
    <w:rsid w:val="38726DF6"/>
    <w:rsid w:val="396A07C5"/>
    <w:rsid w:val="39E92B86"/>
    <w:rsid w:val="3B900009"/>
    <w:rsid w:val="3C6139DC"/>
    <w:rsid w:val="3C6E797C"/>
    <w:rsid w:val="3D0B18D1"/>
    <w:rsid w:val="3E0D1608"/>
    <w:rsid w:val="3E0D19C5"/>
    <w:rsid w:val="3F686ED9"/>
    <w:rsid w:val="410F3514"/>
    <w:rsid w:val="43CB3998"/>
    <w:rsid w:val="44E712FC"/>
    <w:rsid w:val="450B37F6"/>
    <w:rsid w:val="45A161E5"/>
    <w:rsid w:val="46722080"/>
    <w:rsid w:val="477B3AC7"/>
    <w:rsid w:val="479317C9"/>
    <w:rsid w:val="48270CC9"/>
    <w:rsid w:val="48353E18"/>
    <w:rsid w:val="483F0EF4"/>
    <w:rsid w:val="49070547"/>
    <w:rsid w:val="49A800CA"/>
    <w:rsid w:val="4AFD1375"/>
    <w:rsid w:val="4BA72CE1"/>
    <w:rsid w:val="4C332172"/>
    <w:rsid w:val="4D3F3BBC"/>
    <w:rsid w:val="4D6130FE"/>
    <w:rsid w:val="4E0B481D"/>
    <w:rsid w:val="4E5A2ADE"/>
    <w:rsid w:val="4EA75612"/>
    <w:rsid w:val="4EE42B96"/>
    <w:rsid w:val="50BF6940"/>
    <w:rsid w:val="51181E5C"/>
    <w:rsid w:val="51C7193E"/>
    <w:rsid w:val="52E90B40"/>
    <w:rsid w:val="54BF2A45"/>
    <w:rsid w:val="55FD1210"/>
    <w:rsid w:val="57452EDB"/>
    <w:rsid w:val="575427DE"/>
    <w:rsid w:val="57C800D6"/>
    <w:rsid w:val="57D57590"/>
    <w:rsid w:val="583F1A3C"/>
    <w:rsid w:val="584056E6"/>
    <w:rsid w:val="5A4C6E28"/>
    <w:rsid w:val="5A7C2914"/>
    <w:rsid w:val="5B170A14"/>
    <w:rsid w:val="5B294445"/>
    <w:rsid w:val="5C935A25"/>
    <w:rsid w:val="6392376D"/>
    <w:rsid w:val="63D04371"/>
    <w:rsid w:val="63FE0945"/>
    <w:rsid w:val="655153A0"/>
    <w:rsid w:val="657E2E0F"/>
    <w:rsid w:val="65940D23"/>
    <w:rsid w:val="65C436DD"/>
    <w:rsid w:val="67057A6A"/>
    <w:rsid w:val="67801EC4"/>
    <w:rsid w:val="6866108C"/>
    <w:rsid w:val="690702FF"/>
    <w:rsid w:val="69617760"/>
    <w:rsid w:val="6A003300"/>
    <w:rsid w:val="6A7D76CF"/>
    <w:rsid w:val="6B6D43A8"/>
    <w:rsid w:val="6C06009A"/>
    <w:rsid w:val="6C885F6D"/>
    <w:rsid w:val="6EFF426F"/>
    <w:rsid w:val="70464F8F"/>
    <w:rsid w:val="704E1555"/>
    <w:rsid w:val="72E92E83"/>
    <w:rsid w:val="745B0421"/>
    <w:rsid w:val="75D33F5D"/>
    <w:rsid w:val="7795110A"/>
    <w:rsid w:val="78921797"/>
    <w:rsid w:val="78DA5635"/>
    <w:rsid w:val="7A276670"/>
    <w:rsid w:val="7A7E5BFB"/>
    <w:rsid w:val="7D542BB3"/>
    <w:rsid w:val="7D952240"/>
    <w:rsid w:val="7E622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17"/>
    <w:qFormat/>
    <w:uiPriority w:val="0"/>
    <w:pPr>
      <w:keepNext/>
      <w:spacing w:line="360" w:lineRule="auto"/>
      <w:ind w:left="0" w:firstLine="0"/>
      <w:jc w:val="both"/>
      <w:outlineLvl w:val="0"/>
    </w:pPr>
    <w:rPr>
      <w:rFonts w:ascii="Times New Roman" w:hAnsi="Times New Roman" w:eastAsia="宋体"/>
      <w:b/>
      <w:sz w:val="32"/>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b/>
      <w:sz w:val="30"/>
    </w:rPr>
  </w:style>
  <w:style w:type="paragraph" w:styleId="4">
    <w:name w:val="heading 3"/>
    <w:basedOn w:val="1"/>
    <w:next w:val="1"/>
    <w:semiHidden/>
    <w:unhideWhenUsed/>
    <w:qFormat/>
    <w:uiPriority w:val="0"/>
    <w:pPr>
      <w:keepNext/>
      <w:keepLines/>
      <w:spacing w:before="260" w:beforeLines="0" w:beforeAutospacing="0" w:after="260" w:afterLines="0" w:afterAutospacing="0" w:line="240" w:lineRule="auto"/>
      <w:outlineLvl w:val="2"/>
    </w:pPr>
    <w:rPr>
      <w:b/>
      <w:sz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spacing w:line="240" w:lineRule="auto"/>
    </w:pPr>
    <w:rPr>
      <w:sz w:val="24"/>
    </w:rPr>
  </w:style>
  <w:style w:type="paragraph" w:styleId="6">
    <w:name w:val="toc 3"/>
    <w:basedOn w:val="1"/>
    <w:next w:val="1"/>
    <w:uiPriority w:val="0"/>
    <w:pPr>
      <w:ind w:left="840" w:leftChars="400"/>
    </w:pPr>
  </w:style>
  <w:style w:type="paragraph" w:styleId="7">
    <w:name w:val="Plain Text"/>
    <w:basedOn w:val="1"/>
    <w:qFormat/>
    <w:uiPriority w:val="0"/>
    <w:rPr>
      <w:rFonts w:ascii="宋体" w:hAnsi="Courier New"/>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customStyle="1" w:styleId="14">
    <w:name w:val="表格"/>
    <w:basedOn w:val="7"/>
    <w:qFormat/>
    <w:uiPriority w:val="0"/>
    <w:pPr>
      <w:ind w:leftChars="0"/>
      <w:jc w:val="center"/>
    </w:pPr>
    <w:rPr>
      <w:rFonts w:ascii="Times New Roman" w:hAnsi="Times New Roman" w:cs="Courier New"/>
      <w:sz w:val="21"/>
      <w:szCs w:val="21"/>
    </w:rPr>
  </w:style>
  <w:style w:type="paragraph" w:customStyle="1" w:styleId="15">
    <w:name w:val="表格文字"/>
    <w:basedOn w:val="5"/>
    <w:qFormat/>
    <w:uiPriority w:val="0"/>
    <w:pPr>
      <w:jc w:val="center"/>
    </w:pPr>
    <w:rPr>
      <w:rFonts w:ascii="仿宋_GB2312" w:hAnsi="Arial Black" w:eastAsia="仿宋_GB2312"/>
      <w:kern w:val="44"/>
      <w:sz w:val="24"/>
      <w:szCs w:val="20"/>
    </w:rPr>
  </w:style>
  <w:style w:type="paragraph" w:customStyle="1" w:styleId="1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7">
    <w:name w:val="标题 1 字符"/>
    <w:link w:val="2"/>
    <w:qFormat/>
    <w:uiPriority w:val="0"/>
    <w:rPr>
      <w:rFonts w:ascii="Times New Roman" w:hAnsi="Times New Roman" w:eastAsia="宋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57</TotalTime>
  <ScaleCrop>false</ScaleCrop>
  <LinksUpToDate>false</LinksUpToDate>
  <CharactersWithSpaces>0</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2020-07-09T02:09:00Z</dcterms:created>
  <dc:creator>he.b</dc:creator>
  <cp:lastModifiedBy>ོ我在北回归线</cp:lastModifiedBy>
  <dcterms:modified xsi:type="dcterms:W3CDTF">2021-11-26T07:43:11Z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y fmtid="{D5CDD505-2E9C-101B-9397-08002B2CF9AE}" pid="3" name="ICV">
    <vt:lpwstr>24E3FF632F8646868A9A33C3929F25B9</vt:lpwstr>
  </property>
</Properties>
</file>